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25" w:rsidRPr="005A2125" w:rsidRDefault="005A2125" w:rsidP="005A2125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5A2125">
        <w:rPr>
          <w:rFonts w:ascii="Times New Roman" w:hAnsi="Times New Roman" w:cs="Times New Roman"/>
          <w:b/>
          <w:lang w:val="ro-RO"/>
        </w:rPr>
        <w:t>Raport privind realizarea</w:t>
      </w:r>
      <w:r w:rsidRPr="005A2125">
        <w:rPr>
          <w:rFonts w:ascii="Times New Roman" w:hAnsi="Times New Roman" w:cs="Times New Roman"/>
          <w:lang w:val="ro-RO"/>
        </w:rPr>
        <w:t xml:space="preserve"> </w:t>
      </w:r>
      <w:r w:rsidRPr="005A2125">
        <w:rPr>
          <w:rFonts w:ascii="Times New Roman" w:hAnsi="Times New Roman" w:cs="Times New Roman"/>
          <w:b/>
          <w:bCs/>
          <w:lang w:val="ro-RO"/>
        </w:rPr>
        <w:t>Planului de acțiuni pentru serviciile de certificare a sectorului privat și liberalizarea evaluării conformității</w:t>
      </w:r>
    </w:p>
    <w:p w:rsidR="005A2125" w:rsidRPr="005A2125" w:rsidRDefault="005A2125" w:rsidP="005A2125">
      <w:pPr>
        <w:rPr>
          <w:rFonts w:ascii="Times New Roman" w:hAnsi="Times New Roman" w:cs="Times New Roman"/>
          <w:bCs/>
          <w:lang w:val="ro-RO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"/>
        <w:gridCol w:w="2387"/>
        <w:gridCol w:w="1701"/>
        <w:gridCol w:w="85"/>
        <w:gridCol w:w="1191"/>
        <w:gridCol w:w="1417"/>
        <w:gridCol w:w="1417"/>
        <w:gridCol w:w="150"/>
        <w:gridCol w:w="985"/>
        <w:gridCol w:w="150"/>
        <w:gridCol w:w="4953"/>
      </w:tblGrid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Nr.ord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>.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Obiectiv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Actul național care prevede realizarea acțiunii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Termenele de realizare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Responsabil</w:t>
            </w: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Costurile aferente implementării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Indicatori de performanță</w:t>
            </w:r>
          </w:p>
        </w:tc>
        <w:tc>
          <w:tcPr>
            <w:tcW w:w="5103" w:type="dxa"/>
            <w:gridSpan w:val="2"/>
          </w:tcPr>
          <w:p w:rsidR="005A2125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Nivelul de realizare</w:t>
            </w:r>
          </w:p>
        </w:tc>
      </w:tr>
      <w:tr w:rsidR="00A35FE7" w:rsidRPr="005A2125" w:rsidTr="00846635">
        <w:trPr>
          <w:trHeight w:val="456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Armonizarea a legislației naționale în domeniu la prevederile directivelor Uniunii Europene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iCs/>
                <w:lang w:val="ro-RO"/>
              </w:rPr>
              <w:t xml:space="preserve">Directiva 2014/35/UE referitoare la punerea la </w:t>
            </w:r>
            <w:proofErr w:type="spellStart"/>
            <w:r w:rsidRPr="005A2125">
              <w:rPr>
                <w:rFonts w:ascii="Times New Roman" w:hAnsi="Times New Roman" w:cs="Times New Roman"/>
                <w:iCs/>
                <w:lang w:val="ro-RO"/>
              </w:rPr>
              <w:t>dispoziţie</w:t>
            </w:r>
            <w:proofErr w:type="spellEnd"/>
            <w:r w:rsidRPr="005A2125">
              <w:rPr>
                <w:rFonts w:ascii="Times New Roman" w:hAnsi="Times New Roman" w:cs="Times New Roman"/>
                <w:iCs/>
                <w:lang w:val="ro-RO"/>
              </w:rPr>
              <w:t xml:space="preserve"> pe </w:t>
            </w:r>
            <w:proofErr w:type="spellStart"/>
            <w:r w:rsidRPr="005A2125">
              <w:rPr>
                <w:rFonts w:ascii="Times New Roman" w:hAnsi="Times New Roman" w:cs="Times New Roman"/>
                <w:iCs/>
                <w:lang w:val="ro-RO"/>
              </w:rPr>
              <w:t>piaţă</w:t>
            </w:r>
            <w:proofErr w:type="spellEnd"/>
            <w:r w:rsidRPr="005A2125">
              <w:rPr>
                <w:rFonts w:ascii="Times New Roman" w:hAnsi="Times New Roman" w:cs="Times New Roman"/>
                <w:iCs/>
                <w:lang w:val="ro-RO"/>
              </w:rPr>
              <w:t xml:space="preserve"> a echipamentelor electrice destinate utilizării în cadrul unor anumite limite de tensiune</w:t>
            </w:r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Guvernului nr. 808 din 07.10.2014 cu privire la aprobarea Planului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acţiuni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pentru implementarea Acordului de Asociere Republica Moldova – Uniunea Europeană în perioada 2014-2016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Direcția dezvoltarea infrastructurii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calităţii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(DDIC)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Nu necesită alocații din Bugetul de stat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346E4A" w:rsidRPr="00346E4A" w:rsidRDefault="00346E4A" w:rsidP="00346E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46E4A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5A2125" w:rsidRDefault="00346E4A" w:rsidP="00346E4A">
            <w:pPr>
              <w:rPr>
                <w:rFonts w:ascii="Times New Roman" w:hAnsi="Times New Roman" w:cs="Times New Roman"/>
                <w:lang w:val="ro-RO"/>
              </w:rPr>
            </w:pPr>
            <w:r w:rsidRPr="00346E4A">
              <w:rPr>
                <w:rFonts w:ascii="Times New Roman" w:hAnsi="Times New Roman" w:cs="Times New Roman"/>
                <w:lang w:val="ro-RO"/>
              </w:rPr>
              <w:t xml:space="preserve">A fost aprobată HG nr. 745 din 26.10.2015 pentru aprobarea Reglementării tehnice „punerea la </w:t>
            </w:r>
            <w:proofErr w:type="spellStart"/>
            <w:r w:rsidRPr="00346E4A"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 w:rsidRPr="00346E4A"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 w:rsidRPr="00346E4A"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 w:rsidRPr="00346E4A">
              <w:rPr>
                <w:rFonts w:ascii="Times New Roman" w:hAnsi="Times New Roman" w:cs="Times New Roman"/>
                <w:lang w:val="ro-RO"/>
              </w:rPr>
              <w:t xml:space="preserve"> a echipamentelor electrice destinate utilizării în cadrul unor anumite limite de tensiune”.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1.2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Directivei 2014/29/UE referitoare la punerea la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 recipientelor simple sub presiune, Directiva 2009/105/CE se abrogă de la 20 aprilie 2016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Direcția supravegherea pieței și securitate industrială (DSPSI)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346E4A" w:rsidRPr="00346E4A" w:rsidRDefault="00346E4A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46E4A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346E4A" w:rsidRDefault="00346E4A" w:rsidP="005A21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 fost aprobată HG nr. 368 din 12.06</w:t>
            </w:r>
            <w:r w:rsidRPr="00346E4A">
              <w:rPr>
                <w:rFonts w:ascii="Times New Roman" w:hAnsi="Times New Roman" w:cs="Times New Roman"/>
                <w:lang w:val="ro-RO"/>
              </w:rPr>
              <w:t>.2015 pentru a</w:t>
            </w:r>
            <w:r>
              <w:rPr>
                <w:rFonts w:ascii="Times New Roman" w:hAnsi="Times New Roman" w:cs="Times New Roman"/>
                <w:lang w:val="ro-RO"/>
              </w:rPr>
              <w:t xml:space="preserve">probarea Reglementării tehnice privind </w:t>
            </w:r>
            <w:r w:rsidRPr="00346E4A">
              <w:rPr>
                <w:rFonts w:ascii="Times New Roman" w:hAnsi="Times New Roman" w:cs="Times New Roman"/>
                <w:lang w:val="ro-RO"/>
              </w:rPr>
              <w:t xml:space="preserve">punerea la </w:t>
            </w:r>
            <w:proofErr w:type="spellStart"/>
            <w:r w:rsidRPr="00346E4A"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 w:rsidRPr="00346E4A"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 w:rsidRPr="00346E4A"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 w:rsidRPr="00346E4A">
              <w:rPr>
                <w:rFonts w:ascii="Times New Roman" w:hAnsi="Times New Roman" w:cs="Times New Roman"/>
                <w:lang w:val="ro-RO"/>
              </w:rPr>
              <w:t xml:space="preserve"> a</w:t>
            </w:r>
            <w:r>
              <w:rPr>
                <w:rFonts w:ascii="Times New Roman" w:hAnsi="Times New Roman" w:cs="Times New Roman"/>
                <w:lang w:val="ro-RO"/>
              </w:rPr>
              <w:t xml:space="preserve"> recipientelor simple sub presiune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1.3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Directiva 2014/30/UE cu privire la compatibilitatea electromagnetică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DDIC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346E4A" w:rsidRPr="00346E4A" w:rsidRDefault="00346E4A" w:rsidP="00346E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46E4A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5A2125" w:rsidRDefault="00346E4A" w:rsidP="00346E4A">
            <w:pPr>
              <w:rPr>
                <w:rFonts w:ascii="Times New Roman" w:hAnsi="Times New Roman" w:cs="Times New Roman"/>
                <w:lang w:val="ro-RO"/>
              </w:rPr>
            </w:pPr>
            <w:r w:rsidRPr="00346E4A">
              <w:rPr>
                <w:rFonts w:ascii="Times New Roman" w:hAnsi="Times New Roman" w:cs="Times New Roman"/>
                <w:lang w:val="ro-RO"/>
              </w:rPr>
              <w:t>A fost aprobată HG nr. 807 din 29.10.2015 pentru aprobarea Reglementării tehnice „Compatibilitatea electromagnetică a echipamentelor”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1.4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Directiva 2014/32/UE referitoare la punerea la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 mijloacelor de măsurare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ro-RO"/>
              </w:rPr>
              <w:t>DDIC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346E4A" w:rsidRPr="00346E4A" w:rsidRDefault="00346E4A" w:rsidP="00346E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46E4A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5A2125" w:rsidRDefault="00346E4A" w:rsidP="00346E4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 fost aprobată HG nr. 408</w:t>
            </w:r>
            <w:r w:rsidRPr="00346E4A">
              <w:rPr>
                <w:rFonts w:ascii="Times New Roman" w:hAnsi="Times New Roman" w:cs="Times New Roman"/>
                <w:lang w:val="ro-RO"/>
              </w:rPr>
              <w:t xml:space="preserve"> din 1</w:t>
            </w:r>
            <w:r>
              <w:rPr>
                <w:rFonts w:ascii="Times New Roman" w:hAnsi="Times New Roman" w:cs="Times New Roman"/>
                <w:lang w:val="ro-RO"/>
              </w:rPr>
              <w:t>6</w:t>
            </w:r>
            <w:r w:rsidRPr="00346E4A">
              <w:rPr>
                <w:rFonts w:ascii="Times New Roman" w:hAnsi="Times New Roman" w:cs="Times New Roman"/>
                <w:lang w:val="ro-RO"/>
              </w:rPr>
              <w:t>.06.2015 pentru a</w:t>
            </w:r>
            <w:r>
              <w:rPr>
                <w:rFonts w:ascii="Times New Roman" w:hAnsi="Times New Roman" w:cs="Times New Roman"/>
                <w:lang w:val="ro-RO"/>
              </w:rPr>
              <w:t xml:space="preserve">probarea Reglementării tehnice privind punerea la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pe piață a mijloacelor de măsurare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1.5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Directiva 2009/48/CE a Parlamentului European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 Consiliului din 18 iunie 2009 privind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siguranţa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jucăriilor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DDIC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346E4A" w:rsidRPr="00346E4A" w:rsidRDefault="00346E4A" w:rsidP="00346E4A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46E4A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5A2125" w:rsidRDefault="00346E4A" w:rsidP="00346E4A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 fost aprobată HG nr. 808</w:t>
            </w:r>
            <w:r w:rsidRPr="00346E4A">
              <w:rPr>
                <w:rFonts w:ascii="Times New Roman" w:hAnsi="Times New Roman" w:cs="Times New Roman"/>
                <w:lang w:val="ro-RO"/>
              </w:rPr>
              <w:t xml:space="preserve"> din 29.10.2015 pentru aprobarea Reglementării tehnice</w:t>
            </w:r>
            <w:r>
              <w:rPr>
                <w:rFonts w:ascii="Times New Roman" w:hAnsi="Times New Roman" w:cs="Times New Roman"/>
                <w:lang w:val="ro-RO"/>
              </w:rPr>
              <w:t xml:space="preserve"> privind siguranța jucăriilor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1.6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Directivei 2014/33/UE referitoare la ascensoare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la componentele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siguranţă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pentru ascensoare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II,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DSPSI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FF65A3" w:rsidRPr="00FF65A3" w:rsidRDefault="00FF65A3" w:rsidP="00FF65A3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F65A3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5A2125" w:rsidRDefault="00FF65A3" w:rsidP="00FF65A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 fost aprobată HG nr. 8 din 20.</w:t>
            </w:r>
            <w:r w:rsidRPr="00FF65A3">
              <w:rPr>
                <w:rFonts w:ascii="Times New Roman" w:hAnsi="Times New Roman" w:cs="Times New Roman"/>
                <w:lang w:val="ro-RO"/>
              </w:rPr>
              <w:t>0</w:t>
            </w:r>
            <w:r>
              <w:rPr>
                <w:rFonts w:ascii="Times New Roman" w:hAnsi="Times New Roman" w:cs="Times New Roman"/>
                <w:lang w:val="ro-RO"/>
              </w:rPr>
              <w:t xml:space="preserve">1.2016 cu privire la aprobarea </w:t>
            </w:r>
            <w:r w:rsidRPr="00FF65A3">
              <w:rPr>
                <w:rFonts w:ascii="Times New Roman" w:hAnsi="Times New Roman" w:cs="Times New Roman"/>
                <w:lang w:val="ro-RO"/>
              </w:rPr>
              <w:t>Reglementării tehnice</w:t>
            </w:r>
            <w:r>
              <w:rPr>
                <w:rFonts w:ascii="Times New Roman" w:hAnsi="Times New Roman" w:cs="Times New Roman"/>
                <w:lang w:val="ro-RO"/>
              </w:rPr>
              <w:t xml:space="preserve"> privind ascensoarele și componentele de siguranță pentru ascensoare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1.7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Directiva 2014/31/UE referitoare la punerea la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 aparatelor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cîntărit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cu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funcţionare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neautomată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DDIC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5A2125" w:rsidRDefault="00FF65A3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F65A3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FF65A3" w:rsidRPr="00FF65A3" w:rsidRDefault="00FF65A3" w:rsidP="005A21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 fost aprobată HG nr. 267 din 08.04.2014 pentru </w:t>
            </w:r>
            <w:r w:rsidRPr="00FF65A3">
              <w:rPr>
                <w:rFonts w:ascii="Times New Roman" w:hAnsi="Times New Roman" w:cs="Times New Roman"/>
                <w:lang w:val="ro-RO"/>
              </w:rPr>
              <w:t>aprobarea Reglementării tehnice privind</w:t>
            </w:r>
            <w:r>
              <w:rPr>
                <w:rFonts w:ascii="Times New Roman" w:hAnsi="Times New Roman" w:cs="Times New Roman"/>
                <w:lang w:val="ro-RO"/>
              </w:rPr>
              <w:t xml:space="preserve"> aparatele de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cîntărit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neautomate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1.8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FF65A3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Directiva 2009/142/CE a Parlamentului European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 Consiliului din 30 noiembrie 2009 privind aparatele consumatoare de combustibili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g</w:t>
            </w:r>
            <w:r w:rsidR="00FF65A3">
              <w:rPr>
                <w:rFonts w:ascii="Times New Roman" w:hAnsi="Times New Roman" w:cs="Times New Roman"/>
                <w:lang w:val="ro-RO"/>
              </w:rPr>
              <w:t>a</w:t>
            </w:r>
            <w:r w:rsidRPr="005A2125">
              <w:rPr>
                <w:rFonts w:ascii="Times New Roman" w:hAnsi="Times New Roman" w:cs="Times New Roman"/>
                <w:lang w:val="ro-RO"/>
              </w:rPr>
              <w:t>zoşi</w:t>
            </w:r>
            <w:proofErr w:type="spellEnd"/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Direcția politici investiționale și competitivitate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5A2125" w:rsidRDefault="00FF65A3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F65A3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FF65A3" w:rsidRPr="00FF65A3" w:rsidRDefault="00FF65A3" w:rsidP="00A35C44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FF65A3">
              <w:rPr>
                <w:rFonts w:ascii="Times New Roman" w:hAnsi="Times New Roman" w:cs="Times New Roman"/>
                <w:lang w:val="ro-RO"/>
              </w:rPr>
              <w:t xml:space="preserve">A fost elaborat proiectul HG </w:t>
            </w:r>
            <w:r w:rsidR="005C03EC">
              <w:rPr>
                <w:rFonts w:ascii="Times New Roman" w:hAnsi="Times New Roman" w:cs="Times New Roman"/>
                <w:lang w:val="ro-RO"/>
              </w:rPr>
              <w:t xml:space="preserve">pentru aprobarea Reglementării tehnice privind </w:t>
            </w:r>
            <w:r w:rsidRPr="00FF65A3">
              <w:rPr>
                <w:rFonts w:ascii="Times New Roman" w:hAnsi="Times New Roman" w:cs="Times New Roman"/>
                <w:lang w:val="ro-RO"/>
              </w:rPr>
              <w:t>aparatele consumatoare de combustibili gazoși</w:t>
            </w:r>
            <w:r>
              <w:rPr>
                <w:rFonts w:ascii="Times New Roman" w:hAnsi="Times New Roman" w:cs="Times New Roman"/>
                <w:lang w:val="ro-RO"/>
              </w:rPr>
              <w:t xml:space="preserve"> și a fost examinat de către subdiviziunile interioare ale Ministerului Economiei. </w:t>
            </w:r>
            <w:r w:rsidR="00A35C44" w:rsidRPr="00A35C44">
              <w:rPr>
                <w:rFonts w:ascii="Times New Roman" w:hAnsi="Times New Roman" w:cs="Times New Roman"/>
                <w:lang w:val="ro-RO"/>
              </w:rPr>
              <w:t>Analiza impactului de reglementare urmează să fie inclusă pentru examinare în cadrul Grupului de lucru pentru reglementarea activității de întreprinzător.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1.9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Directiva 2014/68/UE referitoare la punerea la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dispoziţie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piaţă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 echipamentelor sub presiune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DSPSI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HG aprobată</w:t>
            </w:r>
          </w:p>
        </w:tc>
        <w:tc>
          <w:tcPr>
            <w:tcW w:w="5103" w:type="dxa"/>
            <w:gridSpan w:val="2"/>
          </w:tcPr>
          <w:p w:rsidR="00755713" w:rsidRPr="00755713" w:rsidRDefault="00755713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755713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A2125" w:rsidRPr="005A2125" w:rsidRDefault="00755713" w:rsidP="00755713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 fost publica</w:t>
            </w:r>
            <w:r w:rsidR="00F656F0">
              <w:rPr>
                <w:rFonts w:ascii="Times New Roman" w:hAnsi="Times New Roman" w:cs="Times New Roman"/>
                <w:lang w:val="ro-RO"/>
              </w:rPr>
              <w:t>t pe pagina web a Ministerului E</w:t>
            </w:r>
            <w:r>
              <w:rPr>
                <w:rFonts w:ascii="Times New Roman" w:hAnsi="Times New Roman" w:cs="Times New Roman"/>
                <w:lang w:val="ro-RO"/>
              </w:rPr>
              <w:t>conomie</w:t>
            </w:r>
            <w:r w:rsidR="00F656F0">
              <w:rPr>
                <w:rFonts w:ascii="Times New Roman" w:hAnsi="Times New Roman" w:cs="Times New Roman"/>
                <w:lang w:val="ro-RO"/>
              </w:rPr>
              <w:t>i</w:t>
            </w:r>
            <w:r>
              <w:rPr>
                <w:rFonts w:ascii="Times New Roman" w:hAnsi="Times New Roman" w:cs="Times New Roman"/>
                <w:lang w:val="ro-RO"/>
              </w:rPr>
              <w:t>, anunțul privind inițierea elaborării proiectului HG cu privire la aprobarea Reglementării tehnice privind punerea la dispoziție pe piaț</w:t>
            </w:r>
            <w:r w:rsidR="00A35C44">
              <w:rPr>
                <w:rFonts w:ascii="Times New Roman" w:hAnsi="Times New Roman" w:cs="Times New Roman"/>
                <w:lang w:val="ro-RO"/>
              </w:rPr>
              <w:t>ă a echipamentelor sub presiune.</w:t>
            </w:r>
          </w:p>
        </w:tc>
      </w:tr>
      <w:tr w:rsidR="00A35FE7" w:rsidRPr="005A2125" w:rsidTr="00846635"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bCs/>
                <w:lang w:val="ro-RO"/>
              </w:rPr>
              <w:t>Transpunerea Regulamentului (CE) nr.765/2008</w:t>
            </w:r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al Parlamentului European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al Consiliului din 9 iulie 2008 de stabilire a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cerinţelor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de acreditare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de supraveghere a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pieţei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în ceea ce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priveşte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comercializarea produselor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de abrogare a Regulamentului (CEE) nr.339/93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2.1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Elaborarea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promovarea proiectului Legii pentru modificarea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completarea </w:t>
            </w:r>
            <w:hyperlink r:id="rId5" w:history="1">
              <w:r w:rsidRPr="005A2125">
                <w:rPr>
                  <w:rStyle w:val="Hyperlink"/>
                  <w:rFonts w:ascii="Times New Roman" w:hAnsi="Times New Roman" w:cs="Times New Roman"/>
                  <w:bCs/>
                  <w:lang w:val="ro-RO"/>
                </w:rPr>
                <w:t>Legii nr.235 din 1 decembrie 2011</w:t>
              </w:r>
            </w:hyperlink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privind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activităţile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acreditare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evaluare a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conformităţii</w:t>
            </w:r>
            <w:proofErr w:type="spellEnd"/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Guvernului nr. 808 din 07.10.2014 cu privire la aprobarea Planului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acţiuni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pentru implementarea Acordului de Asociere Republica Moldova – Uniunea Europeană în perioada 2014-2016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DDIC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Nu necesită alocații din Bugetul de stat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Proiectul de Lege aprobat</w:t>
            </w:r>
          </w:p>
        </w:tc>
        <w:tc>
          <w:tcPr>
            <w:tcW w:w="5103" w:type="dxa"/>
            <w:gridSpan w:val="2"/>
          </w:tcPr>
          <w:p w:rsidR="00755713" w:rsidRPr="00755713" w:rsidRDefault="00755713" w:rsidP="00755713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755713">
              <w:rPr>
                <w:rFonts w:ascii="Times New Roman" w:hAnsi="Times New Roman" w:cs="Times New Roman"/>
                <w:b/>
                <w:bCs/>
                <w:lang w:val="ro-RO"/>
              </w:rPr>
              <w:t>În proces de realizare</w:t>
            </w:r>
          </w:p>
          <w:p w:rsidR="005A2125" w:rsidRPr="005A2125" w:rsidRDefault="00755713" w:rsidP="00755713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Proiectul de Lege pentru modificarea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 completarea unor acte legislative (Legea nr.235 din 01.12.2011 privind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activităţile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 de acreditare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 de evaluare a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conformităţii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; Legea nr.160 din 22.07.2011 privind reglementarea prin autorizare a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activităţii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 de întreprinzător; Codul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Contravenţional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 nr.218 din 24.10.2008), a fost înregistrat în Parlament cu nr. 408 din 22.10.2015 </w:t>
            </w:r>
            <w:proofErr w:type="spellStart"/>
            <w:r w:rsidRPr="00755713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755713">
              <w:rPr>
                <w:rFonts w:ascii="Times New Roman" w:hAnsi="Times New Roman" w:cs="Times New Roman"/>
                <w:bCs/>
                <w:lang w:val="ro-RO"/>
              </w:rPr>
              <w:t xml:space="preserve"> a fost examinat în I lectură.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2.2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Elaborarea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promovarea Legii metrologiei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DDIC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Proiectul de Lege aprobat</w:t>
            </w:r>
          </w:p>
        </w:tc>
        <w:tc>
          <w:tcPr>
            <w:tcW w:w="5103" w:type="dxa"/>
            <w:gridSpan w:val="2"/>
          </w:tcPr>
          <w:p w:rsidR="006F46E7" w:rsidRPr="006F46E7" w:rsidRDefault="006F46E7" w:rsidP="006F46E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F46E7">
              <w:rPr>
                <w:rFonts w:ascii="Times New Roman" w:hAnsi="Times New Roman" w:cs="Times New Roman"/>
                <w:b/>
                <w:bCs/>
                <w:lang w:val="ro-RO"/>
              </w:rPr>
              <w:t>În proces de realizare</w:t>
            </w:r>
          </w:p>
          <w:p w:rsidR="005A2125" w:rsidRPr="005A2125" w:rsidRDefault="006F46E7" w:rsidP="006F46E7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6F46E7">
              <w:rPr>
                <w:rFonts w:ascii="Times New Roman" w:hAnsi="Times New Roman" w:cs="Times New Roman"/>
                <w:bCs/>
                <w:lang w:val="ro-RO"/>
              </w:rPr>
              <w:t xml:space="preserve">Proiectul de lege a metrologiei a fost înregistrat în Parlament cu nr. 426 din 03.11.2015 </w:t>
            </w:r>
            <w:proofErr w:type="spellStart"/>
            <w:r w:rsidRPr="006F46E7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6F46E7">
              <w:rPr>
                <w:rFonts w:ascii="Times New Roman" w:hAnsi="Times New Roman" w:cs="Times New Roman"/>
                <w:bCs/>
                <w:lang w:val="ro-RO"/>
              </w:rPr>
              <w:t xml:space="preserve"> a fost examinat în I lectură.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2.3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Elaborarea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promovarea proiectului de lege privind supravegherea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pieţei</w:t>
            </w:r>
            <w:proofErr w:type="spellEnd"/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DSPSI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Proiectul de Lege aprobat</w:t>
            </w:r>
          </w:p>
        </w:tc>
        <w:tc>
          <w:tcPr>
            <w:tcW w:w="5103" w:type="dxa"/>
            <w:gridSpan w:val="2"/>
          </w:tcPr>
          <w:p w:rsidR="006F46E7" w:rsidRPr="006F46E7" w:rsidRDefault="006F46E7" w:rsidP="006F46E7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6F46E7">
              <w:rPr>
                <w:rFonts w:ascii="Times New Roman" w:hAnsi="Times New Roman" w:cs="Times New Roman"/>
                <w:b/>
                <w:bCs/>
                <w:lang w:val="ro-RO"/>
              </w:rPr>
              <w:t>În proces de realizare</w:t>
            </w:r>
          </w:p>
          <w:p w:rsidR="005A2125" w:rsidRPr="005A2125" w:rsidRDefault="006F46E7" w:rsidP="006F46E7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6F46E7">
              <w:rPr>
                <w:rFonts w:ascii="Times New Roman" w:hAnsi="Times New Roman" w:cs="Times New Roman"/>
                <w:bCs/>
                <w:lang w:val="ro-RO"/>
              </w:rPr>
              <w:t xml:space="preserve">Proiectul de lege </w:t>
            </w:r>
            <w:r>
              <w:rPr>
                <w:rFonts w:ascii="Times New Roman" w:hAnsi="Times New Roman" w:cs="Times New Roman"/>
                <w:bCs/>
                <w:lang w:val="ro-RO"/>
              </w:rPr>
              <w:t xml:space="preserve">privind supravegherea pieței </w:t>
            </w:r>
            <w:r w:rsidRPr="006F46E7">
              <w:rPr>
                <w:rFonts w:ascii="Times New Roman" w:hAnsi="Times New Roman" w:cs="Times New Roman"/>
                <w:bCs/>
                <w:lang w:val="ro-RO"/>
              </w:rPr>
              <w:t>a fost înr</w:t>
            </w:r>
            <w:r>
              <w:rPr>
                <w:rFonts w:ascii="Times New Roman" w:hAnsi="Times New Roman" w:cs="Times New Roman"/>
                <w:bCs/>
                <w:lang w:val="ro-RO"/>
              </w:rPr>
              <w:t>egistrat în Parlament cu nr. 337 din 28.09</w:t>
            </w:r>
            <w:r w:rsidRPr="006F46E7">
              <w:rPr>
                <w:rFonts w:ascii="Times New Roman" w:hAnsi="Times New Roman" w:cs="Times New Roman"/>
                <w:bCs/>
                <w:lang w:val="ro-RO"/>
              </w:rPr>
              <w:t xml:space="preserve">.2015 </w:t>
            </w:r>
            <w:proofErr w:type="spellStart"/>
            <w:r w:rsidRPr="006F46E7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6F46E7">
              <w:rPr>
                <w:rFonts w:ascii="Times New Roman" w:hAnsi="Times New Roman" w:cs="Times New Roman"/>
                <w:bCs/>
                <w:lang w:val="ro-RO"/>
              </w:rPr>
              <w:t xml:space="preserve"> a fost examinat în I lectură.</w:t>
            </w:r>
          </w:p>
        </w:tc>
      </w:tr>
      <w:tr w:rsidR="00A35FE7" w:rsidRPr="005A2125" w:rsidTr="00846635">
        <w:trPr>
          <w:trHeight w:val="623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Semnarea de către Organismul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de Acreditare (MOLDAC) a Acordului de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recunoaştere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multilaterală cu Cooperarea Europeană pentru Acreditare (EA MLA)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3.1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bCs/>
                <w:highlight w:val="yellow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Consolidarea continuă a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capacităţilor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instituţionale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ale Centrului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de Acreditare MOLDAC, în scopul semnării Acordului de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recunoaştere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multilaterală EA MLA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Guvernului nr. 808 din 07.10.2014 cu privire la aprobarea Planului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acţiuni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pentru implementarea Acordului de Asociere Republica Moldova – </w:t>
            </w:r>
            <w:r w:rsidRPr="005A2125">
              <w:rPr>
                <w:rFonts w:ascii="Times New Roman" w:hAnsi="Times New Roman" w:cs="Times New Roman"/>
                <w:bCs/>
                <w:lang w:val="ro-RO"/>
              </w:rPr>
              <w:lastRenderedPageBreak/>
              <w:t>Uniunea Europeană în perioada 2014-2016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lastRenderedPageBreak/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Centrului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de Acreditare (MOLDAC)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bugetului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precum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mijloacele provenite din alte surse, conform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legislaţiei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vigoare.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Numărul documentelor MOLDAC (politici, criterii, reguli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proceduri) armonizate cu documentele EA</w:t>
            </w:r>
          </w:p>
        </w:tc>
        <w:tc>
          <w:tcPr>
            <w:tcW w:w="5103" w:type="dxa"/>
            <w:gridSpan w:val="2"/>
          </w:tcPr>
          <w:p w:rsidR="00457553" w:rsidRPr="00457553" w:rsidRDefault="00457553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57553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787194" w:rsidRPr="00787194" w:rsidRDefault="00787194" w:rsidP="00787194">
            <w:pPr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>Pe parcursul anului 2015 au fost instruite:</w:t>
            </w:r>
          </w:p>
          <w:p w:rsidR="00787194" w:rsidRPr="00787194" w:rsidRDefault="00787194" w:rsidP="0078719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30 persoane implicate în procesul de acreditare inclusiv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ca eva</w:t>
            </w:r>
            <w:r w:rsidR="00AA221D">
              <w:rPr>
                <w:rFonts w:ascii="Times New Roman" w:hAnsi="Times New Roman" w:cs="Times New Roman"/>
                <w:lang w:val="ro-RO"/>
              </w:rPr>
              <w:t xml:space="preserve">luatori </w:t>
            </w:r>
            <w:proofErr w:type="spellStart"/>
            <w:r w:rsidR="00AA221D">
              <w:rPr>
                <w:rFonts w:ascii="Times New Roman" w:hAnsi="Times New Roman" w:cs="Times New Roman"/>
                <w:lang w:val="ro-RO"/>
              </w:rPr>
              <w:t>şefi</w:t>
            </w:r>
            <w:proofErr w:type="spellEnd"/>
            <w:r w:rsidR="00AA221D">
              <w:rPr>
                <w:rFonts w:ascii="Times New Roman" w:hAnsi="Times New Roman" w:cs="Times New Roman"/>
                <w:lang w:val="ro-RO"/>
              </w:rPr>
              <w:t xml:space="preserve"> la următoarele tematici</w:t>
            </w:r>
            <w:r w:rsidRPr="00787194">
              <w:rPr>
                <w:rFonts w:ascii="Times New Roman" w:hAnsi="Times New Roman" w:cs="Times New Roman"/>
                <w:lang w:val="ro-RO"/>
              </w:rPr>
              <w:t>:</w:t>
            </w:r>
          </w:p>
          <w:p w:rsidR="00787194" w:rsidRPr="00787194" w:rsidRDefault="00AA221D" w:rsidP="0078719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a</w:t>
            </w:r>
            <w:r w:rsidR="00787194" w:rsidRPr="00787194">
              <w:rPr>
                <w:rFonts w:ascii="Times New Roman" w:hAnsi="Times New Roman" w:cs="Times New Roman"/>
                <w:lang w:val="ro-RO"/>
              </w:rPr>
              <w:t xml:space="preserve">sigurarea </w:t>
            </w:r>
            <w:proofErr w:type="spellStart"/>
            <w:r w:rsidR="00787194" w:rsidRPr="00787194">
              <w:rPr>
                <w:rFonts w:ascii="Times New Roman" w:hAnsi="Times New Roman" w:cs="Times New Roman"/>
                <w:lang w:val="ro-RO"/>
              </w:rPr>
              <w:t>calităţii</w:t>
            </w:r>
            <w:proofErr w:type="spellEnd"/>
            <w:r w:rsidR="00787194" w:rsidRPr="00787194">
              <w:rPr>
                <w:rFonts w:ascii="Times New Roman" w:hAnsi="Times New Roman" w:cs="Times New Roman"/>
                <w:lang w:val="ro-RO"/>
              </w:rPr>
              <w:t xml:space="preserve"> rezultatelor încercărilor conform ISO/CEI 17025 </w:t>
            </w:r>
            <w:proofErr w:type="spellStart"/>
            <w:r w:rsidR="00787194"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787194" w:rsidRPr="00787194">
              <w:rPr>
                <w:rFonts w:ascii="Times New Roman" w:hAnsi="Times New Roman" w:cs="Times New Roman"/>
                <w:lang w:val="ro-RO"/>
              </w:rPr>
              <w:t xml:space="preserve"> documentele EA, ILAC;</w:t>
            </w:r>
          </w:p>
          <w:p w:rsidR="00787194" w:rsidRPr="00787194" w:rsidRDefault="00AA221D" w:rsidP="0078719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v</w:t>
            </w:r>
            <w:r w:rsidR="00787194" w:rsidRPr="00787194">
              <w:rPr>
                <w:rFonts w:ascii="Times New Roman" w:hAnsi="Times New Roman" w:cs="Times New Roman"/>
                <w:lang w:val="ro-RO"/>
              </w:rPr>
              <w:t xml:space="preserve">alidarea </w:t>
            </w:r>
            <w:proofErr w:type="spellStart"/>
            <w:r w:rsidR="00787194"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787194" w:rsidRPr="00787194">
              <w:rPr>
                <w:rFonts w:ascii="Times New Roman" w:hAnsi="Times New Roman" w:cs="Times New Roman"/>
                <w:lang w:val="ro-RO"/>
              </w:rPr>
              <w:t xml:space="preserve"> verificarea metodelor de încercări. Estimarea incertitudinii de măsurare;</w:t>
            </w:r>
          </w:p>
          <w:p w:rsidR="00787194" w:rsidRPr="00787194" w:rsidRDefault="00787194" w:rsidP="0078719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-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standardelor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internaţionale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ISO/CEI 17020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ISO 19011 pentru acreditarea Organismelor de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Inspecţii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787194" w:rsidRDefault="00787194" w:rsidP="00787194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- documentelor EA, ILAC pentru extinderea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activităţii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MOLDAC la o noua schemă de acreditare: </w:t>
            </w:r>
            <w:r w:rsidRPr="00787194">
              <w:rPr>
                <w:rFonts w:ascii="Times New Roman" w:hAnsi="Times New Roman" w:cs="Times New Roman"/>
                <w:lang w:val="ro-RO"/>
              </w:rPr>
              <w:lastRenderedPageBreak/>
              <w:t xml:space="preserve">„Acreditarea organismelor de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inspecţii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în domeniul criminalisticii”.</w:t>
            </w:r>
          </w:p>
          <w:p w:rsidR="00787194" w:rsidRPr="00787194" w:rsidRDefault="00787194" w:rsidP="00AA221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>50 persoane pe domenii noi:</w:t>
            </w:r>
          </w:p>
          <w:p w:rsidR="00787194" w:rsidRPr="00787194" w:rsidRDefault="00787194" w:rsidP="00AA221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>- pentru acreditarea laboratoarelor de etalonări;</w:t>
            </w:r>
          </w:p>
          <w:p w:rsidR="00787194" w:rsidRPr="00787194" w:rsidRDefault="00787194" w:rsidP="00AA221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- domeniul criminalistică la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standardului ISO/CEI 17025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ghidul ILAC G19;</w:t>
            </w:r>
          </w:p>
          <w:p w:rsidR="00787194" w:rsidRPr="00787194" w:rsidRDefault="00787194" w:rsidP="00AA221D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>- laboratoare medicale;</w:t>
            </w:r>
          </w:p>
          <w:p w:rsidR="005A2125" w:rsidRDefault="00787194" w:rsidP="00787194">
            <w:pPr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Reprezentantul MOLDAC a participat în calitate de formator la seminarul organizat de Universitatea de Stat de Medicină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Farmacie „Nicolae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Testemiţanu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” privind implementarea sistemului de management în conformitate cu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standardelor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internaţionale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ISO/CEI 17025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ISO 15189 în laboratoarele medicale.</w:t>
            </w:r>
          </w:p>
          <w:p w:rsidR="00994DBB" w:rsidRPr="005A2125" w:rsidRDefault="00994DBB" w:rsidP="00994DBB">
            <w:pPr>
              <w:rPr>
                <w:rFonts w:ascii="Times New Roman" w:hAnsi="Times New Roman" w:cs="Times New Roman"/>
                <w:lang w:val="ro-RO"/>
              </w:rPr>
            </w:pPr>
            <w:r w:rsidRPr="00994DBB">
              <w:rPr>
                <w:rFonts w:ascii="Times New Roman" w:hAnsi="Times New Roman" w:cs="Times New Roman"/>
                <w:lang w:val="ro-RO"/>
              </w:rPr>
              <w:t>Toate documentele Sistemului de Management al MOLDAC (15 la număr: Politici – 8, Criterii generale pentru acreditare – 1, Reguli pentru acreditare – 1, Proceduri – 5) sunt armonizate cu documentele EA.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3.2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AA221D">
              <w:rPr>
                <w:rFonts w:ascii="Times New Roman" w:hAnsi="Times New Roman" w:cs="Times New Roman"/>
                <w:lang w:val="ro-RO"/>
              </w:rPr>
              <w:t xml:space="preserve">Realizarea Proiectului </w:t>
            </w:r>
            <w:proofErr w:type="spellStart"/>
            <w:r w:rsidRPr="00AA221D">
              <w:rPr>
                <w:rFonts w:ascii="Times New Roman" w:hAnsi="Times New Roman" w:cs="Times New Roman"/>
                <w:lang w:val="ro-RO"/>
              </w:rPr>
              <w:t>Twinning</w:t>
            </w:r>
            <w:proofErr w:type="spellEnd"/>
            <w:r w:rsidRPr="00AA221D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AA221D">
              <w:rPr>
                <w:rFonts w:ascii="Times New Roman" w:hAnsi="Times New Roman" w:cs="Times New Roman"/>
                <w:lang w:val="ro-RO"/>
              </w:rPr>
              <w:t>light</w:t>
            </w:r>
            <w:proofErr w:type="spellEnd"/>
            <w:r w:rsidRPr="00AA221D">
              <w:rPr>
                <w:rFonts w:ascii="Times New Roman" w:hAnsi="Times New Roman" w:cs="Times New Roman"/>
                <w:lang w:val="ro-RO"/>
              </w:rPr>
              <w:t xml:space="preserve"> “Suport pentru Centrul Național de Acreditare MOLDAC”</w:t>
            </w:r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Strategia sectorială de cheltuieli în domeniul infrastructurii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calităţii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protecţiei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consumatorilor pentru perioada 2016– 2018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MOLDAC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Numărul evaluatorilor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instruiţi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instruiri, seminare, workshop-uri</w:t>
            </w:r>
          </w:p>
        </w:tc>
        <w:tc>
          <w:tcPr>
            <w:tcW w:w="5103" w:type="dxa"/>
            <w:gridSpan w:val="2"/>
          </w:tcPr>
          <w:p w:rsidR="005A2125" w:rsidRDefault="00FF0E44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F0E44">
              <w:rPr>
                <w:rFonts w:ascii="Times New Roman" w:hAnsi="Times New Roman" w:cs="Times New Roman"/>
                <w:b/>
                <w:lang w:val="ro-RO"/>
              </w:rPr>
              <w:t xml:space="preserve">În proces de realizare 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 xml:space="preserve">În cadrul Proiectului TWINNING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Light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”Suport pentru Centrul Național de Acreditare MOLDAC să treacă cu succes procesul de evaluare paritară EA pentru a fi acceptat ca semnatar al EA MLA pentru domeniul selectat ” au fost realizate următoarele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activităţi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>: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>-</w:t>
            </w:r>
            <w:r w:rsidRPr="00FF0E44">
              <w:rPr>
                <w:rFonts w:ascii="Times New Roman" w:hAnsi="Times New Roman" w:cs="Times New Roman"/>
                <w:lang w:val="ro-RO"/>
              </w:rPr>
              <w:tab/>
              <w:t>îmbunătățirea documentelor sistemului de management al MOLDAC;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>-</w:t>
            </w:r>
            <w:r w:rsidRPr="00FF0E44">
              <w:rPr>
                <w:rFonts w:ascii="Times New Roman" w:hAnsi="Times New Roman" w:cs="Times New Roman"/>
                <w:lang w:val="ro-RO"/>
              </w:rPr>
              <w:tab/>
              <w:t xml:space="preserve">instruiri la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standardului ISO/CEI 17025 la care au participat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reprezentanţii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laboratoarelor de încercări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de etalonări;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>-</w:t>
            </w:r>
            <w:r w:rsidRPr="00FF0E44">
              <w:rPr>
                <w:rFonts w:ascii="Times New Roman" w:hAnsi="Times New Roman" w:cs="Times New Roman"/>
                <w:lang w:val="ro-RO"/>
              </w:rPr>
              <w:tab/>
              <w:t xml:space="preserve">instruiri la cerințele standardului ISO/CEI 17021-1:2015 la care au participat reprezentanții organismelor de certificare, 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>-</w:t>
            </w:r>
            <w:r w:rsidRPr="00FF0E44">
              <w:rPr>
                <w:rFonts w:ascii="Times New Roman" w:hAnsi="Times New Roman" w:cs="Times New Roman"/>
                <w:lang w:val="ro-RO"/>
              </w:rPr>
              <w:tab/>
              <w:t xml:space="preserve">au fost evaluate 1 organism de certificare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 2 laboratoare de încercări în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prezenţa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evaluatorilor ACCREDIA;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lastRenderedPageBreak/>
              <w:t>-</w:t>
            </w:r>
            <w:r w:rsidRPr="00FF0E44">
              <w:rPr>
                <w:rFonts w:ascii="Times New Roman" w:hAnsi="Times New Roman" w:cs="Times New Roman"/>
                <w:lang w:val="ro-RO"/>
              </w:rPr>
              <w:tab/>
              <w:t>evaluarea MOLDAC privind alegerea domeniilor noi (expertiza medic</w:t>
            </w:r>
            <w:r w:rsidR="00457553">
              <w:rPr>
                <w:rFonts w:ascii="Times New Roman" w:hAnsi="Times New Roman" w:cs="Times New Roman"/>
                <w:lang w:val="ro-RO"/>
              </w:rPr>
              <w:t>o-legală, dispozitive medicale)</w:t>
            </w:r>
            <w:r w:rsidRPr="00FF0E44">
              <w:rPr>
                <w:rFonts w:ascii="Times New Roman" w:hAnsi="Times New Roman" w:cs="Times New Roman"/>
                <w:lang w:val="ro-RO"/>
              </w:rPr>
              <w:t xml:space="preserve">, în cadrul căreia s-au efectuat instruirea în domeniul controlului calității medicamentelor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în domeniul dispozitivelor medicale;</w:t>
            </w:r>
          </w:p>
          <w:p w:rsidR="00FF0E44" w:rsidRPr="00FF0E44" w:rsidRDefault="00FF0E44" w:rsidP="00457553">
            <w:pPr>
              <w:spacing w:after="0"/>
              <w:rPr>
                <w:rFonts w:ascii="Times New Roman" w:hAnsi="Times New Roman" w:cs="Times New Roman"/>
                <w:b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>-</w:t>
            </w:r>
            <w:r w:rsidRPr="00FF0E44">
              <w:rPr>
                <w:rFonts w:ascii="Times New Roman" w:hAnsi="Times New Roman" w:cs="Times New Roman"/>
                <w:lang w:val="ro-RO"/>
              </w:rPr>
              <w:tab/>
              <w:t xml:space="preserve">instruirea la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noilor versiuni a documentelor ILAC P10:01/2013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la cerințele documentelor ILAC P-09, ILAC G-24, EA 4/18, cu participarea reprezentanților laboratoarelor de încercări ( organizatori de teste de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competenţă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/comparări </w:t>
            </w:r>
            <w:proofErr w:type="spellStart"/>
            <w:r w:rsidRPr="00FF0E44">
              <w:rPr>
                <w:rFonts w:ascii="Times New Roman" w:hAnsi="Times New Roman" w:cs="Times New Roman"/>
                <w:lang w:val="ro-RO"/>
              </w:rPr>
              <w:t>interlaboratoare</w:t>
            </w:r>
            <w:proofErr w:type="spellEnd"/>
            <w:r w:rsidRPr="00FF0E44">
              <w:rPr>
                <w:rFonts w:ascii="Times New Roman" w:hAnsi="Times New Roman" w:cs="Times New Roman"/>
                <w:lang w:val="ro-RO"/>
              </w:rPr>
              <w:t xml:space="preserve"> (PT/ILC) la nivel național).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 xml:space="preserve">3.3 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Evaluarea Centrului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de Acreditare MOLDAC de către echipa EA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MOLDAC</w:t>
            </w: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Decizia EA privind evaluarea paritară cu succes</w:t>
            </w:r>
          </w:p>
        </w:tc>
        <w:tc>
          <w:tcPr>
            <w:tcW w:w="5103" w:type="dxa"/>
            <w:gridSpan w:val="2"/>
          </w:tcPr>
          <w:p w:rsidR="00FF0E44" w:rsidRPr="00FF0E44" w:rsidRDefault="00FF0E44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F0E44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A2125" w:rsidRPr="005A2125" w:rsidRDefault="00FF0E44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FF0E44">
              <w:rPr>
                <w:rFonts w:ascii="Times New Roman" w:hAnsi="Times New Roman" w:cs="Times New Roman"/>
                <w:lang w:val="ro-RO"/>
              </w:rPr>
              <w:t>Evaluarea Centrului Național de Acreditare MOLDAC de către echipa EA, în contextul depunerii cererii de a deveni semnatar al Acordului de Recunoaștere (EA MLA), este programată pentru luna iunie 2016.</w:t>
            </w:r>
          </w:p>
        </w:tc>
      </w:tr>
      <w:tr w:rsidR="00A35FE7" w:rsidRPr="005A2125" w:rsidTr="00846635">
        <w:trPr>
          <w:trHeight w:val="451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Acreditarea laboratoarelor de etalonare ale INM și ale CMAC conform standardului EN ISO/IEC 17025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4.1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D20EDC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Acreditarea laboratoarelor de etalonare pentru domeniile:</w:t>
            </w:r>
          </w:p>
          <w:p w:rsidR="005A2125" w:rsidRPr="00D20EDC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-mase</w:t>
            </w:r>
          </w:p>
          <w:p w:rsidR="005A2125" w:rsidRPr="00D20EDC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 xml:space="preserve">-lungimi </w:t>
            </w:r>
          </w:p>
          <w:p w:rsidR="005A2125" w:rsidRPr="00AA221D" w:rsidRDefault="005A2125" w:rsidP="00A35FE7">
            <w:pPr>
              <w:spacing w:after="0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-umiditate</w:t>
            </w:r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Matricea Reformei de Politici din Acordul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finanţare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dintre Guvernul 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CE privind Programul de suport al instituirii ZLSAC în RM, aprobat prin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Guvernului nr. 922 din 12.11.2014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Institutul Naționale de Metrologie ( INM)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bugetului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precum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mijloacele provenite din alte surse, conform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legislaţiei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vigoare.</w:t>
            </w:r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Certificate de acreditare valabile</w:t>
            </w:r>
          </w:p>
        </w:tc>
        <w:tc>
          <w:tcPr>
            <w:tcW w:w="5103" w:type="dxa"/>
            <w:gridSpan w:val="2"/>
          </w:tcPr>
          <w:p w:rsidR="00466CD6" w:rsidRPr="00466CD6" w:rsidRDefault="00466CD6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66CD6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F656F0" w:rsidRPr="00F656F0" w:rsidRDefault="00466CD6" w:rsidP="000517F4">
            <w:pPr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 xml:space="preserve">Laboratoarele de etalonare din cadrul </w:t>
            </w:r>
            <w:r w:rsidR="000517F4" w:rsidRPr="00D20EDC">
              <w:rPr>
                <w:rFonts w:ascii="Times New Roman" w:hAnsi="Times New Roman" w:cs="Times New Roman"/>
                <w:lang w:val="ro-RO"/>
              </w:rPr>
              <w:t>Institutului Național de Metrologie</w:t>
            </w:r>
            <w:r w:rsidRPr="00D20EDC">
              <w:rPr>
                <w:rFonts w:ascii="Times New Roman" w:hAnsi="Times New Roman" w:cs="Times New Roman"/>
                <w:lang w:val="ro-RO"/>
              </w:rPr>
              <w:t xml:space="preserve">, au fost acreditate, conform </w:t>
            </w:r>
            <w:proofErr w:type="spellStart"/>
            <w:r w:rsidRPr="00D20EDC">
              <w:rPr>
                <w:rFonts w:ascii="Times New Roman" w:hAnsi="Times New Roman" w:cs="Times New Roman"/>
                <w:lang w:val="ro-RO"/>
              </w:rPr>
              <w:t>cerinţelor</w:t>
            </w:r>
            <w:proofErr w:type="spellEnd"/>
            <w:r w:rsidRPr="00D20EDC">
              <w:rPr>
                <w:rFonts w:ascii="Times New Roman" w:hAnsi="Times New Roman" w:cs="Times New Roman"/>
                <w:lang w:val="ro-RO"/>
              </w:rPr>
              <w:t xml:space="preserve"> standardului SM SR EN ISO/CEI 17025, pentru domeniul mărimi geometrice, mărimi termice</w:t>
            </w:r>
            <w:r w:rsidR="00BC4CE8">
              <w:rPr>
                <w:rFonts w:ascii="Times New Roman" w:hAnsi="Times New Roman" w:cs="Times New Roman"/>
                <w:lang w:val="ro-RO"/>
              </w:rPr>
              <w:t xml:space="preserve"> (umiditate)</w:t>
            </w:r>
            <w:r w:rsidRPr="00D20EDC">
              <w:rPr>
                <w:rFonts w:ascii="Times New Roman" w:hAnsi="Times New Roman" w:cs="Times New Roman"/>
                <w:lang w:val="ro-RO"/>
              </w:rPr>
              <w:t>, mărimi mecanice (mase) (C</w:t>
            </w:r>
            <w:r w:rsidR="000517F4" w:rsidRPr="00D20EDC">
              <w:rPr>
                <w:rFonts w:ascii="Times New Roman" w:hAnsi="Times New Roman" w:cs="Times New Roman"/>
                <w:lang w:val="ro-RO"/>
              </w:rPr>
              <w:t>ertificat de acreditare LE - 002</w:t>
            </w:r>
            <w:r w:rsidRPr="00D20EDC">
              <w:rPr>
                <w:rFonts w:ascii="Times New Roman" w:hAnsi="Times New Roman" w:cs="Times New Roman"/>
                <w:lang w:val="ro-RO"/>
              </w:rPr>
              <w:t>).</w:t>
            </w:r>
            <w:bookmarkStart w:id="0" w:name="_GoBack"/>
            <w:bookmarkEnd w:id="0"/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4.2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D20EDC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Acreditarea laboratoarelor de etalonare pentru domeniile:</w:t>
            </w:r>
          </w:p>
          <w:p w:rsidR="005A2125" w:rsidRPr="00D20EDC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- presiuni</w:t>
            </w:r>
          </w:p>
          <w:p w:rsidR="005A2125" w:rsidRPr="00D20EDC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- mărimi electrice</w:t>
            </w:r>
          </w:p>
          <w:p w:rsidR="005A2125" w:rsidRPr="00D20EDC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 xml:space="preserve">- </w:t>
            </w:r>
            <w:proofErr w:type="spellStart"/>
            <w:r w:rsidRPr="00D20EDC">
              <w:rPr>
                <w:rFonts w:ascii="Times New Roman" w:hAnsi="Times New Roman" w:cs="Times New Roman"/>
                <w:lang w:val="ro-RO"/>
              </w:rPr>
              <w:t>fizico</w:t>
            </w:r>
            <w:proofErr w:type="spellEnd"/>
            <w:r w:rsidRPr="00D20EDC">
              <w:rPr>
                <w:rFonts w:ascii="Times New Roman" w:hAnsi="Times New Roman" w:cs="Times New Roman"/>
                <w:lang w:val="ro-RO"/>
              </w:rPr>
              <w:t>-chimie</w:t>
            </w:r>
          </w:p>
          <w:p w:rsidR="005A2125" w:rsidRPr="00AA221D" w:rsidRDefault="005A2125" w:rsidP="00A35FE7">
            <w:pPr>
              <w:spacing w:after="0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- debite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INM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A2125" w:rsidRDefault="00D20EDC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D20EDC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D20EDC" w:rsidRPr="00D20EDC" w:rsidRDefault="00D20EDC" w:rsidP="00835D9D">
            <w:pPr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 xml:space="preserve">INM a depus </w:t>
            </w:r>
            <w:r w:rsidR="00835D9D">
              <w:rPr>
                <w:rFonts w:ascii="Times New Roman" w:hAnsi="Times New Roman" w:cs="Times New Roman"/>
                <w:lang w:val="ro-RO"/>
              </w:rPr>
              <w:t xml:space="preserve">la Centrul Național de Acreditare, solicitarea nr. 10-4/19A din 19.01.2016 pentru acreditarea laboratoarelor de încercări pentru domeniul presiuni, mărimi electrice, </w:t>
            </w:r>
            <w:proofErr w:type="spellStart"/>
            <w:r w:rsidR="00835D9D">
              <w:rPr>
                <w:rFonts w:ascii="Times New Roman" w:hAnsi="Times New Roman" w:cs="Times New Roman"/>
                <w:lang w:val="ro-RO"/>
              </w:rPr>
              <w:t>fizico</w:t>
            </w:r>
            <w:proofErr w:type="spellEnd"/>
            <w:r w:rsidR="00835D9D">
              <w:rPr>
                <w:rFonts w:ascii="Times New Roman" w:hAnsi="Times New Roman" w:cs="Times New Roman"/>
                <w:lang w:val="ro-RO"/>
              </w:rPr>
              <w:t>-chimie, debite.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4.3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D20EDC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Acreditarea laboratoarelor de etalonare pentru domeniile:</w:t>
            </w:r>
          </w:p>
          <w:p w:rsidR="005A2125" w:rsidRPr="00D20EDC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-volume</w:t>
            </w:r>
          </w:p>
          <w:p w:rsidR="005A2125" w:rsidRPr="00AA221D" w:rsidRDefault="005A2125" w:rsidP="00A35FE7">
            <w:pPr>
              <w:spacing w:after="0"/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 xml:space="preserve">-radiații ionizante 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INM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A2125" w:rsidRPr="005A2125" w:rsidRDefault="00ED02BD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D20EDC">
              <w:rPr>
                <w:rFonts w:ascii="Times New Roman" w:hAnsi="Times New Roman" w:cs="Times New Roman"/>
                <w:lang w:val="ro-RO"/>
              </w:rPr>
              <w:t>Acțiunea nu a fost inițiată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4.4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Acreditarea laboratoarelor de etalonare pentru domeniile </w:t>
            </w:r>
          </w:p>
          <w:p w:rsidR="005A2125" w:rsidRPr="005A2125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- mărimi mase mici (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greutăţi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aparate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cîntărit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cu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funcţionare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neautomată);</w:t>
            </w:r>
          </w:p>
          <w:p w:rsidR="005A2125" w:rsidRPr="005A2125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- mărimi geometrice (site pentru cernere, micrometre,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şublere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>);</w:t>
            </w:r>
          </w:p>
          <w:p w:rsidR="005A2125" w:rsidRPr="005A2125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- mărimi termice (termometre din sticlă, termometre digitale, incinte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termostatate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>).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Centrul de Metrologie Aplicată și Certificare (CMAC)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bugetului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instituţiei</w:t>
            </w:r>
            <w:proofErr w:type="spellEnd"/>
          </w:p>
        </w:tc>
        <w:tc>
          <w:tcPr>
            <w:tcW w:w="1135" w:type="dxa"/>
            <w:gridSpan w:val="2"/>
            <w:vMerge w:val="restart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Certificate de acreditare valabile</w:t>
            </w:r>
          </w:p>
        </w:tc>
        <w:tc>
          <w:tcPr>
            <w:tcW w:w="5103" w:type="dxa"/>
            <w:gridSpan w:val="2"/>
          </w:tcPr>
          <w:p w:rsidR="003B3572" w:rsidRPr="003B3572" w:rsidRDefault="003B3572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B3572">
              <w:rPr>
                <w:rFonts w:ascii="Times New Roman" w:hAnsi="Times New Roman" w:cs="Times New Roman"/>
                <w:b/>
                <w:lang w:val="ro-RO"/>
              </w:rPr>
              <w:t>Realizat</w:t>
            </w:r>
          </w:p>
          <w:p w:rsidR="005A2125" w:rsidRPr="005A2125" w:rsidRDefault="003B3572" w:rsidP="003B3572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 xml:space="preserve">Laboratoarele de etalonare din cadrul </w:t>
            </w:r>
            <w:r>
              <w:rPr>
                <w:rFonts w:ascii="Times New Roman" w:hAnsi="Times New Roman" w:cs="Times New Roman"/>
                <w:lang w:val="ro-RO"/>
              </w:rPr>
              <w:t>Centrului de Metrologie Aplicată și Certificare</w:t>
            </w:r>
            <w:r w:rsidRPr="003B3572">
              <w:rPr>
                <w:rFonts w:ascii="Times New Roman" w:hAnsi="Times New Roman" w:cs="Times New Roman"/>
                <w:lang w:val="ro-RO"/>
              </w:rPr>
              <w:t xml:space="preserve">, au fost acreditate, conform </w:t>
            </w:r>
            <w:proofErr w:type="spellStart"/>
            <w:r w:rsidRPr="003B3572">
              <w:rPr>
                <w:rFonts w:ascii="Times New Roman" w:hAnsi="Times New Roman" w:cs="Times New Roman"/>
                <w:lang w:val="ro-RO"/>
              </w:rPr>
              <w:t>cerinţelor</w:t>
            </w:r>
            <w:proofErr w:type="spellEnd"/>
            <w:r w:rsidRPr="003B3572">
              <w:rPr>
                <w:rFonts w:ascii="Times New Roman" w:hAnsi="Times New Roman" w:cs="Times New Roman"/>
                <w:lang w:val="ro-RO"/>
              </w:rPr>
              <w:t xml:space="preserve"> standardului SM SR EN ISO/CEI 17025, pentru domeniul mărimi geometrice, mărimi </w:t>
            </w:r>
            <w:r>
              <w:rPr>
                <w:rFonts w:ascii="Times New Roman" w:hAnsi="Times New Roman" w:cs="Times New Roman"/>
                <w:lang w:val="ro-RO"/>
              </w:rPr>
              <w:t>termice, mărimi mecanice (mase) (Certificat de acreditare LE - 001).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4.5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787194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>Acreditarea laboratoarelor de etalonare pentru domeniile</w:t>
            </w:r>
          </w:p>
          <w:p w:rsidR="005A2125" w:rsidRPr="00787194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  <w:lang w:val="ro-RO"/>
              </w:rPr>
              <w:t xml:space="preserve">- mărimi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forţă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 xml:space="preserve"> duritate (prese)</w:t>
            </w:r>
          </w:p>
          <w:p w:rsidR="005A2125" w:rsidRPr="005A2125" w:rsidRDefault="005A2125" w:rsidP="00A35FE7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787194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fizico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>-chimie (</w:t>
            </w:r>
            <w:proofErr w:type="spellStart"/>
            <w:r w:rsidRPr="00787194">
              <w:rPr>
                <w:rFonts w:ascii="Times New Roman" w:hAnsi="Times New Roman" w:cs="Times New Roman"/>
                <w:lang w:val="ro-RO"/>
              </w:rPr>
              <w:t>alcoometre</w:t>
            </w:r>
            <w:proofErr w:type="spellEnd"/>
            <w:r w:rsidRPr="00787194">
              <w:rPr>
                <w:rFonts w:ascii="Times New Roman" w:hAnsi="Times New Roman" w:cs="Times New Roman"/>
                <w:lang w:val="ro-RO"/>
              </w:rPr>
              <w:t>, spectrofotometre, densimetre)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CMAC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vMerge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A2125" w:rsidRPr="005A2125" w:rsidRDefault="00787194" w:rsidP="005A21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Acțiunea nu a fost inițiată</w:t>
            </w:r>
          </w:p>
        </w:tc>
      </w:tr>
      <w:tr w:rsidR="00A35FE7" w:rsidRPr="005A2125" w:rsidTr="00846635">
        <w:trPr>
          <w:trHeight w:val="513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Acreditarea și recunoașterea organismelor de evaluare a conformității </w:t>
            </w:r>
          </w:p>
        </w:tc>
      </w:tr>
      <w:tr w:rsidR="005A2125" w:rsidRPr="005A2125" w:rsidTr="00846635">
        <w:trPr>
          <w:trHeight w:val="792"/>
        </w:trPr>
        <w:tc>
          <w:tcPr>
            <w:tcW w:w="58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5.1</w:t>
            </w:r>
          </w:p>
        </w:tc>
        <w:tc>
          <w:tcPr>
            <w:tcW w:w="238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466CD6">
              <w:rPr>
                <w:rFonts w:ascii="Times New Roman" w:hAnsi="Times New Roman" w:cs="Times New Roman"/>
                <w:lang w:val="ro-RO"/>
              </w:rPr>
              <w:t>Crearea/dotarea laboratoarelor de încercări în vederea implementării reglementărilor tehnice care transpun directivele europene specificate în Anexa XVI din ZLSAC</w:t>
            </w:r>
          </w:p>
        </w:tc>
        <w:tc>
          <w:tcPr>
            <w:tcW w:w="1786" w:type="dxa"/>
            <w:gridSpan w:val="2"/>
            <w:vMerge w:val="restart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Matricea Reformei de Politici din Acordul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finanţare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dintre Guvernul 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CE privind Programul de suport al instituirii ZLSAC în RM, aprobat prin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Guvernului nr. 922 din 12.11.2014</w:t>
            </w:r>
          </w:p>
        </w:tc>
        <w:tc>
          <w:tcPr>
            <w:tcW w:w="1191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Ministerul Economiei (ME)</w:t>
            </w:r>
          </w:p>
        </w:tc>
        <w:tc>
          <w:tcPr>
            <w:tcW w:w="1567" w:type="dxa"/>
            <w:gridSpan w:val="2"/>
            <w:vMerge w:val="restart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bugetului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precum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mijloacele provenite din alte surse, conform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legislaţiei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vigoare.</w:t>
            </w:r>
          </w:p>
        </w:tc>
        <w:tc>
          <w:tcPr>
            <w:tcW w:w="1135" w:type="dxa"/>
            <w:gridSpan w:val="2"/>
          </w:tcPr>
          <w:p w:rsidR="003B3572" w:rsidRPr="003B3572" w:rsidRDefault="003B3572" w:rsidP="003B3572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 xml:space="preserve">Nr. de laboratoare dotate, </w:t>
            </w:r>
          </w:p>
          <w:p w:rsidR="003B3572" w:rsidRPr="003B3572" w:rsidRDefault="003B3572" w:rsidP="003B3572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>Nr. de metode acoperite</w:t>
            </w:r>
          </w:p>
          <w:p w:rsidR="005A2125" w:rsidRPr="005A2125" w:rsidRDefault="003B3572" w:rsidP="003B3572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 xml:space="preserve">Nr de echipament </w:t>
            </w:r>
            <w:proofErr w:type="spellStart"/>
            <w:r w:rsidRPr="003B3572">
              <w:rPr>
                <w:rFonts w:ascii="Times New Roman" w:hAnsi="Times New Roman" w:cs="Times New Roman"/>
                <w:lang w:val="ro-RO"/>
              </w:rPr>
              <w:t>achiziţionat</w:t>
            </w:r>
            <w:proofErr w:type="spellEnd"/>
          </w:p>
        </w:tc>
        <w:tc>
          <w:tcPr>
            <w:tcW w:w="4953" w:type="dxa"/>
            <w:shd w:val="clear" w:color="auto" w:fill="auto"/>
          </w:tcPr>
          <w:p w:rsidR="005A2125" w:rsidRDefault="003B3572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3B3572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466CD6" w:rsidRPr="00466CD6" w:rsidRDefault="00466CD6" w:rsidP="00466CD6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În scopul dotării laboratoarelor de încercări a </w:t>
            </w:r>
            <w:r w:rsidRPr="00466CD6">
              <w:rPr>
                <w:rFonts w:ascii="Times New Roman" w:hAnsi="Times New Roman" w:cs="Times New Roman"/>
                <w:lang w:val="ro-RO"/>
              </w:rPr>
              <w:t xml:space="preserve">fost aprobată prin ordinul nr. 183 din 08.12.2015 analiza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necesităţilor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 dotării laboratoarelor cu minim de echipamente în vederea implementării Acordului DCFTA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 Planul multianual de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achiziţii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 2015-2017 pentru dotarea laboratoarelor infrastructurii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calităţii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466CD6" w:rsidRPr="00466CD6" w:rsidRDefault="00466CD6" w:rsidP="00466CD6">
            <w:pPr>
              <w:rPr>
                <w:rFonts w:ascii="Times New Roman" w:hAnsi="Times New Roman" w:cs="Times New Roman"/>
                <w:lang w:val="ro-RO"/>
              </w:rPr>
            </w:pPr>
            <w:r w:rsidRPr="00466CD6">
              <w:rPr>
                <w:rFonts w:ascii="Times New Roman" w:hAnsi="Times New Roman" w:cs="Times New Roman"/>
                <w:lang w:val="ro-RO"/>
              </w:rPr>
              <w:t xml:space="preserve">A fost aprobată prin ordinul nr. 186 din 14.12.2015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componenţa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 Grupului de lucru pentru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achiziţia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 echipamentelor necesare pentru dotarea laboratoarelor din domeniul infrastructurii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calităţii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  <w:p w:rsidR="00466CD6" w:rsidRPr="00466CD6" w:rsidRDefault="00466CD6" w:rsidP="00466CD6">
            <w:pPr>
              <w:rPr>
                <w:rFonts w:ascii="Times New Roman" w:hAnsi="Times New Roman" w:cs="Times New Roman"/>
                <w:lang w:val="ro-RO"/>
              </w:rPr>
            </w:pPr>
            <w:r w:rsidRPr="00466CD6">
              <w:rPr>
                <w:rFonts w:ascii="Times New Roman" w:hAnsi="Times New Roman" w:cs="Times New Roman"/>
                <w:lang w:val="ro-RO"/>
              </w:rPr>
              <w:t xml:space="preserve">A fost lansată procedura de </w:t>
            </w:r>
            <w:proofErr w:type="spellStart"/>
            <w:r w:rsidRPr="00466CD6">
              <w:rPr>
                <w:rFonts w:ascii="Times New Roman" w:hAnsi="Times New Roman" w:cs="Times New Roman"/>
                <w:lang w:val="ro-RO"/>
              </w:rPr>
              <w:t>achiziţie</w:t>
            </w:r>
            <w:proofErr w:type="spellEnd"/>
            <w:r w:rsidRPr="00466CD6">
              <w:rPr>
                <w:rFonts w:ascii="Times New Roman" w:hAnsi="Times New Roman" w:cs="Times New Roman"/>
                <w:lang w:val="ro-RO"/>
              </w:rPr>
              <w:t xml:space="preserve"> a echipamentelor respective.</w:t>
            </w:r>
          </w:p>
          <w:p w:rsidR="00466CD6" w:rsidRPr="003B3572" w:rsidRDefault="00466CD6" w:rsidP="00466CD6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66CD6">
              <w:rPr>
                <w:rFonts w:ascii="Times New Roman" w:hAnsi="Times New Roman" w:cs="Times New Roman"/>
                <w:lang w:val="ro-RO"/>
              </w:rPr>
              <w:t>La 01.02.2016 a fost desfășurată ședința de deschidere a ofertelor depuse în cadrul licitației publice nr. 1137/15. La moment se examinează dosarele ofertanților de către experții instituțiilor, laboratoarele cărora urmează să fie dotate cu echipamente.</w:t>
            </w:r>
          </w:p>
        </w:tc>
      </w:tr>
      <w:tr w:rsidR="005A2125" w:rsidRPr="005A2125" w:rsidTr="00846635">
        <w:trPr>
          <w:trHeight w:val="792"/>
        </w:trPr>
        <w:tc>
          <w:tcPr>
            <w:tcW w:w="58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5.2</w:t>
            </w:r>
          </w:p>
        </w:tc>
        <w:tc>
          <w:tcPr>
            <w:tcW w:w="238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Acreditarea și recunoașterea organismelor de evaluare a conformității  în vederea implementării reglementărilor tehnice care transpun directivele europene specificate în Anexa XVI din ZLSAC</w:t>
            </w:r>
          </w:p>
        </w:tc>
        <w:tc>
          <w:tcPr>
            <w:tcW w:w="1786" w:type="dxa"/>
            <w:gridSpan w:val="2"/>
            <w:vMerge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91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ME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MOLDAC</w:t>
            </w:r>
          </w:p>
        </w:tc>
        <w:tc>
          <w:tcPr>
            <w:tcW w:w="1567" w:type="dxa"/>
            <w:gridSpan w:val="2"/>
            <w:vMerge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135" w:type="dxa"/>
            <w:gridSpan w:val="2"/>
          </w:tcPr>
          <w:p w:rsidR="003B3572" w:rsidRPr="003B3572" w:rsidRDefault="003B3572" w:rsidP="003B3572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>Certificate de acreditare valabile</w:t>
            </w:r>
          </w:p>
          <w:p w:rsidR="005A2125" w:rsidRPr="005A2125" w:rsidRDefault="003B3572" w:rsidP="003B3572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 xml:space="preserve">Ordine ME privind </w:t>
            </w:r>
            <w:proofErr w:type="spellStart"/>
            <w:r w:rsidRPr="003B3572">
              <w:rPr>
                <w:rFonts w:ascii="Times New Roman" w:hAnsi="Times New Roman" w:cs="Times New Roman"/>
                <w:lang w:val="ro-RO"/>
              </w:rPr>
              <w:t>recunoaştere</w:t>
            </w:r>
            <w:proofErr w:type="spellEnd"/>
          </w:p>
        </w:tc>
        <w:tc>
          <w:tcPr>
            <w:tcW w:w="4953" w:type="dxa"/>
            <w:shd w:val="clear" w:color="auto" w:fill="auto"/>
          </w:tcPr>
          <w:p w:rsidR="005A2125" w:rsidRDefault="003B3572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3B3572" w:rsidRPr="00466CD6" w:rsidRDefault="00466CD6" w:rsidP="005A21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Au fost recunoscute pentru domeniul reglementat (jucării) 3 organisme de certificare din cadrul Centrului de Metrologie Aplicată și Certificare, Inspecție-Certifi</w:t>
            </w:r>
            <w:r w:rsidR="00994DBB">
              <w:rPr>
                <w:rFonts w:ascii="Times New Roman" w:hAnsi="Times New Roman" w:cs="Times New Roman"/>
                <w:lang w:val="ro-RO"/>
              </w:rPr>
              <w:t>care-Calitate și Trans-standard (</w:t>
            </w:r>
            <w:r w:rsidR="007056F5">
              <w:rPr>
                <w:rFonts w:ascii="Times New Roman" w:hAnsi="Times New Roman" w:cs="Times New Roman"/>
                <w:lang w:val="ro-RO"/>
              </w:rPr>
              <w:t>ordine</w:t>
            </w:r>
            <w:r w:rsidR="00994DBB">
              <w:rPr>
                <w:rFonts w:ascii="Times New Roman" w:hAnsi="Times New Roman" w:cs="Times New Roman"/>
                <w:lang w:val="ro-RO"/>
              </w:rPr>
              <w:t>l</w:t>
            </w:r>
            <w:r w:rsidR="007056F5">
              <w:rPr>
                <w:rFonts w:ascii="Times New Roman" w:hAnsi="Times New Roman" w:cs="Times New Roman"/>
                <w:lang w:val="ro-RO"/>
              </w:rPr>
              <w:t>e</w:t>
            </w:r>
            <w:r w:rsidR="00994DBB">
              <w:rPr>
                <w:rFonts w:ascii="Times New Roman" w:hAnsi="Times New Roman" w:cs="Times New Roman"/>
                <w:lang w:val="ro-RO"/>
              </w:rPr>
              <w:t xml:space="preserve"> ME nr. 94, nr. 95, nr. 96 din 28.05.2015)</w:t>
            </w:r>
          </w:p>
        </w:tc>
      </w:tr>
      <w:tr w:rsidR="00A35FE7" w:rsidRPr="005A2125" w:rsidTr="00846635">
        <w:trPr>
          <w:trHeight w:val="556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Acreditarea organismelor de inspecție conform standardului EN ISO/IEC 17020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6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D23F00">
              <w:rPr>
                <w:rFonts w:ascii="Times New Roman" w:hAnsi="Times New Roman" w:cs="Times New Roman"/>
                <w:lang w:val="ro-RO"/>
              </w:rPr>
              <w:t xml:space="preserve">Acreditarea organismului de inspecție din cadrul CTSIC pentru implementarea Directivei 2014/33/UE referitoare la ascensoare </w:t>
            </w:r>
            <w:proofErr w:type="spellStart"/>
            <w:r w:rsidRPr="00D23F00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D23F00">
              <w:rPr>
                <w:rFonts w:ascii="Times New Roman" w:hAnsi="Times New Roman" w:cs="Times New Roman"/>
                <w:lang w:val="ro-RO"/>
              </w:rPr>
              <w:t xml:space="preserve"> la componentele de </w:t>
            </w:r>
            <w:proofErr w:type="spellStart"/>
            <w:r w:rsidRPr="00D23F00">
              <w:rPr>
                <w:rFonts w:ascii="Times New Roman" w:hAnsi="Times New Roman" w:cs="Times New Roman"/>
                <w:lang w:val="ro-RO"/>
              </w:rPr>
              <w:t>siguranţă</w:t>
            </w:r>
            <w:proofErr w:type="spellEnd"/>
            <w:r w:rsidRPr="00D23F00">
              <w:rPr>
                <w:rFonts w:ascii="Times New Roman" w:hAnsi="Times New Roman" w:cs="Times New Roman"/>
                <w:lang w:val="ro-RO"/>
              </w:rPr>
              <w:t xml:space="preserve"> pentru ascensoare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Matricea Reformei de Politici din Acordul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finanţare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dintre Guvernul 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CE privind Programul de suport al instituirii ZLSAC în RM, aprobat prin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Guvernului nr. 922 din 12.11.2014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Centrul Tehnic Pentru Securitate Industrială și Certificare (CTSIC)</w:t>
            </w: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Din surse proprii ale CTSIC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Organism de inspecție acreditat</w:t>
            </w:r>
          </w:p>
        </w:tc>
        <w:tc>
          <w:tcPr>
            <w:tcW w:w="5103" w:type="dxa"/>
            <w:gridSpan w:val="2"/>
          </w:tcPr>
          <w:p w:rsidR="005A2125" w:rsidRDefault="00466CD6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466CD6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9A78B4" w:rsidRDefault="00D23F00" w:rsidP="009A78B4">
            <w:pPr>
              <w:rPr>
                <w:rFonts w:ascii="Times New Roman" w:hAnsi="Times New Roman" w:cs="Times New Roman"/>
              </w:rPr>
            </w:pPr>
            <w:r w:rsidRPr="00D23F00">
              <w:rPr>
                <w:rFonts w:ascii="Times New Roman" w:hAnsi="Times New Roman" w:cs="Times New Roman"/>
                <w:lang w:val="ro-RO"/>
              </w:rPr>
              <w:t xml:space="preserve">A fost inițiată procedura de acreditare a </w:t>
            </w:r>
            <w:r w:rsidR="009A78B4">
              <w:rPr>
                <w:rFonts w:ascii="Times New Roman" w:hAnsi="Times New Roman" w:cs="Times New Roman"/>
                <w:lang w:val="ro-RO"/>
              </w:rPr>
              <w:t xml:space="preserve">subdiviziunii (Secția Expertiză Securitate Industrială) din cadrul Centrului Tehnic pentru Securitate Industrială și Certificare, </w:t>
            </w:r>
            <w:r>
              <w:rPr>
                <w:rFonts w:ascii="Times New Roman" w:hAnsi="Times New Roman" w:cs="Times New Roman"/>
                <w:lang w:val="ro-RO"/>
              </w:rPr>
              <w:t xml:space="preserve">la cerințele standardului SM SR EN ISO/CEI </w:t>
            </w:r>
            <w:r w:rsidR="009A78B4">
              <w:rPr>
                <w:rFonts w:ascii="Times New Roman" w:hAnsi="Times New Roman" w:cs="Times New Roman"/>
                <w:lang w:val="ro-RO"/>
              </w:rPr>
              <w:t xml:space="preserve">17020 </w:t>
            </w:r>
            <w:r w:rsidR="009A78B4">
              <w:rPr>
                <w:rFonts w:ascii="Times New Roman" w:hAnsi="Times New Roman" w:cs="Times New Roman"/>
              </w:rPr>
              <w:t>“</w:t>
            </w:r>
            <w:r w:rsidR="009A78B4">
              <w:rPr>
                <w:rFonts w:ascii="Times New Roman" w:hAnsi="Times New Roman" w:cs="Times New Roman"/>
                <w:lang w:val="ro-RO"/>
              </w:rPr>
              <w:t>Evaluarea conformității. Cerințe pentru funcționarea diferitelor tipuri de organisme care efectuează inspecții</w:t>
            </w:r>
            <w:r w:rsidR="009A78B4">
              <w:rPr>
                <w:rFonts w:ascii="Times New Roman" w:hAnsi="Times New Roman" w:cs="Times New Roman"/>
              </w:rPr>
              <w:t xml:space="preserve">”. </w:t>
            </w:r>
          </w:p>
          <w:p w:rsidR="00466CD6" w:rsidRDefault="009A78B4" w:rsidP="009A7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</w:rPr>
              <w:t>fost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desemnate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persoanele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responsabile</w:t>
            </w:r>
            <w:proofErr w:type="spellEnd"/>
            <w:r>
              <w:rPr>
                <w:rFonts w:ascii="Times New Roman" w:hAnsi="Times New Roman" w:cs="Times New Roman"/>
              </w:rPr>
              <w:t xml:space="preserve"> din </w:t>
            </w:r>
            <w:proofErr w:type="spellStart"/>
            <w:r>
              <w:rPr>
                <w:rFonts w:ascii="Times New Roman" w:hAnsi="Times New Roman" w:cs="Times New Roman"/>
              </w:rPr>
              <w:t>cadrul</w:t>
            </w:r>
            <w:proofErr w:type="spellEnd"/>
            <w:r>
              <w:rPr>
                <w:rFonts w:ascii="Times New Roman" w:hAnsi="Times New Roman" w:cs="Times New Roman"/>
              </w:rPr>
              <w:t xml:space="preserve"> CTSIC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acreditare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a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organismului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inspecție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A78B4" w:rsidRDefault="009A78B4" w:rsidP="009A7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 </w:t>
            </w:r>
            <w:proofErr w:type="spellStart"/>
            <w:r>
              <w:rPr>
                <w:rFonts w:ascii="Times New Roman" w:hAnsi="Times New Roman" w:cs="Times New Roman"/>
              </w:rPr>
              <w:t>fost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stabilite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sarcini</w:t>
            </w:r>
            <w:proofErr w:type="spellEnd"/>
            <w:r>
              <w:rPr>
                <w:rFonts w:ascii="Times New Roman" w:hAnsi="Times New Roman" w:cs="Times New Roman"/>
              </w:rPr>
              <w:t xml:space="preserve"> concrete </w:t>
            </w:r>
            <w:proofErr w:type="spellStart"/>
            <w:r>
              <w:rPr>
                <w:rFonts w:ascii="Times New Roman" w:hAnsi="Times New Roman" w:cs="Times New Roman"/>
              </w:rPr>
              <w:t>pentru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realizarea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acțiunii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ține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acreditarea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organismului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inspecției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  <w:p w:rsidR="009A78B4" w:rsidRDefault="009A78B4" w:rsidP="009A7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elaborarea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procedurilor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acreditare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pînă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01.07.2016</w:t>
            </w:r>
          </w:p>
          <w:p w:rsidR="009A78B4" w:rsidRPr="009A78B4" w:rsidRDefault="009A78B4" w:rsidP="009A78B4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depunerea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cererii</w:t>
            </w:r>
            <w:proofErr w:type="spellEnd"/>
            <w:r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</w:rPr>
              <w:t>acreditare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pînă</w:t>
            </w:r>
            <w:proofErr w:type="spellEnd"/>
            <w:r>
              <w:rPr>
                <w:rFonts w:ascii="Times New Roman" w:hAnsi="Times New Roman" w:cs="Times New Roman"/>
              </w:rPr>
              <w:t xml:space="preserve"> la 01.10.2016.</w:t>
            </w:r>
          </w:p>
        </w:tc>
      </w:tr>
      <w:tr w:rsidR="00A35FE7" w:rsidRPr="005A2125" w:rsidTr="00846635">
        <w:tc>
          <w:tcPr>
            <w:tcW w:w="15021" w:type="dxa"/>
            <w:gridSpan w:val="12"/>
            <w:shd w:val="clear" w:color="auto" w:fill="auto"/>
          </w:tcPr>
          <w:p w:rsidR="00A35FE7" w:rsidRPr="00A35FE7" w:rsidRDefault="00A35FE7" w:rsidP="005A21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Dezvoltarea sistemului de standardizare național bazat pe practicile europene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7.1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Elaborarea și promovarea Legii cu privire la standardizare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naţională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armonizată cu 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Regulamentul (UE) nr.1025/2012 privind standardizarea europeană</w:t>
            </w:r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Guvernului nr. 808 din 07.10.2014 cu privire la aprobarea Planului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acţiuni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pentru implementarea Acordului de Asociere Republica Moldova – Uniunea Europeană în </w:t>
            </w:r>
            <w:r w:rsidRPr="005A2125">
              <w:rPr>
                <w:rFonts w:ascii="Times New Roman" w:hAnsi="Times New Roman" w:cs="Times New Roman"/>
                <w:bCs/>
                <w:lang w:val="ro-RO"/>
              </w:rPr>
              <w:lastRenderedPageBreak/>
              <w:t>perioada 2014-2016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lastRenderedPageBreak/>
              <w:t xml:space="preserve">Trimestrul IV, 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2015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DDIC</w:t>
            </w: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Nu necesită alocații din Bugetul de stat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Actul legislativ aprobat</w:t>
            </w:r>
          </w:p>
        </w:tc>
        <w:tc>
          <w:tcPr>
            <w:tcW w:w="5103" w:type="dxa"/>
            <w:gridSpan w:val="2"/>
          </w:tcPr>
          <w:p w:rsidR="006F46E7" w:rsidRPr="006F46E7" w:rsidRDefault="006F46E7" w:rsidP="006F46E7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6F46E7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A2125" w:rsidRPr="005A2125" w:rsidRDefault="006F46E7" w:rsidP="006F46E7">
            <w:pPr>
              <w:rPr>
                <w:rFonts w:ascii="Times New Roman" w:hAnsi="Times New Roman" w:cs="Times New Roman"/>
                <w:lang w:val="ro-RO"/>
              </w:rPr>
            </w:pPr>
            <w:r w:rsidRPr="006F46E7">
              <w:rPr>
                <w:rFonts w:ascii="Times New Roman" w:hAnsi="Times New Roman" w:cs="Times New Roman"/>
                <w:lang w:val="ro-RO"/>
              </w:rPr>
              <w:t xml:space="preserve">Proiectul de Lege privind standardizarea </w:t>
            </w:r>
            <w:proofErr w:type="spellStart"/>
            <w:r w:rsidRPr="006F46E7">
              <w:rPr>
                <w:rFonts w:ascii="Times New Roman" w:hAnsi="Times New Roman" w:cs="Times New Roman"/>
                <w:lang w:val="ro-RO"/>
              </w:rPr>
              <w:t>naţională</w:t>
            </w:r>
            <w:proofErr w:type="spellEnd"/>
            <w:r w:rsidRPr="006F46E7">
              <w:rPr>
                <w:rFonts w:ascii="Times New Roman" w:hAnsi="Times New Roman" w:cs="Times New Roman"/>
                <w:lang w:val="ro-RO"/>
              </w:rPr>
              <w:t xml:space="preserve"> a fost înregistrat în Parlament cu nr. 427 din 03.11.2015 </w:t>
            </w:r>
            <w:proofErr w:type="spellStart"/>
            <w:r w:rsidRPr="006F46E7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F46E7">
              <w:rPr>
                <w:rFonts w:ascii="Times New Roman" w:hAnsi="Times New Roman" w:cs="Times New Roman"/>
                <w:lang w:val="ro-RO"/>
              </w:rPr>
              <w:t xml:space="preserve"> a fost examinat în I lectură.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7.2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Consolidarea capacităților Organismului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de Standardizare în scopul alinierii la criteriile de membru CEN și CENELEC 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permanent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Institutul Național de Standardizare (INS)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bugetului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precum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mijloacele provenite din alte surse, </w:t>
            </w: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 xml:space="preserve">conform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legislaţiei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vigoare.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Nr. de instruiri, seminare, workshop-uri</w:t>
            </w:r>
          </w:p>
        </w:tc>
        <w:tc>
          <w:tcPr>
            <w:tcW w:w="5103" w:type="dxa"/>
            <w:gridSpan w:val="2"/>
          </w:tcPr>
          <w:p w:rsidR="005A2125" w:rsidRDefault="00F9795E" w:rsidP="00F9795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9795E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F9795E" w:rsidRPr="00511BE1" w:rsidRDefault="00F9795E" w:rsidP="00511BE1">
            <w:pPr>
              <w:rPr>
                <w:rFonts w:ascii="Times New Roman" w:hAnsi="Times New Roman" w:cs="Times New Roman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În cadrul proiectului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Twinning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511BE1">
              <w:rPr>
                <w:rFonts w:ascii="Times New Roman" w:hAnsi="Times New Roman" w:cs="Times New Roman"/>
              </w:rPr>
              <w:t>“</w:t>
            </w:r>
            <w:r w:rsidRPr="00511BE1">
              <w:rPr>
                <w:rFonts w:ascii="Times New Roman" w:hAnsi="Times New Roman" w:cs="Times New Roman"/>
                <w:lang w:val="ro-RO"/>
              </w:rPr>
              <w:t>Consolidarea sectorului standardizării</w:t>
            </w:r>
            <w:r w:rsidR="00511BE1" w:rsidRPr="00511BE1">
              <w:rPr>
                <w:rFonts w:ascii="Times New Roman" w:hAnsi="Times New Roman" w:cs="Times New Roman"/>
                <w:lang w:val="ro-RO"/>
              </w:rPr>
              <w:t xml:space="preserve"> și </w:t>
            </w:r>
            <w:r w:rsidR="00511BE1">
              <w:rPr>
                <w:rFonts w:ascii="Times New Roman" w:hAnsi="Times New Roman" w:cs="Times New Roman"/>
                <w:lang w:val="ro-RO"/>
              </w:rPr>
              <w:t>metrologiei în conformitate cu cele mai bune practici din statele membre ale UE</w:t>
            </w:r>
            <w:r w:rsidRPr="00511BE1">
              <w:rPr>
                <w:rFonts w:ascii="Times New Roman" w:hAnsi="Times New Roman" w:cs="Times New Roman"/>
              </w:rPr>
              <w:t>”</w:t>
            </w:r>
            <w:r w:rsidR="00511B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11BE1">
              <w:rPr>
                <w:rFonts w:ascii="Times New Roman" w:hAnsi="Times New Roman" w:cs="Times New Roman"/>
              </w:rPr>
              <w:t>reprezentanții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INS au </w:t>
            </w:r>
            <w:proofErr w:type="spellStart"/>
            <w:r w:rsidR="00511BE1">
              <w:rPr>
                <w:rFonts w:ascii="Times New Roman" w:hAnsi="Times New Roman" w:cs="Times New Roman"/>
              </w:rPr>
              <w:t>beneficiat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de 9 </w:t>
            </w:r>
            <w:proofErr w:type="spellStart"/>
            <w:r w:rsidR="00511BE1">
              <w:rPr>
                <w:rFonts w:ascii="Times New Roman" w:hAnsi="Times New Roman" w:cs="Times New Roman"/>
              </w:rPr>
              <w:t>instruiri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1BE1">
              <w:rPr>
                <w:rFonts w:ascii="Times New Roman" w:hAnsi="Times New Roman" w:cs="Times New Roman"/>
              </w:rPr>
              <w:t>pe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1BE1">
              <w:rPr>
                <w:rFonts w:ascii="Times New Roman" w:hAnsi="Times New Roman" w:cs="Times New Roman"/>
              </w:rPr>
              <w:t>diferite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1BE1">
              <w:rPr>
                <w:rFonts w:ascii="Times New Roman" w:hAnsi="Times New Roman" w:cs="Times New Roman"/>
              </w:rPr>
              <w:t>tematici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1BE1">
              <w:rPr>
                <w:rFonts w:ascii="Times New Roman" w:hAnsi="Times New Roman" w:cs="Times New Roman"/>
              </w:rPr>
              <w:t>ce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1BE1">
              <w:rPr>
                <w:rFonts w:ascii="Times New Roman" w:hAnsi="Times New Roman" w:cs="Times New Roman"/>
              </w:rPr>
              <w:t>țin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de </w:t>
            </w:r>
            <w:proofErr w:type="spellStart"/>
            <w:r w:rsidR="00511BE1">
              <w:rPr>
                <w:rFonts w:ascii="Times New Roman" w:hAnsi="Times New Roman" w:cs="Times New Roman"/>
              </w:rPr>
              <w:t>domeniul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11BE1">
              <w:rPr>
                <w:rFonts w:ascii="Times New Roman" w:hAnsi="Times New Roman" w:cs="Times New Roman"/>
              </w:rPr>
              <w:t>standardizării</w:t>
            </w:r>
            <w:proofErr w:type="spellEnd"/>
            <w:r w:rsidR="00511BE1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7.3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>Adoptarea standardelor europene ca standarde moldovene, inclusiv a standardelor europene relevante actelor normative stabilite în Anexa nr. XVI a DCFTA la nivel de 75%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standarde adoptate</w:t>
            </w:r>
          </w:p>
        </w:tc>
        <w:tc>
          <w:tcPr>
            <w:tcW w:w="5103" w:type="dxa"/>
            <w:gridSpan w:val="2"/>
          </w:tcPr>
          <w:p w:rsidR="00F9795E" w:rsidRPr="00F9795E" w:rsidRDefault="00F9795E" w:rsidP="00F9795E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9795E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F9795E" w:rsidRPr="00F9795E" w:rsidRDefault="00F9795E" w:rsidP="00F9795E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Pe parcursul anului 2015, a</w:t>
            </w:r>
            <w:r w:rsidRPr="00F9795E">
              <w:rPr>
                <w:rFonts w:ascii="Times New Roman" w:hAnsi="Times New Roman" w:cs="Times New Roman"/>
                <w:lang w:val="ro-RO"/>
              </w:rPr>
              <w:t>u fost adoptate 2971 standarde moldovene, care preiau standarde europene și internaționale.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9795E">
              <w:rPr>
                <w:rFonts w:ascii="Times New Roman" w:hAnsi="Times New Roman" w:cs="Times New Roman"/>
                <w:lang w:val="ro-RO"/>
              </w:rPr>
              <w:t xml:space="preserve">Programul de standardizare </w:t>
            </w:r>
            <w:proofErr w:type="spellStart"/>
            <w:r w:rsidRPr="00F9795E">
              <w:rPr>
                <w:rFonts w:ascii="Times New Roman" w:hAnsi="Times New Roman" w:cs="Times New Roman"/>
                <w:lang w:val="ro-RO"/>
              </w:rPr>
              <w:t>naţională</w:t>
            </w:r>
            <w:proofErr w:type="spellEnd"/>
            <w:r w:rsidRPr="00F9795E">
              <w:rPr>
                <w:rFonts w:ascii="Times New Roman" w:hAnsi="Times New Roman" w:cs="Times New Roman"/>
                <w:lang w:val="ro-RO"/>
              </w:rPr>
              <w:t xml:space="preserve"> pentru 2015 </w:t>
            </w:r>
            <w:r>
              <w:rPr>
                <w:rFonts w:ascii="Times New Roman" w:hAnsi="Times New Roman" w:cs="Times New Roman"/>
                <w:lang w:val="ro-RO"/>
              </w:rPr>
              <w:t xml:space="preserve">a fost realizat </w:t>
            </w:r>
            <w:r w:rsidRPr="00F9795E">
              <w:rPr>
                <w:rFonts w:ascii="Times New Roman" w:hAnsi="Times New Roman" w:cs="Times New Roman"/>
                <w:lang w:val="ro-RO"/>
              </w:rPr>
              <w:t>integral.</w:t>
            </w:r>
          </w:p>
          <w:p w:rsidR="00F9795E" w:rsidRPr="005A2125" w:rsidRDefault="00F9795E" w:rsidP="00F9795E">
            <w:pPr>
              <w:rPr>
                <w:rFonts w:ascii="Times New Roman" w:hAnsi="Times New Roman" w:cs="Times New Roman"/>
                <w:lang w:val="ro-RO"/>
              </w:rPr>
            </w:pPr>
            <w:r w:rsidRPr="00F9795E">
              <w:rPr>
                <w:rFonts w:ascii="Times New Roman" w:hAnsi="Times New Roman" w:cs="Times New Roman"/>
                <w:lang w:val="ro-RO"/>
              </w:rPr>
              <w:t>La moment, au fost adoptate aproximativ 10 200 standarde europene, ce constituie 43% din numărul total de standarde moldo</w:t>
            </w:r>
            <w:r>
              <w:rPr>
                <w:rFonts w:ascii="Times New Roman" w:hAnsi="Times New Roman" w:cs="Times New Roman"/>
                <w:lang w:val="ro-RO"/>
              </w:rPr>
              <w:t>vene.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7.4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>Adoptarea standardelor europene armonizate, precum și a celor de referință de gradul 1 ca standarde moldovene, pentru actele normative de la 1.1 -1.5 la nivel de 100%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INS 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standarde adoptate</w:t>
            </w:r>
          </w:p>
        </w:tc>
        <w:tc>
          <w:tcPr>
            <w:tcW w:w="5103" w:type="dxa"/>
            <w:gridSpan w:val="2"/>
          </w:tcPr>
          <w:p w:rsidR="00F9795E" w:rsidRPr="00F9795E" w:rsidRDefault="00F9795E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9795E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A2125" w:rsidRPr="005A2125" w:rsidRDefault="00F9795E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F9795E">
              <w:rPr>
                <w:rFonts w:ascii="Times New Roman" w:hAnsi="Times New Roman" w:cs="Times New Roman"/>
                <w:lang w:val="ro-RO"/>
              </w:rPr>
              <w:t xml:space="preserve">Au fost adoptate 96% de standarde europene armonizate a căror utilizare oferă </w:t>
            </w:r>
            <w:proofErr w:type="spellStart"/>
            <w:r w:rsidRPr="00F9795E">
              <w:rPr>
                <w:rFonts w:ascii="Times New Roman" w:hAnsi="Times New Roman" w:cs="Times New Roman"/>
                <w:lang w:val="ro-RO"/>
              </w:rPr>
              <w:t>prezumţia</w:t>
            </w:r>
            <w:proofErr w:type="spellEnd"/>
            <w:r w:rsidRPr="00F9795E">
              <w:rPr>
                <w:rFonts w:ascii="Times New Roman" w:hAnsi="Times New Roman" w:cs="Times New Roman"/>
                <w:lang w:val="ro-RO"/>
              </w:rPr>
              <w:t xml:space="preserve"> de conformitate cu </w:t>
            </w:r>
            <w:proofErr w:type="spellStart"/>
            <w:r w:rsidRPr="00F9795E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F9795E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F9795E">
              <w:rPr>
                <w:rFonts w:ascii="Times New Roman" w:hAnsi="Times New Roman" w:cs="Times New Roman"/>
                <w:lang w:val="ro-RO"/>
              </w:rPr>
              <w:t>esenţiale</w:t>
            </w:r>
            <w:proofErr w:type="spellEnd"/>
            <w:r w:rsidRPr="00F9795E">
              <w:rPr>
                <w:rFonts w:ascii="Times New Roman" w:hAnsi="Times New Roman" w:cs="Times New Roman"/>
                <w:lang w:val="ro-RO"/>
              </w:rPr>
              <w:t xml:space="preserve"> din reglementările tehnice care transpun Directivele UE.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7.5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>Adoptarea standardelor europene armonizate, precum și a celor de referință de gradul 1 ca standarde moldovene, pentru actele normative de la 1.6 -1.9 la nivel de 100%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standarde adoptate</w:t>
            </w:r>
          </w:p>
        </w:tc>
        <w:tc>
          <w:tcPr>
            <w:tcW w:w="5103" w:type="dxa"/>
            <w:gridSpan w:val="2"/>
          </w:tcPr>
          <w:p w:rsidR="00511BE1" w:rsidRPr="00511BE1" w:rsidRDefault="00511BE1" w:rsidP="00511BE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11BE1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A2125" w:rsidRPr="005A2125" w:rsidRDefault="00511BE1" w:rsidP="00511BE1">
            <w:pPr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Au fost adoptate 96% de standarde europene armonizate a căror utilizare oferă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prezumţia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de conformitate cu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cerinţele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esenţiale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din reglementările tehnice care transpun Directivele UE.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7.6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Anularea standardelor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contradictorii cu standardele europene adoptate ca standarde moldovene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standarde anulate</w:t>
            </w:r>
          </w:p>
        </w:tc>
        <w:tc>
          <w:tcPr>
            <w:tcW w:w="5103" w:type="dxa"/>
            <w:gridSpan w:val="2"/>
          </w:tcPr>
          <w:p w:rsidR="00511BE1" w:rsidRPr="00511BE1" w:rsidRDefault="00511BE1" w:rsidP="00511BE1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11BE1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INS a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iniţiat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constituirea a 7 comitete tehnice de standardizare </w:t>
            </w:r>
            <w:r>
              <w:rPr>
                <w:rFonts w:ascii="Times New Roman" w:hAnsi="Times New Roman" w:cs="Times New Roman"/>
                <w:lang w:val="ro-RO"/>
              </w:rPr>
              <w:t xml:space="preserve">de proiect </w:t>
            </w:r>
            <w:r w:rsidRPr="00511BE1">
              <w:rPr>
                <w:rFonts w:ascii="Times New Roman" w:hAnsi="Times New Roman" w:cs="Times New Roman"/>
                <w:lang w:val="ro-RO"/>
              </w:rPr>
              <w:t xml:space="preserve">(Grupuri de lucru) pe diferite domenii, care au ca sarcină identificarea standardelor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contradictorii cu standardele europene adoptate ca standarde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anularea acestora. În acest context au fost constituite următoarele 5 Comitete tehnice de proiect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2 Grupuri de lucru: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CT 37 „Mobilier”</w:t>
            </w:r>
            <w:r w:rsidRPr="00511BE1">
              <w:rPr>
                <w:rFonts w:ascii="Times New Roman" w:hAnsi="Times New Roman" w:cs="Times New Roman"/>
                <w:lang w:val="ro-RO"/>
              </w:rPr>
              <w:t>;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lastRenderedPageBreak/>
              <w:t xml:space="preserve">- CT 38 „Evaluarea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competenţei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laboratoarelor de încercări”;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>- CT 39 „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Maşini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de terasament”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- CT 40 „Echipament individual de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protecţie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>”;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>- CT 41 „Calitatea apei”;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- </w:t>
            </w:r>
            <w:r>
              <w:rPr>
                <w:rFonts w:ascii="Times New Roman" w:hAnsi="Times New Roman" w:cs="Times New Roman"/>
                <w:lang w:val="ro-RO"/>
              </w:rPr>
              <w:t xml:space="preserve">CT 43 „Evaluarea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conformităţii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>”;</w:t>
            </w:r>
          </w:p>
          <w:p w:rsid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- GL în domeniul fructelor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legumelor proaspete</w:t>
            </w:r>
            <w:r>
              <w:rPr>
                <w:rFonts w:ascii="Times New Roman" w:hAnsi="Times New Roman" w:cs="Times New Roman"/>
                <w:lang w:val="ro-RO"/>
              </w:rPr>
              <w:t>;</w:t>
            </w:r>
          </w:p>
          <w:p w:rsidR="00511BE1" w:rsidRPr="00511BE1" w:rsidRDefault="00511BE1" w:rsidP="00511BE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- GL în domeniul vopselelor</w:t>
            </w:r>
          </w:p>
          <w:p w:rsidR="005A2125" w:rsidRPr="005A2125" w:rsidRDefault="00511BE1" w:rsidP="00511BE1">
            <w:pPr>
              <w:rPr>
                <w:rFonts w:ascii="Times New Roman" w:hAnsi="Times New Roman" w:cs="Times New Roman"/>
                <w:lang w:val="ro-RO"/>
              </w:rPr>
            </w:pPr>
            <w:r w:rsidRPr="00511BE1">
              <w:rPr>
                <w:rFonts w:ascii="Times New Roman" w:hAnsi="Times New Roman" w:cs="Times New Roman"/>
                <w:lang w:val="ro-RO"/>
              </w:rPr>
              <w:t xml:space="preserve">În perioada anului 2015 au fost anulate 315 standarde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 xml:space="preserve"> conflictuale cu standardele europene adoptate ca standarde </w:t>
            </w:r>
            <w:proofErr w:type="spellStart"/>
            <w:r w:rsidRPr="00511BE1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Pr="00511BE1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7.7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C44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D23F00">
              <w:rPr>
                <w:rFonts w:ascii="Times New Roman" w:hAnsi="Times New Roman" w:cs="Times New Roman"/>
                <w:lang w:val="ro-RO"/>
              </w:rPr>
              <w:t>Implementarea în activitatea INS a instrumentelor IT moderne</w:t>
            </w:r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Strategia sectorială de cheltuieli în domeniul infrastructurii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calităţii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protecţiei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consumatorilor pentru perioada 2016– 2018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Sistem IT bazat pe web pentru desfășurarea lucrărilor de standardizare în cadrul comitetelor tehnice </w:t>
            </w:r>
          </w:p>
        </w:tc>
        <w:tc>
          <w:tcPr>
            <w:tcW w:w="5103" w:type="dxa"/>
            <w:gridSpan w:val="2"/>
          </w:tcPr>
          <w:p w:rsidR="00511BE1" w:rsidRDefault="00511BE1" w:rsidP="006608C4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6608C4" w:rsidRPr="006608C4" w:rsidRDefault="00511BE1" w:rsidP="006608C4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</w:t>
            </w:r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fost elaborat un sistem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informaţional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automatizat pentru gestionarea fondului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de standarde. La moment, INS se află la etapa de pilotare a acestuia. Toate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părţile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interesate au acces la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informaţiile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despre standardele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naţionale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prin intermediul sistemului respectiv, prin accesarea paginii web www.estandard.md. Au fost organizate 4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şedinţe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de lucru în scopul monitorizării implementării sistemului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informaţional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automatizat.</w:t>
            </w:r>
          </w:p>
          <w:p w:rsidR="00D23F00" w:rsidRDefault="00D23F00" w:rsidP="00D23F00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Î</w:t>
            </w:r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n scopul </w:t>
            </w:r>
            <w:r>
              <w:rPr>
                <w:rFonts w:ascii="Times New Roman" w:hAnsi="Times New Roman" w:cs="Times New Roman"/>
                <w:lang w:val="ro-RO"/>
              </w:rPr>
              <w:t>asigurării</w:t>
            </w:r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ONS cu un sistem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informaţional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modern, care să permită accesul online la standarde, INS a aplicat pentru un proiect al Uniunii Europene prin intermediul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Agenţiei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de Dezvoltare din Cehia. Astfel, cu suportul Oficiului Ceh pentru Standardizare, Metrologie </w:t>
            </w:r>
            <w:proofErr w:type="spellStart"/>
            <w:r w:rsidR="006608C4" w:rsidRPr="006608C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="006608C4" w:rsidRPr="006608C4">
              <w:rPr>
                <w:rFonts w:ascii="Times New Roman" w:hAnsi="Times New Roman" w:cs="Times New Roman"/>
                <w:lang w:val="ro-RO"/>
              </w:rPr>
              <w:t xml:space="preserve"> Încercări (UNMZ), s-a elaborat un soft, care să permită accesul online securizat la standardele moldovene.</w:t>
            </w:r>
          </w:p>
          <w:p w:rsidR="005A2125" w:rsidRPr="005A2125" w:rsidRDefault="006608C4" w:rsidP="00D23F00">
            <w:pPr>
              <w:rPr>
                <w:rFonts w:ascii="Times New Roman" w:hAnsi="Times New Roman" w:cs="Times New Roman"/>
                <w:lang w:val="ro-RO"/>
              </w:rPr>
            </w:pPr>
            <w:r w:rsidRPr="006608C4">
              <w:rPr>
                <w:rFonts w:ascii="Times New Roman" w:hAnsi="Times New Roman" w:cs="Times New Roman"/>
                <w:lang w:val="ro-RO"/>
              </w:rPr>
              <w:t xml:space="preserve">Proiectul de </w:t>
            </w:r>
            <w:proofErr w:type="spellStart"/>
            <w:r w:rsidRPr="006608C4">
              <w:rPr>
                <w:rFonts w:ascii="Times New Roman" w:hAnsi="Times New Roman" w:cs="Times New Roman"/>
                <w:lang w:val="ro-RO"/>
              </w:rPr>
              <w:t>asistenţă</w:t>
            </w:r>
            <w:proofErr w:type="spellEnd"/>
            <w:r w:rsidRPr="006608C4">
              <w:rPr>
                <w:rFonts w:ascii="Times New Roman" w:hAnsi="Times New Roman" w:cs="Times New Roman"/>
                <w:lang w:val="ro-RO"/>
              </w:rPr>
              <w:t xml:space="preserve"> tehnică cu denumirea „Implementarea </w:t>
            </w:r>
            <w:proofErr w:type="spellStart"/>
            <w:r w:rsidRPr="006608C4">
              <w:rPr>
                <w:rFonts w:ascii="Times New Roman" w:hAnsi="Times New Roman" w:cs="Times New Roman"/>
                <w:lang w:val="ro-RO"/>
              </w:rPr>
              <w:t>eurocodurilor</w:t>
            </w:r>
            <w:proofErr w:type="spellEnd"/>
            <w:r w:rsidRPr="006608C4">
              <w:rPr>
                <w:rFonts w:ascii="Times New Roman" w:hAnsi="Times New Roman" w:cs="Times New Roman"/>
                <w:lang w:val="ro-RO"/>
              </w:rPr>
              <w:t xml:space="preserve"> în RM </w:t>
            </w:r>
            <w:proofErr w:type="spellStart"/>
            <w:r w:rsidRPr="006608C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608C4">
              <w:rPr>
                <w:rFonts w:ascii="Times New Roman" w:hAnsi="Times New Roman" w:cs="Times New Roman"/>
                <w:lang w:val="ro-RO"/>
              </w:rPr>
              <w:t xml:space="preserve"> sporirea accesului la standarde” se află la etapa de aprobare finală </w:t>
            </w:r>
            <w:proofErr w:type="spellStart"/>
            <w:r w:rsidRPr="006608C4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6608C4">
              <w:rPr>
                <w:rFonts w:ascii="Times New Roman" w:hAnsi="Times New Roman" w:cs="Times New Roman"/>
                <w:lang w:val="ro-RO"/>
              </w:rPr>
              <w:t xml:space="preserve"> se preconizează să fie implementat în 2016.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7.8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6608C4">
              <w:rPr>
                <w:rFonts w:ascii="Times New Roman" w:hAnsi="Times New Roman" w:cs="Times New Roman"/>
                <w:lang w:val="ro-RO"/>
              </w:rPr>
              <w:t>Implementarea și menținerea sistemului de management al calității conform standardului SM SR EN ISO 9001:2011 în activitatea INS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INS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Manualul calității și proceduri pentru SMC elaborate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5103" w:type="dxa"/>
            <w:gridSpan w:val="2"/>
          </w:tcPr>
          <w:p w:rsidR="005A2125" w:rsidRPr="005A2125" w:rsidRDefault="006608C4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6608C4">
              <w:rPr>
                <w:rFonts w:ascii="Times New Roman" w:hAnsi="Times New Roman" w:cs="Times New Roman"/>
                <w:lang w:val="ro-RO"/>
              </w:rPr>
              <w:t>Acțiunea nu a fost inițiată</w:t>
            </w:r>
          </w:p>
        </w:tc>
      </w:tr>
      <w:tr w:rsidR="00A35FE7" w:rsidRPr="005A2125" w:rsidTr="00846635">
        <w:tc>
          <w:tcPr>
            <w:tcW w:w="15021" w:type="dxa"/>
            <w:gridSpan w:val="12"/>
            <w:shd w:val="clear" w:color="auto" w:fill="auto"/>
          </w:tcPr>
          <w:p w:rsidR="00A35FE7" w:rsidRPr="00A35FE7" w:rsidRDefault="00A35FE7" w:rsidP="005A2125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Asigurarea trasabilității măsurărilor efectuate în Republica Moldova</w:t>
            </w:r>
          </w:p>
        </w:tc>
      </w:tr>
      <w:tr w:rsidR="005A2125" w:rsidRPr="005A2125" w:rsidTr="00846635">
        <w:trPr>
          <w:trHeight w:val="920"/>
        </w:trPr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8.1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AA221D">
              <w:rPr>
                <w:rFonts w:ascii="Times New Roman" w:hAnsi="Times New Roman" w:cs="Times New Roman"/>
                <w:lang w:val="ro-RO"/>
              </w:rPr>
              <w:t>Iniţierea</w:t>
            </w:r>
            <w:proofErr w:type="spellEnd"/>
            <w:r w:rsidRPr="00AA221D">
              <w:rPr>
                <w:rFonts w:ascii="Times New Roman" w:hAnsi="Times New Roman" w:cs="Times New Roman"/>
                <w:lang w:val="ro-RO"/>
              </w:rPr>
              <w:t xml:space="preserve"> cooperării cu organizația europeană de metrologie legală WELMEC</w:t>
            </w:r>
            <w:r w:rsidRPr="005A2125">
              <w:rPr>
                <w:rFonts w:ascii="Times New Roman" w:hAnsi="Times New Roman" w:cs="Times New Roman"/>
                <w:lang w:val="ro-RO"/>
              </w:rPr>
              <w:t xml:space="preserve"> </w:t>
            </w:r>
          </w:p>
        </w:tc>
        <w:tc>
          <w:tcPr>
            <w:tcW w:w="1701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Strategia sectorială de cheltuieli în domeniul infrastructurii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calităţii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protecţiei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consumatorilor pentru perioada 2016– 2018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INM</w:t>
            </w:r>
          </w:p>
        </w:tc>
        <w:tc>
          <w:tcPr>
            <w:tcW w:w="1417" w:type="dxa"/>
            <w:vMerge w:val="restart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bugetelor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instituţiilor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precum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limitele mijloacelor provenite din alte surse, conform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legislaţiei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vigoare.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demersuri,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comitete tehnice identificate pentru cooperare</w:t>
            </w:r>
          </w:p>
        </w:tc>
        <w:tc>
          <w:tcPr>
            <w:tcW w:w="5103" w:type="dxa"/>
            <w:gridSpan w:val="2"/>
          </w:tcPr>
          <w:p w:rsidR="005A2125" w:rsidRPr="005A2125" w:rsidRDefault="00FF0E44" w:rsidP="005A2125">
            <w:pPr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Acțiunea nu a fost inițiată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8.2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4B3561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proofErr w:type="spellStart"/>
            <w:r w:rsidRPr="00835D9D">
              <w:rPr>
                <w:rFonts w:ascii="Times New Roman" w:hAnsi="Times New Roman" w:cs="Times New Roman"/>
                <w:lang w:val="ro-RO"/>
              </w:rPr>
              <w:t>Iniţierea</w:t>
            </w:r>
            <w:proofErr w:type="spellEnd"/>
            <w:r w:rsidRPr="00835D9D">
              <w:rPr>
                <w:rFonts w:ascii="Times New Roman" w:hAnsi="Times New Roman" w:cs="Times New Roman"/>
                <w:lang w:val="ro-RO"/>
              </w:rPr>
              <w:t xml:space="preserve"> cooperării cu organizația europeană de metrologie EURAMET</w:t>
            </w:r>
          </w:p>
        </w:tc>
        <w:tc>
          <w:tcPr>
            <w:tcW w:w="1701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INM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demersuri și cereri înaintate,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Nr.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intercomparări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inițiate</w:t>
            </w:r>
          </w:p>
        </w:tc>
        <w:tc>
          <w:tcPr>
            <w:tcW w:w="5103" w:type="dxa"/>
            <w:gridSpan w:val="2"/>
          </w:tcPr>
          <w:p w:rsidR="005A2125" w:rsidRPr="00FF0E44" w:rsidRDefault="004B3561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F0E44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4B3561" w:rsidRDefault="004B3561" w:rsidP="004B356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 w:rsidRPr="004B3561">
              <w:rPr>
                <w:rFonts w:ascii="Times New Roman" w:hAnsi="Times New Roman" w:cs="Times New Roman"/>
                <w:lang w:val="ro-RO"/>
              </w:rPr>
              <w:t xml:space="preserve">În scopul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iniţi</w:t>
            </w:r>
            <w:r>
              <w:rPr>
                <w:rFonts w:ascii="Times New Roman" w:hAnsi="Times New Roman" w:cs="Times New Roman"/>
                <w:lang w:val="ro-RO"/>
              </w:rPr>
              <w:t>erii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cooperării cu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organizaţia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>europeană</w:t>
            </w:r>
            <w:r w:rsidRPr="004B3561">
              <w:rPr>
                <w:rFonts w:ascii="Times New Roman" w:hAnsi="Times New Roman" w:cs="Times New Roman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lang w:val="ro-RO"/>
              </w:rPr>
              <w:t xml:space="preserve">de metrologie, </w:t>
            </w:r>
            <w:r w:rsidRPr="004B3561">
              <w:rPr>
                <w:rFonts w:ascii="Times New Roman" w:hAnsi="Times New Roman" w:cs="Times New Roman"/>
                <w:lang w:val="ro-RO"/>
              </w:rPr>
              <w:t xml:space="preserve">Institutul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Naţional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 xml:space="preserve"> de Metrologie a înaintat cererea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 xml:space="preserve"> a fost acceptat în calitate de participant la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intercompararea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 xml:space="preserve"> EURAMET.PR.K6-2015 “Regular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transmittance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>”.</w:t>
            </w:r>
          </w:p>
          <w:p w:rsidR="004B3561" w:rsidRPr="004B3561" w:rsidRDefault="004B3561" w:rsidP="004B3561">
            <w:pPr>
              <w:spacing w:after="0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I</w:t>
            </w:r>
            <w:r w:rsidRPr="004B3561">
              <w:rPr>
                <w:rFonts w:ascii="Times New Roman" w:hAnsi="Times New Roman" w:cs="Times New Roman"/>
                <w:lang w:val="ro-RO"/>
              </w:rPr>
              <w:t xml:space="preserve">NM se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pregăteşte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 xml:space="preserve"> pentru efectuarea măsurărilor în cadrul acestei </w:t>
            </w:r>
            <w:proofErr w:type="spellStart"/>
            <w:r w:rsidRPr="004B3561">
              <w:rPr>
                <w:rFonts w:ascii="Times New Roman" w:hAnsi="Times New Roman" w:cs="Times New Roman"/>
                <w:lang w:val="ro-RO"/>
              </w:rPr>
              <w:t>intercomparări</w:t>
            </w:r>
            <w:proofErr w:type="spellEnd"/>
            <w:r w:rsidRPr="004B3561">
              <w:rPr>
                <w:rFonts w:ascii="Times New Roman" w:hAnsi="Times New Roman" w:cs="Times New Roman"/>
                <w:lang w:val="ro-RO"/>
              </w:rPr>
              <w:t>.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8.3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835D9D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835D9D">
              <w:rPr>
                <w:rFonts w:ascii="Times New Roman" w:hAnsi="Times New Roman" w:cs="Times New Roman"/>
                <w:lang w:val="ro-RO"/>
              </w:rPr>
              <w:t>Publicarea tabelelor de Capabilități de măsurare și Calibrare (CMC) pe domeniile:</w:t>
            </w:r>
          </w:p>
          <w:p w:rsidR="005A2125" w:rsidRPr="00835D9D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835D9D">
              <w:rPr>
                <w:rFonts w:ascii="Times New Roman" w:hAnsi="Times New Roman" w:cs="Times New Roman"/>
                <w:lang w:val="ro-RO"/>
              </w:rPr>
              <w:t>- mărimi ionizante;</w:t>
            </w:r>
          </w:p>
          <w:p w:rsidR="005A2125" w:rsidRPr="004B3561" w:rsidRDefault="005A2125" w:rsidP="005A2125">
            <w:pPr>
              <w:rPr>
                <w:rFonts w:ascii="Times New Roman" w:hAnsi="Times New Roman" w:cs="Times New Roman"/>
                <w:highlight w:val="yellow"/>
                <w:lang w:val="ro-RO"/>
              </w:rPr>
            </w:pPr>
            <w:r w:rsidRPr="00835D9D">
              <w:rPr>
                <w:rFonts w:ascii="Times New Roman" w:hAnsi="Times New Roman" w:cs="Times New Roman"/>
                <w:lang w:val="ro-RO"/>
              </w:rPr>
              <w:t>- rezistență electrică.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Strategia sectorială de cheltuieli în domeniul infrastructurii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calităţii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protecţiei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consumatorilor </w:t>
            </w:r>
            <w:r w:rsidRPr="005A2125">
              <w:rPr>
                <w:rFonts w:ascii="Times New Roman" w:hAnsi="Times New Roman" w:cs="Times New Roman"/>
                <w:bCs/>
                <w:lang w:val="ro-RO"/>
              </w:rPr>
              <w:lastRenderedPageBreak/>
              <w:t>pentru perioada 2016– 2018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Cs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lastRenderedPageBreak/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bCs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INM</w:t>
            </w:r>
          </w:p>
        </w:tc>
        <w:tc>
          <w:tcPr>
            <w:tcW w:w="1417" w:type="dxa"/>
            <w:vMerge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rapoarte preliminare (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DraftA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>)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Nr. de rapoarte </w:t>
            </w:r>
            <w:r w:rsidRPr="005A2125">
              <w:rPr>
                <w:rFonts w:ascii="Times New Roman" w:hAnsi="Times New Roman" w:cs="Times New Roman"/>
                <w:lang w:val="ro-RO"/>
              </w:rPr>
              <w:lastRenderedPageBreak/>
              <w:t>finale al comparărilor publicate (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Draft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B)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Nr. de CMC publicate</w:t>
            </w:r>
          </w:p>
        </w:tc>
        <w:tc>
          <w:tcPr>
            <w:tcW w:w="5103" w:type="dxa"/>
            <w:gridSpan w:val="2"/>
          </w:tcPr>
          <w:p w:rsidR="005A2125" w:rsidRDefault="00835D9D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835D9D">
              <w:rPr>
                <w:rFonts w:ascii="Times New Roman" w:hAnsi="Times New Roman" w:cs="Times New Roman"/>
                <w:b/>
                <w:lang w:val="ro-RO"/>
              </w:rPr>
              <w:lastRenderedPageBreak/>
              <w:t>În proces de realizare</w:t>
            </w:r>
          </w:p>
          <w:p w:rsidR="00835D9D" w:rsidRPr="00835D9D" w:rsidRDefault="00835D9D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835D9D">
              <w:rPr>
                <w:rFonts w:ascii="Times New Roman" w:hAnsi="Times New Roman" w:cs="Times New Roman"/>
                <w:lang w:val="ro-RO"/>
              </w:rPr>
              <w:t xml:space="preserve">Pentru demonstrarea </w:t>
            </w:r>
            <w:proofErr w:type="spellStart"/>
            <w:r w:rsidRPr="00835D9D">
              <w:rPr>
                <w:rFonts w:ascii="Times New Roman" w:hAnsi="Times New Roman" w:cs="Times New Roman"/>
                <w:lang w:val="ro-RO"/>
              </w:rPr>
              <w:t>capabilităţilor</w:t>
            </w:r>
            <w:proofErr w:type="spellEnd"/>
            <w:r w:rsidRPr="00835D9D">
              <w:rPr>
                <w:rFonts w:ascii="Times New Roman" w:hAnsi="Times New Roman" w:cs="Times New Roman"/>
                <w:lang w:val="ro-RO"/>
              </w:rPr>
              <w:t xml:space="preserve"> de măsurare INM participă la 13 comparări regionale în cadrul COOMET</w:t>
            </w:r>
            <w:r>
              <w:rPr>
                <w:rFonts w:ascii="Times New Roman" w:hAnsi="Times New Roman" w:cs="Times New Roman"/>
                <w:lang w:val="ro-RO"/>
              </w:rPr>
              <w:t xml:space="preserve"> pe diferite domenii de măsurare, 2 comparări bilaterale cu Romania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intercomparare</w:t>
            </w:r>
            <w:proofErr w:type="spellEnd"/>
            <w:r w:rsidRPr="00835D9D">
              <w:rPr>
                <w:rFonts w:ascii="Times New Roman" w:hAnsi="Times New Roman" w:cs="Times New Roman"/>
                <w:lang w:val="ro-RO"/>
              </w:rPr>
              <w:t xml:space="preserve"> în cad</w:t>
            </w:r>
            <w:r>
              <w:rPr>
                <w:rFonts w:ascii="Times New Roman" w:hAnsi="Times New Roman" w:cs="Times New Roman"/>
                <w:lang w:val="ro-RO"/>
              </w:rPr>
              <w:t xml:space="preserve">rul organizației </w:t>
            </w:r>
            <w:proofErr w:type="spellStart"/>
            <w:r>
              <w:rPr>
                <w:rFonts w:ascii="Times New Roman" w:hAnsi="Times New Roman" w:cs="Times New Roman"/>
                <w:lang w:val="ro-RO"/>
              </w:rPr>
              <w:t>euroopene</w:t>
            </w:r>
            <w:proofErr w:type="spellEnd"/>
            <w:r>
              <w:rPr>
                <w:rFonts w:ascii="Times New Roman" w:hAnsi="Times New Roman" w:cs="Times New Roman"/>
                <w:lang w:val="ro-RO"/>
              </w:rPr>
              <w:t xml:space="preserve"> de metrologie</w:t>
            </w:r>
            <w:r w:rsidR="00CA3C51">
              <w:rPr>
                <w:rFonts w:ascii="Times New Roman" w:hAnsi="Times New Roman" w:cs="Times New Roman"/>
                <w:lang w:val="ro-RO"/>
              </w:rPr>
              <w:t xml:space="preserve"> EURAMET.</w:t>
            </w:r>
          </w:p>
        </w:tc>
      </w:tr>
      <w:tr w:rsidR="00A35FE7" w:rsidRPr="005A2125" w:rsidTr="00846635">
        <w:trPr>
          <w:trHeight w:val="289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</w:tr>
      <w:tr w:rsidR="005A2125" w:rsidRPr="005A2125" w:rsidTr="00846635">
        <w:trPr>
          <w:trHeight w:val="416"/>
        </w:trPr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9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3B3572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3B3572">
              <w:rPr>
                <w:rFonts w:ascii="Times New Roman" w:hAnsi="Times New Roman" w:cs="Times New Roman"/>
                <w:lang w:val="ro-RO"/>
              </w:rPr>
              <w:t xml:space="preserve">Elaborarea legii privind modificarea </w:t>
            </w:r>
            <w:proofErr w:type="spellStart"/>
            <w:r w:rsidRPr="003B3572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3B3572">
              <w:rPr>
                <w:rFonts w:ascii="Times New Roman" w:hAnsi="Times New Roman" w:cs="Times New Roman"/>
                <w:lang w:val="ro-RO"/>
              </w:rPr>
              <w:t xml:space="preserve"> completarea Legii nr. 420-XVI din 22.12.2006 privind activitatea de reglementare tehnică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Planul de acțiuni al Ministerului Economiei 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II,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DDIC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Nu necesită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din bugetul de stat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Actul legislativ aprobat</w:t>
            </w:r>
          </w:p>
        </w:tc>
        <w:tc>
          <w:tcPr>
            <w:tcW w:w="5103" w:type="dxa"/>
            <w:gridSpan w:val="2"/>
          </w:tcPr>
          <w:p w:rsidR="005A2125" w:rsidRDefault="006F46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F0031C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6F46E7" w:rsidRPr="00F0031C" w:rsidRDefault="00F0031C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F0031C">
              <w:rPr>
                <w:rFonts w:ascii="Times New Roman" w:hAnsi="Times New Roman" w:cs="Times New Roman"/>
                <w:lang w:val="ro-RO"/>
              </w:rPr>
              <w:t>A fost elaborat proiectul HG</w:t>
            </w:r>
            <w:r w:rsidR="004B3561"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Pr="00F0031C">
              <w:rPr>
                <w:rFonts w:ascii="Times New Roman" w:hAnsi="Times New Roman" w:cs="Times New Roman"/>
                <w:lang w:val="ro-RO"/>
              </w:rPr>
              <w:t xml:space="preserve"> de modificare și completarea a Legii nr. 420-XVI din 22.12.2006 privind activitatea de reglementare tehnică și urmează a fi transmis Cancelariei de Stat pentru promovare.</w:t>
            </w:r>
          </w:p>
        </w:tc>
      </w:tr>
      <w:tr w:rsidR="00A35FE7" w:rsidRPr="005A2125" w:rsidTr="00846635">
        <w:trPr>
          <w:trHeight w:val="636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Semnarea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ratificarea Acordului privind evaluarea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conformităţii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proofErr w:type="spellStart"/>
            <w:r w:rsidRPr="005A2125">
              <w:rPr>
                <w:rFonts w:ascii="Times New Roman" w:hAnsi="Times New Roman" w:cs="Times New Roman"/>
                <w:b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b/>
                <w:lang w:val="ro-RO"/>
              </w:rPr>
              <w:t xml:space="preserve"> acceptarea produselor industriale (ECA)</w:t>
            </w: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Elaborarea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aprobarea Foii de parcurs privind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iniţierea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negocierilor asupra Acordului privind ECA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Guvernului nr. 808 din 07.10.2014 cu privire la aprobarea Planului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naţional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de </w:t>
            </w:r>
            <w:proofErr w:type="spellStart"/>
            <w:r w:rsidRPr="005A2125">
              <w:rPr>
                <w:rFonts w:ascii="Times New Roman" w:hAnsi="Times New Roman" w:cs="Times New Roman"/>
                <w:bCs/>
                <w:lang w:val="ro-RO"/>
              </w:rPr>
              <w:t>acţiuni</w:t>
            </w:r>
            <w:proofErr w:type="spellEnd"/>
            <w:r w:rsidRPr="005A2125">
              <w:rPr>
                <w:rFonts w:ascii="Times New Roman" w:hAnsi="Times New Roman" w:cs="Times New Roman"/>
                <w:bCs/>
                <w:lang w:val="ro-RO"/>
              </w:rPr>
              <w:t xml:space="preserve"> pentru implementarea Acordului de Asociere RM UE în perioada 2014-2016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III,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2016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Proiectul Asistenței tehnice pentru implementarea DCFTA, Ministerul Economiei (ME)</w:t>
            </w: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Nu necesită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din bugetul de stat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Foaia de parcurs aprobată</w:t>
            </w:r>
          </w:p>
        </w:tc>
        <w:tc>
          <w:tcPr>
            <w:tcW w:w="5103" w:type="dxa"/>
            <w:gridSpan w:val="2"/>
          </w:tcPr>
          <w:p w:rsidR="005A2125" w:rsidRDefault="005C03EC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C03EC">
              <w:rPr>
                <w:rFonts w:ascii="Times New Roman" w:hAnsi="Times New Roman" w:cs="Times New Roman"/>
                <w:b/>
                <w:lang w:val="ro-RO"/>
              </w:rPr>
              <w:t>În proces de realizare</w:t>
            </w:r>
          </w:p>
          <w:p w:rsidR="005C03EC" w:rsidRPr="005C03EC" w:rsidRDefault="005C03EC" w:rsidP="005C03EC">
            <w:pPr>
              <w:rPr>
                <w:rFonts w:ascii="Times New Roman" w:hAnsi="Times New Roman" w:cs="Times New Roman"/>
                <w:lang w:val="ro-RO"/>
              </w:rPr>
            </w:pPr>
            <w:r w:rsidRPr="005C03EC">
              <w:rPr>
                <w:rFonts w:ascii="Times New Roman" w:hAnsi="Times New Roman" w:cs="Times New Roman"/>
                <w:lang w:val="ro-RO"/>
              </w:rPr>
              <w:t xml:space="preserve">În scopul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iniţierii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negocierilor asupra Acordului privind ECA au fost efectuate următoarele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activităţi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>:</w:t>
            </w:r>
          </w:p>
          <w:p w:rsidR="005C03EC" w:rsidRPr="005C03EC" w:rsidRDefault="005C03EC" w:rsidP="005C03EC">
            <w:pPr>
              <w:rPr>
                <w:rFonts w:ascii="Times New Roman" w:hAnsi="Times New Roman" w:cs="Times New Roman"/>
                <w:lang w:val="ro-RO"/>
              </w:rPr>
            </w:pPr>
            <w:r w:rsidRPr="005C03EC">
              <w:rPr>
                <w:rFonts w:ascii="Times New Roman" w:hAnsi="Times New Roman" w:cs="Times New Roman"/>
                <w:lang w:val="ro-RO"/>
              </w:rPr>
              <w:t xml:space="preserve">A fost constituit Grupul de lucru prin ordinul nr. 103 din 05.06.2015, care a identificat domeniile posibile pentru negocierea Acordului privind ECA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lista echipamentelor pentru dotarea laboratoarelor în scopul implementării Directivelor din Anexa nr. XVI a Acordului DCFTA.</w:t>
            </w:r>
          </w:p>
          <w:p w:rsidR="005C03EC" w:rsidRPr="005C03EC" w:rsidRDefault="005C03EC" w:rsidP="005C03EC">
            <w:pPr>
              <w:rPr>
                <w:rFonts w:ascii="Times New Roman" w:hAnsi="Times New Roman" w:cs="Times New Roman"/>
                <w:lang w:val="ro-RO"/>
              </w:rPr>
            </w:pPr>
            <w:r w:rsidRPr="005C03EC">
              <w:rPr>
                <w:rFonts w:ascii="Times New Roman" w:hAnsi="Times New Roman" w:cs="Times New Roman"/>
                <w:lang w:val="ro-RO"/>
              </w:rPr>
              <w:t xml:space="preserve">A fost aprobată prin ordinul nr. 183 din 08.12.2015 analiza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necesităţilor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dotării laboratoarelor cu minim de echipamente în vederea implementării Acordului DCFTA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Planul multianual de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achiziţii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2015-2017 pentru dotarea laboratoarelor infrastructurii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calităţii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>.</w:t>
            </w:r>
          </w:p>
          <w:p w:rsidR="005C03EC" w:rsidRPr="005C03EC" w:rsidRDefault="005C03EC" w:rsidP="005C03EC">
            <w:pPr>
              <w:rPr>
                <w:rFonts w:ascii="Times New Roman" w:hAnsi="Times New Roman" w:cs="Times New Roman"/>
                <w:lang w:val="ro-RO"/>
              </w:rPr>
            </w:pPr>
            <w:r w:rsidRPr="005C03EC">
              <w:rPr>
                <w:rFonts w:ascii="Times New Roman" w:hAnsi="Times New Roman" w:cs="Times New Roman"/>
                <w:lang w:val="ro-RO"/>
              </w:rPr>
              <w:lastRenderedPageBreak/>
              <w:t xml:space="preserve">A fost aprobată prin ordinul nr. 186 din 14.12.2015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componenţa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Grupului de lucru pentru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achiziţia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echipamentelor necesare pentru dotarea laboratoarelor din domeniul infrastructurii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calităţii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. </w:t>
            </w:r>
          </w:p>
          <w:p w:rsidR="005C03EC" w:rsidRDefault="005C03EC" w:rsidP="005C03EC">
            <w:pPr>
              <w:rPr>
                <w:rFonts w:ascii="Times New Roman" w:hAnsi="Times New Roman" w:cs="Times New Roman"/>
                <w:lang w:val="ro-RO"/>
              </w:rPr>
            </w:pPr>
            <w:r w:rsidRPr="005C03EC">
              <w:rPr>
                <w:rFonts w:ascii="Times New Roman" w:hAnsi="Times New Roman" w:cs="Times New Roman"/>
                <w:lang w:val="ro-RO"/>
              </w:rPr>
              <w:t xml:space="preserve">A fost lansată procedura de </w:t>
            </w:r>
            <w:proofErr w:type="spellStart"/>
            <w:r w:rsidRPr="005C03EC">
              <w:rPr>
                <w:rFonts w:ascii="Times New Roman" w:hAnsi="Times New Roman" w:cs="Times New Roman"/>
                <w:lang w:val="ro-RO"/>
              </w:rPr>
              <w:t>achiziţie</w:t>
            </w:r>
            <w:proofErr w:type="spellEnd"/>
            <w:r w:rsidRPr="005C03EC">
              <w:rPr>
                <w:rFonts w:ascii="Times New Roman" w:hAnsi="Times New Roman" w:cs="Times New Roman"/>
                <w:lang w:val="ro-RO"/>
              </w:rPr>
              <w:t xml:space="preserve"> a echipamentelor respective.</w:t>
            </w:r>
          </w:p>
          <w:p w:rsidR="004B3561" w:rsidRPr="005C03EC" w:rsidRDefault="004B3561" w:rsidP="004B3561">
            <w:pPr>
              <w:rPr>
                <w:rFonts w:ascii="Times New Roman" w:hAnsi="Times New Roman" w:cs="Times New Roman"/>
                <w:b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La 01.02.2016 a fost desfășurată ședința de deschidere a ofertelor depuse în cadrul licitației publice nr. 1137/15. La moment se examinează dosarele ofertanților de către experții instituțiilor, laboratoarele cărora urmează să fie dotate cu echipamente.</w:t>
            </w:r>
          </w:p>
        </w:tc>
      </w:tr>
      <w:tr w:rsidR="00A35FE7" w:rsidRPr="005A2125" w:rsidTr="00846635">
        <w:trPr>
          <w:trHeight w:val="281"/>
        </w:trPr>
        <w:tc>
          <w:tcPr>
            <w:tcW w:w="15021" w:type="dxa"/>
            <w:gridSpan w:val="12"/>
            <w:shd w:val="clear" w:color="auto" w:fill="auto"/>
          </w:tcPr>
          <w:p w:rsidR="00A35FE7" w:rsidRPr="005A2125" w:rsidRDefault="00A35FE7" w:rsidP="005A2125">
            <w:pPr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A2125" w:rsidRPr="005A2125" w:rsidTr="00846635">
        <w:tc>
          <w:tcPr>
            <w:tcW w:w="56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b/>
                <w:lang w:val="ro-RO"/>
              </w:rPr>
            </w:pPr>
            <w:r w:rsidRPr="005A2125">
              <w:rPr>
                <w:rFonts w:ascii="Times New Roman" w:hAnsi="Times New Roman" w:cs="Times New Roman"/>
                <w:b/>
                <w:lang w:val="ro-RO"/>
              </w:rPr>
              <w:t>11</w:t>
            </w:r>
          </w:p>
        </w:tc>
        <w:tc>
          <w:tcPr>
            <w:tcW w:w="2405" w:type="dxa"/>
            <w:gridSpan w:val="2"/>
            <w:shd w:val="clear" w:color="auto" w:fill="auto"/>
          </w:tcPr>
          <w:p w:rsidR="005A2125" w:rsidRPr="00A35FE7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A35FE7">
              <w:rPr>
                <w:rFonts w:ascii="Times New Roman" w:hAnsi="Times New Roman" w:cs="Times New Roman"/>
                <w:lang w:val="ro-RO"/>
              </w:rPr>
              <w:t>Organizarea conferințelor, seminarelor, workshop-urilor pentru producători, consumatori</w:t>
            </w:r>
          </w:p>
        </w:tc>
        <w:tc>
          <w:tcPr>
            <w:tcW w:w="1701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 xml:space="preserve">Matricea Reformei de Politici din Acordul de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finanţare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dintre Guvernul 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CE privind Programul de suport al instituirii ZLSAC în RM, aprobat prin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Hotărîrea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Guvernului nr. 922 din 12.11.2014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Trimestrul IV,</w:t>
            </w:r>
          </w:p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2017</w:t>
            </w:r>
          </w:p>
        </w:tc>
        <w:tc>
          <w:tcPr>
            <w:tcW w:w="1417" w:type="dxa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Proiectul Asistenței tehnice pentru implementarea DCFTA, INS, MOLDAC, INM, Ministerul Economiei</w:t>
            </w:r>
          </w:p>
        </w:tc>
        <w:tc>
          <w:tcPr>
            <w:tcW w:w="1417" w:type="dxa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Alocaţiile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bugetelor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instituţiilor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, precum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limitele mijloacelor provenite din alte surse, conform </w:t>
            </w:r>
            <w:proofErr w:type="spellStart"/>
            <w:r w:rsidRPr="005A2125">
              <w:rPr>
                <w:rFonts w:ascii="Times New Roman" w:hAnsi="Times New Roman" w:cs="Times New Roman"/>
                <w:lang w:val="ro-RO"/>
              </w:rPr>
              <w:t>legislaţiei</w:t>
            </w:r>
            <w:proofErr w:type="spellEnd"/>
            <w:r w:rsidRPr="005A2125">
              <w:rPr>
                <w:rFonts w:ascii="Times New Roman" w:hAnsi="Times New Roman" w:cs="Times New Roman"/>
                <w:lang w:val="ro-RO"/>
              </w:rPr>
              <w:t xml:space="preserve"> în vigoare.</w:t>
            </w:r>
          </w:p>
        </w:tc>
        <w:tc>
          <w:tcPr>
            <w:tcW w:w="1135" w:type="dxa"/>
            <w:gridSpan w:val="2"/>
            <w:shd w:val="clear" w:color="auto" w:fill="auto"/>
          </w:tcPr>
          <w:p w:rsidR="005A2125" w:rsidRPr="005A2125" w:rsidRDefault="005A2125" w:rsidP="005A2125">
            <w:pPr>
              <w:rPr>
                <w:rFonts w:ascii="Times New Roman" w:hAnsi="Times New Roman" w:cs="Times New Roman"/>
                <w:lang w:val="ro-RO"/>
              </w:rPr>
            </w:pPr>
            <w:r w:rsidRPr="005A2125">
              <w:rPr>
                <w:rFonts w:ascii="Times New Roman" w:hAnsi="Times New Roman" w:cs="Times New Roman"/>
                <w:lang w:val="ro-RO"/>
              </w:rPr>
              <w:t>Numărul evenimentelor organizate</w:t>
            </w:r>
          </w:p>
        </w:tc>
        <w:tc>
          <w:tcPr>
            <w:tcW w:w="5103" w:type="dxa"/>
            <w:gridSpan w:val="2"/>
          </w:tcPr>
          <w:p w:rsidR="005A2125" w:rsidRPr="00A35FE7" w:rsidRDefault="00A35FE7" w:rsidP="00A35F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 fost organizat </w:t>
            </w:r>
            <w:r w:rsidR="005C03EC">
              <w:rPr>
                <w:rFonts w:ascii="Times New Roman" w:hAnsi="Times New Roman" w:cs="Times New Roman"/>
                <w:lang w:val="ro-RO"/>
              </w:rPr>
              <w:t xml:space="preserve">în cadrul expoziției naționale </w:t>
            </w:r>
            <w:r w:rsidR="005C03EC">
              <w:rPr>
                <w:rFonts w:ascii="Times New Roman" w:hAnsi="Times New Roman" w:cs="Times New Roman"/>
              </w:rPr>
              <w:t>“</w:t>
            </w:r>
            <w:proofErr w:type="spellStart"/>
            <w:r w:rsidR="005C03EC">
              <w:rPr>
                <w:rFonts w:ascii="Times New Roman" w:hAnsi="Times New Roman" w:cs="Times New Roman"/>
              </w:rPr>
              <w:t>Fabricat</w:t>
            </w:r>
            <w:proofErr w:type="spellEnd"/>
            <w:r w:rsidR="005C03E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C03EC">
              <w:rPr>
                <w:rFonts w:ascii="Times New Roman" w:hAnsi="Times New Roman" w:cs="Times New Roman"/>
              </w:rPr>
              <w:t>în</w:t>
            </w:r>
            <w:proofErr w:type="spellEnd"/>
            <w:r w:rsidR="005C03EC">
              <w:rPr>
                <w:rFonts w:ascii="Times New Roman" w:hAnsi="Times New Roman" w:cs="Times New Roman"/>
              </w:rPr>
              <w:t xml:space="preserve"> Moldova” </w:t>
            </w:r>
            <w:r w:rsidR="00D63702">
              <w:rPr>
                <w:rFonts w:ascii="Times New Roman" w:hAnsi="Times New Roman" w:cs="Times New Roman"/>
                <w:lang w:val="ro-RO"/>
              </w:rPr>
              <w:t>2</w:t>
            </w:r>
            <w:r>
              <w:rPr>
                <w:rFonts w:ascii="Times New Roman" w:hAnsi="Times New Roman" w:cs="Times New Roman"/>
                <w:lang w:val="ro-RO"/>
              </w:rPr>
              <w:t xml:space="preserve"> seminar</w:t>
            </w:r>
            <w:r w:rsidR="00D63702">
              <w:rPr>
                <w:rFonts w:ascii="Times New Roman" w:hAnsi="Times New Roman" w:cs="Times New Roman"/>
                <w:lang w:val="ro-RO"/>
              </w:rPr>
              <w:t xml:space="preserve">e </w:t>
            </w:r>
            <w:r w:rsidR="00D63702">
              <w:rPr>
                <w:rFonts w:ascii="Times New Roman" w:hAnsi="Times New Roman" w:cs="Times New Roman"/>
              </w:rPr>
              <w:t>“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Transpunerea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legislației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europene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în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ceea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ce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privește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supravegherea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pieței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și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protecția</w:t>
            </w:r>
            <w:proofErr w:type="spellEnd"/>
            <w:r w:rsidR="00D63702" w:rsidRPr="00D63702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="00D63702" w:rsidRPr="00D63702">
              <w:rPr>
                <w:rFonts w:ascii="Times New Roman" w:hAnsi="Times New Roman" w:cs="Times New Roman"/>
                <w:i/>
              </w:rPr>
              <w:t>consumatorului</w:t>
            </w:r>
            <w:proofErr w:type="spellEnd"/>
            <w:r w:rsidR="00D63702"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/>
                <w:lang w:val="ro-RO"/>
              </w:rPr>
              <w:t xml:space="preserve"> </w:t>
            </w:r>
            <w:r w:rsidR="00D63702">
              <w:rPr>
                <w:rFonts w:ascii="Times New Roman" w:hAnsi="Times New Roman" w:cs="Times New Roman"/>
                <w:lang w:val="ro-RO"/>
              </w:rPr>
              <w:t xml:space="preserve">(03.02.2016), </w:t>
            </w:r>
            <w:r>
              <w:rPr>
                <w:rFonts w:ascii="Times New Roman" w:hAnsi="Times New Roman" w:cs="Times New Roman"/>
                <w:lang w:val="ro-RO"/>
              </w:rPr>
              <w:t>„</w:t>
            </w:r>
            <w:r w:rsidRPr="005C03EC">
              <w:rPr>
                <w:rFonts w:ascii="Times New Roman" w:hAnsi="Times New Roman" w:cs="Times New Roman"/>
                <w:i/>
                <w:lang w:val="ro-RO"/>
              </w:rPr>
              <w:t>Mijloace de măsurare fabricate în Republica Moldova destinate pieței UE-principii și șanse</w:t>
            </w:r>
            <w:r w:rsidR="00D63702">
              <w:rPr>
                <w:rFonts w:ascii="Times New Roman" w:hAnsi="Times New Roman" w:cs="Times New Roman"/>
                <w:lang w:val="ro-RO"/>
              </w:rPr>
              <w:t xml:space="preserve">” (04.02.2016) și </w:t>
            </w:r>
            <w:r>
              <w:rPr>
                <w:rFonts w:ascii="Times New Roman" w:hAnsi="Times New Roman" w:cs="Times New Roman"/>
                <w:lang w:val="ro-RO"/>
              </w:rPr>
              <w:t xml:space="preserve">o masă rotundă </w:t>
            </w:r>
            <w:r>
              <w:rPr>
                <w:rFonts w:ascii="Times New Roman" w:hAnsi="Times New Roman" w:cs="Times New Roman"/>
              </w:rPr>
              <w:t>“</w:t>
            </w:r>
            <w:r w:rsidRPr="005C03EC">
              <w:rPr>
                <w:rFonts w:ascii="Times New Roman" w:hAnsi="Times New Roman" w:cs="Times New Roman"/>
                <w:i/>
                <w:lang w:val="ro-RO"/>
              </w:rPr>
              <w:t xml:space="preserve">Infrastructura calității în contextul implementării </w:t>
            </w:r>
            <w:r w:rsidR="005C03EC" w:rsidRPr="005C03EC">
              <w:rPr>
                <w:rFonts w:ascii="Times New Roman" w:hAnsi="Times New Roman" w:cs="Times New Roman"/>
                <w:i/>
                <w:lang w:val="ro-RO"/>
              </w:rPr>
              <w:t>ZLSAC</w:t>
            </w:r>
            <w:r>
              <w:rPr>
                <w:rFonts w:ascii="Times New Roman" w:hAnsi="Times New Roman" w:cs="Times New Roman"/>
              </w:rPr>
              <w:t>”</w:t>
            </w:r>
            <w:r w:rsidR="00D63702">
              <w:rPr>
                <w:rFonts w:ascii="Times New Roman" w:hAnsi="Times New Roman" w:cs="Times New Roman"/>
              </w:rPr>
              <w:t xml:space="preserve"> (05.02.2016)</w:t>
            </w:r>
            <w:r w:rsidR="005C03EC">
              <w:rPr>
                <w:rFonts w:ascii="Times New Roman" w:hAnsi="Times New Roman" w:cs="Times New Roman"/>
              </w:rPr>
              <w:t>.</w:t>
            </w:r>
          </w:p>
        </w:tc>
      </w:tr>
    </w:tbl>
    <w:p w:rsidR="00AF35FF" w:rsidRPr="005A2125" w:rsidRDefault="00AF35FF" w:rsidP="004B3561">
      <w:pPr>
        <w:rPr>
          <w:rFonts w:ascii="Times New Roman" w:hAnsi="Times New Roman" w:cs="Times New Roman"/>
        </w:rPr>
      </w:pPr>
    </w:p>
    <w:sectPr w:rsidR="00AF35FF" w:rsidRPr="005A2125" w:rsidSect="00134CC0">
      <w:pgSz w:w="16834" w:h="11907" w:orient="landscape" w:code="9"/>
      <w:pgMar w:top="851" w:right="709" w:bottom="709" w:left="10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D95356"/>
    <w:multiLevelType w:val="hybridMultilevel"/>
    <w:tmpl w:val="EFF8A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B36934"/>
    <w:multiLevelType w:val="hybridMultilevel"/>
    <w:tmpl w:val="A852CB84"/>
    <w:lvl w:ilvl="0" w:tplc="22E865F4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125"/>
    <w:rsid w:val="000517F4"/>
    <w:rsid w:val="00346E4A"/>
    <w:rsid w:val="0037518F"/>
    <w:rsid w:val="003B3572"/>
    <w:rsid w:val="00457553"/>
    <w:rsid w:val="00466CD6"/>
    <w:rsid w:val="004B3561"/>
    <w:rsid w:val="00511BE1"/>
    <w:rsid w:val="00585AF8"/>
    <w:rsid w:val="005A2125"/>
    <w:rsid w:val="005C03EC"/>
    <w:rsid w:val="005C4C32"/>
    <w:rsid w:val="006608C4"/>
    <w:rsid w:val="006F46E7"/>
    <w:rsid w:val="007056F5"/>
    <w:rsid w:val="00755713"/>
    <w:rsid w:val="00787194"/>
    <w:rsid w:val="00835D9D"/>
    <w:rsid w:val="00846635"/>
    <w:rsid w:val="00887EE8"/>
    <w:rsid w:val="00994DBB"/>
    <w:rsid w:val="009A78B4"/>
    <w:rsid w:val="00A35C44"/>
    <w:rsid w:val="00A35FE7"/>
    <w:rsid w:val="00AA221D"/>
    <w:rsid w:val="00AF35FF"/>
    <w:rsid w:val="00BC4CE8"/>
    <w:rsid w:val="00CA3C51"/>
    <w:rsid w:val="00D20EDC"/>
    <w:rsid w:val="00D23F00"/>
    <w:rsid w:val="00D63702"/>
    <w:rsid w:val="00ED02BD"/>
    <w:rsid w:val="00EE6ED1"/>
    <w:rsid w:val="00F0031C"/>
    <w:rsid w:val="00F656F0"/>
    <w:rsid w:val="00F9795E"/>
    <w:rsid w:val="00FF0E44"/>
    <w:rsid w:val="00FF6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E89D3-3A87-42AB-9C5C-AD64E39C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212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08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Admin\Local%20Settings\Temporary%20Internet%20Files\Content.Outlook\AppData\Local\Microsoft\Windows\Temporary%20Internet%20Files\Content.Outlook\3UTU90VT\TEXT=LPLP201112012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3877</Words>
  <Characters>22102</Characters>
  <Application>Microsoft Office Word</Application>
  <DocSecurity>0</DocSecurity>
  <Lines>184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</dc:creator>
  <cp:keywords/>
  <dc:description/>
  <cp:lastModifiedBy>Nadejda</cp:lastModifiedBy>
  <cp:revision>12</cp:revision>
  <cp:lastPrinted>2016-02-09T07:36:00Z</cp:lastPrinted>
  <dcterms:created xsi:type="dcterms:W3CDTF">2016-02-05T07:51:00Z</dcterms:created>
  <dcterms:modified xsi:type="dcterms:W3CDTF">2016-02-09T07:43:00Z</dcterms:modified>
</cp:coreProperties>
</file>