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02" w:rsidRPr="00570F9C" w:rsidRDefault="006D0602" w:rsidP="006D0602">
      <w:pPr>
        <w:pStyle w:val="NoSpacing"/>
        <w:jc w:val="center"/>
        <w:rPr>
          <w:rFonts w:ascii="Times New Roman" w:hAnsi="Times New Roman"/>
          <w:b/>
          <w:sz w:val="28"/>
          <w:szCs w:val="28"/>
          <w:lang w:val="ro-RO"/>
        </w:rPr>
      </w:pPr>
      <w:r w:rsidRPr="00570F9C">
        <w:rPr>
          <w:rFonts w:ascii="Times New Roman" w:hAnsi="Times New Roman"/>
          <w:b/>
          <w:sz w:val="28"/>
          <w:szCs w:val="28"/>
          <w:lang w:val="ro-RO"/>
        </w:rPr>
        <w:t>SINTEZA DIVERGEN</w:t>
      </w:r>
      <w:r w:rsidR="00570F9C">
        <w:rPr>
          <w:rFonts w:ascii="Times New Roman" w:hAnsi="Times New Roman"/>
          <w:b/>
          <w:sz w:val="28"/>
          <w:szCs w:val="28"/>
          <w:lang w:val="ro-RO"/>
        </w:rPr>
        <w:t>Ţ</w:t>
      </w:r>
      <w:r w:rsidRPr="00570F9C">
        <w:rPr>
          <w:rFonts w:ascii="Times New Roman" w:hAnsi="Times New Roman"/>
          <w:b/>
          <w:sz w:val="28"/>
          <w:szCs w:val="28"/>
          <w:lang w:val="ro-RO"/>
        </w:rPr>
        <w:t>ELOR</w:t>
      </w:r>
    </w:p>
    <w:p w:rsidR="006D0602" w:rsidRDefault="006D0602" w:rsidP="006D0602">
      <w:pPr>
        <w:pStyle w:val="NoSpacing"/>
        <w:jc w:val="center"/>
        <w:rPr>
          <w:rFonts w:ascii="Times New Roman" w:hAnsi="Times New Roman"/>
          <w:b/>
          <w:sz w:val="28"/>
          <w:szCs w:val="28"/>
          <w:lang w:val="ro-RO"/>
        </w:rPr>
      </w:pPr>
      <w:r>
        <w:rPr>
          <w:rFonts w:ascii="Times New Roman" w:hAnsi="Times New Roman"/>
          <w:b/>
          <w:sz w:val="28"/>
          <w:szCs w:val="28"/>
          <w:lang w:val="ro-RO"/>
        </w:rPr>
        <w:t>conform propunerilor inaintate de Cancelaria de Stat prin demersul nr.1445-558 din 23.06.2014</w:t>
      </w:r>
      <w:r w:rsidRPr="00B23100">
        <w:rPr>
          <w:rFonts w:ascii="Times New Roman" w:hAnsi="Times New Roman"/>
          <w:b/>
          <w:sz w:val="28"/>
          <w:szCs w:val="28"/>
          <w:lang w:val="ro-RO"/>
        </w:rPr>
        <w:t xml:space="preserve"> </w:t>
      </w:r>
    </w:p>
    <w:p w:rsidR="006D0602" w:rsidRDefault="006D0602" w:rsidP="006D0602">
      <w:pPr>
        <w:pStyle w:val="NoSpacing"/>
        <w:jc w:val="center"/>
        <w:rPr>
          <w:rFonts w:ascii="Times New Roman" w:hAnsi="Times New Roman"/>
          <w:b/>
          <w:sz w:val="28"/>
          <w:szCs w:val="28"/>
          <w:lang w:val="ro-RO"/>
        </w:rPr>
      </w:pPr>
      <w:r>
        <w:rPr>
          <w:rFonts w:ascii="Times New Roman" w:hAnsi="Times New Roman"/>
          <w:b/>
          <w:sz w:val="28"/>
          <w:szCs w:val="28"/>
          <w:lang w:val="ro-RO"/>
        </w:rPr>
        <w:t xml:space="preserve">         l</w:t>
      </w:r>
      <w:r w:rsidRPr="00580084">
        <w:rPr>
          <w:rFonts w:ascii="Times New Roman" w:hAnsi="Times New Roman"/>
          <w:b/>
          <w:sz w:val="28"/>
          <w:szCs w:val="28"/>
          <w:lang w:val="ro-RO"/>
        </w:rPr>
        <w:t>a proiectul Hotărîrii Guvernului „Cu privire la aprobarea proiectului de lege</w:t>
      </w:r>
      <w:r>
        <w:rPr>
          <w:rFonts w:ascii="Times New Roman" w:hAnsi="Times New Roman"/>
          <w:b/>
          <w:sz w:val="28"/>
          <w:szCs w:val="28"/>
          <w:lang w:val="ro-RO"/>
        </w:rPr>
        <w:t xml:space="preserve"> </w:t>
      </w:r>
      <w:r w:rsidRPr="00580084">
        <w:rPr>
          <w:rFonts w:ascii="Times New Roman" w:hAnsi="Times New Roman"/>
          <w:b/>
          <w:sz w:val="28"/>
          <w:szCs w:val="28"/>
          <w:lang w:val="ro-RO"/>
        </w:rPr>
        <w:t xml:space="preserve">pentru modificarea </w:t>
      </w:r>
      <w:r>
        <w:rPr>
          <w:rFonts w:ascii="Times New Roman" w:hAnsi="Times New Roman"/>
          <w:b/>
          <w:sz w:val="28"/>
          <w:szCs w:val="28"/>
          <w:lang w:val="ro-RO"/>
        </w:rPr>
        <w:t xml:space="preserve">                       </w:t>
      </w:r>
    </w:p>
    <w:p w:rsidR="006D0602" w:rsidRPr="00580084" w:rsidRDefault="006D0602" w:rsidP="006D0602">
      <w:pPr>
        <w:pStyle w:val="NoSpacing"/>
        <w:jc w:val="center"/>
        <w:rPr>
          <w:rFonts w:ascii="Times New Roman" w:hAnsi="Times New Roman"/>
          <w:b/>
          <w:sz w:val="28"/>
          <w:szCs w:val="28"/>
          <w:lang w:val="ro-RO"/>
        </w:rPr>
      </w:pPr>
      <w:r>
        <w:rPr>
          <w:rFonts w:ascii="Times New Roman" w:hAnsi="Times New Roman"/>
          <w:b/>
          <w:sz w:val="28"/>
          <w:szCs w:val="28"/>
          <w:lang w:val="ro-RO"/>
        </w:rPr>
        <w:t xml:space="preserve">         ş</w:t>
      </w:r>
      <w:r w:rsidRPr="00580084">
        <w:rPr>
          <w:rFonts w:ascii="Times New Roman" w:hAnsi="Times New Roman"/>
          <w:b/>
          <w:sz w:val="28"/>
          <w:szCs w:val="28"/>
          <w:lang w:val="ro-RO"/>
        </w:rPr>
        <w:t xml:space="preserve">i completarea unor acte legislative </w:t>
      </w:r>
    </w:p>
    <w:p w:rsidR="006D0602" w:rsidRDefault="006D0602" w:rsidP="006D0602">
      <w:pPr>
        <w:pStyle w:val="NoSpacing"/>
        <w:tabs>
          <w:tab w:val="left" w:pos="5588"/>
        </w:tabs>
        <w:jc w:val="both"/>
        <w:rPr>
          <w:rFonts w:ascii="Times New Roman" w:hAnsi="Times New Roman"/>
          <w:sz w:val="24"/>
          <w:szCs w:val="24"/>
          <w:lang w:val="ro-RO"/>
        </w:rPr>
      </w:pPr>
    </w:p>
    <w:tbl>
      <w:tblPr>
        <w:tblStyle w:val="TableGrid"/>
        <w:tblW w:w="14188" w:type="dxa"/>
        <w:tblInd w:w="-318" w:type="dxa"/>
        <w:tblLook w:val="04A0"/>
      </w:tblPr>
      <w:tblGrid>
        <w:gridCol w:w="851"/>
        <w:gridCol w:w="3543"/>
        <w:gridCol w:w="10"/>
        <w:gridCol w:w="1833"/>
        <w:gridCol w:w="7848"/>
        <w:gridCol w:w="91"/>
        <w:gridCol w:w="12"/>
      </w:tblGrid>
      <w:tr w:rsidR="006D0602" w:rsidTr="00506786">
        <w:trPr>
          <w:gridAfter w:val="1"/>
          <w:wAfter w:w="12" w:type="dxa"/>
        </w:trPr>
        <w:tc>
          <w:tcPr>
            <w:tcW w:w="851" w:type="dxa"/>
          </w:tcPr>
          <w:p w:rsidR="006D0602" w:rsidRPr="00580084" w:rsidRDefault="006D0602" w:rsidP="00506786">
            <w:pPr>
              <w:pStyle w:val="NoSpacing"/>
              <w:jc w:val="center"/>
              <w:rPr>
                <w:rFonts w:ascii="Times New Roman" w:hAnsi="Times New Roman"/>
                <w:sz w:val="24"/>
                <w:szCs w:val="24"/>
                <w:lang w:val="ro-RO"/>
              </w:rPr>
            </w:pPr>
            <w:r w:rsidRPr="00580084">
              <w:rPr>
                <w:rFonts w:ascii="Times New Roman" w:hAnsi="Times New Roman"/>
                <w:b/>
                <w:sz w:val="24"/>
                <w:szCs w:val="24"/>
                <w:lang w:val="ro-RO"/>
              </w:rPr>
              <w:t>Nr. d/o</w:t>
            </w:r>
          </w:p>
        </w:tc>
        <w:tc>
          <w:tcPr>
            <w:tcW w:w="3543" w:type="dxa"/>
          </w:tcPr>
          <w:p w:rsidR="006D0602" w:rsidRPr="00580084" w:rsidRDefault="006D0602" w:rsidP="00506786">
            <w:pPr>
              <w:pStyle w:val="NoSpacing"/>
              <w:jc w:val="center"/>
              <w:rPr>
                <w:rFonts w:ascii="Times New Roman" w:hAnsi="Times New Roman"/>
                <w:sz w:val="24"/>
                <w:szCs w:val="24"/>
                <w:lang w:val="ro-RO"/>
              </w:rPr>
            </w:pPr>
            <w:r w:rsidRPr="00580084">
              <w:rPr>
                <w:rFonts w:ascii="Times New Roman" w:hAnsi="Times New Roman"/>
                <w:b/>
                <w:sz w:val="24"/>
                <w:szCs w:val="24"/>
                <w:lang w:val="ro-RO"/>
              </w:rPr>
              <w:t>Obiecţia expusă</w:t>
            </w:r>
          </w:p>
        </w:tc>
        <w:tc>
          <w:tcPr>
            <w:tcW w:w="1843" w:type="dxa"/>
            <w:gridSpan w:val="2"/>
          </w:tcPr>
          <w:p w:rsidR="006D0602" w:rsidRPr="00580084" w:rsidRDefault="006D0602" w:rsidP="00506786">
            <w:pPr>
              <w:pStyle w:val="NoSpacing"/>
              <w:jc w:val="center"/>
              <w:rPr>
                <w:rFonts w:ascii="Times New Roman" w:hAnsi="Times New Roman"/>
                <w:sz w:val="24"/>
                <w:szCs w:val="24"/>
                <w:lang w:val="ro-RO"/>
              </w:rPr>
            </w:pPr>
            <w:r w:rsidRPr="00580084">
              <w:rPr>
                <w:rFonts w:ascii="Times New Roman" w:hAnsi="Times New Roman"/>
                <w:b/>
                <w:sz w:val="24"/>
                <w:szCs w:val="24"/>
                <w:lang w:val="ro-RO"/>
              </w:rPr>
              <w:t>Rezultatul precăutării</w:t>
            </w:r>
          </w:p>
        </w:tc>
        <w:tc>
          <w:tcPr>
            <w:tcW w:w="7939" w:type="dxa"/>
            <w:gridSpan w:val="2"/>
          </w:tcPr>
          <w:p w:rsidR="006D0602" w:rsidRPr="00580084" w:rsidRDefault="006D0602" w:rsidP="00506786">
            <w:pPr>
              <w:pStyle w:val="NoSpacing"/>
              <w:jc w:val="center"/>
              <w:rPr>
                <w:rFonts w:ascii="Times New Roman" w:hAnsi="Times New Roman"/>
                <w:sz w:val="24"/>
                <w:szCs w:val="24"/>
                <w:lang w:val="ro-RO"/>
              </w:rPr>
            </w:pPr>
            <w:r w:rsidRPr="00580084">
              <w:rPr>
                <w:rFonts w:ascii="Times New Roman" w:hAnsi="Times New Roman"/>
                <w:b/>
                <w:sz w:val="24"/>
                <w:szCs w:val="24"/>
                <w:lang w:val="ro-RO"/>
              </w:rPr>
              <w:t>Menţiuni</w:t>
            </w:r>
          </w:p>
        </w:tc>
      </w:tr>
      <w:tr w:rsidR="006D0602" w:rsidTr="00506786">
        <w:tblPrEx>
          <w:tblLook w:val="0000"/>
        </w:tblPrEx>
        <w:trPr>
          <w:trHeight w:val="783"/>
        </w:trPr>
        <w:tc>
          <w:tcPr>
            <w:tcW w:w="851" w:type="dxa"/>
            <w:tcBorders>
              <w:bottom w:val="single" w:sz="4" w:space="0" w:color="auto"/>
            </w:tcBorders>
          </w:tcPr>
          <w:p w:rsidR="006D0602" w:rsidRDefault="006D0602" w:rsidP="00506786">
            <w:pPr>
              <w:rPr>
                <w:lang w:val="ro-RO"/>
              </w:rPr>
            </w:pPr>
            <w:r>
              <w:rPr>
                <w:lang w:val="ro-RO"/>
              </w:rPr>
              <w:t>1</w:t>
            </w:r>
          </w:p>
        </w:tc>
        <w:tc>
          <w:tcPr>
            <w:tcW w:w="3553" w:type="dxa"/>
            <w:gridSpan w:val="2"/>
            <w:tcBorders>
              <w:top w:val="nil"/>
              <w:bottom w:val="single" w:sz="4" w:space="0" w:color="auto"/>
            </w:tcBorders>
            <w:shd w:val="clear" w:color="auto" w:fill="auto"/>
          </w:tcPr>
          <w:p w:rsidR="006D0602" w:rsidRPr="002067CC" w:rsidRDefault="006D0602" w:rsidP="00506786">
            <w:pPr>
              <w:pStyle w:val="a0"/>
              <w:shd w:val="clear" w:color="auto" w:fill="auto"/>
              <w:spacing w:before="0" w:line="240" w:lineRule="auto"/>
              <w:ind w:left="20" w:right="20" w:firstLine="0"/>
              <w:rPr>
                <w:sz w:val="24"/>
                <w:szCs w:val="24"/>
                <w:lang w:val="en-US"/>
              </w:rPr>
            </w:pPr>
            <w:r w:rsidRPr="002067CC">
              <w:rPr>
                <w:sz w:val="24"/>
                <w:szCs w:val="24"/>
                <w:lang w:val="en-US"/>
              </w:rPr>
              <w:t>Se constată, că proiectul în cauză a fost examinat anterior în cadrul Cancelariei de Stat şi remis autorului (nr.1450-846 din 05.11.2013) cu propuneri şi obiecţii, care, spre regret în mare majoritate, nu au fost luate în consideraţie la înaintarea repetată a acestuia. Concomitent, nu au fost prezentate nici argumente în favoarea poziţiei autorului vis-a-vis de divergenţele expuse.</w:t>
            </w:r>
          </w:p>
          <w:p w:rsidR="006D0602" w:rsidRPr="002067CC" w:rsidRDefault="006D0602" w:rsidP="00506786">
            <w:pPr>
              <w:spacing w:after="0" w:line="240" w:lineRule="auto"/>
            </w:pPr>
          </w:p>
        </w:tc>
        <w:tc>
          <w:tcPr>
            <w:tcW w:w="1833" w:type="dxa"/>
            <w:tcBorders>
              <w:top w:val="nil"/>
              <w:bottom w:val="single" w:sz="4" w:space="0" w:color="auto"/>
            </w:tcBorders>
            <w:shd w:val="clear" w:color="auto" w:fill="auto"/>
          </w:tcPr>
          <w:p w:rsidR="006D0602" w:rsidRPr="00A452D1" w:rsidRDefault="00A452D1" w:rsidP="00A452D1">
            <w:pPr>
              <w:spacing w:after="0" w:line="240" w:lineRule="auto"/>
              <w:jc w:val="center"/>
              <w:rPr>
                <w:rFonts w:ascii="Times New Roman" w:hAnsi="Times New Roman"/>
                <w:sz w:val="24"/>
                <w:szCs w:val="24"/>
                <w:lang w:val="ro-RO"/>
              </w:rPr>
            </w:pPr>
            <w:r w:rsidRPr="00A452D1">
              <w:rPr>
                <w:rFonts w:ascii="Times New Roman" w:hAnsi="Times New Roman"/>
                <w:sz w:val="24"/>
                <w:szCs w:val="24"/>
                <w:lang w:val="ro-RO"/>
              </w:rPr>
              <w:t>Constatare</w:t>
            </w:r>
          </w:p>
        </w:tc>
        <w:tc>
          <w:tcPr>
            <w:tcW w:w="7951" w:type="dxa"/>
            <w:gridSpan w:val="3"/>
            <w:tcBorders>
              <w:top w:val="nil"/>
              <w:bottom w:val="single" w:sz="4" w:space="0" w:color="auto"/>
            </w:tcBorders>
            <w:shd w:val="clear" w:color="auto" w:fill="auto"/>
          </w:tcPr>
          <w:p w:rsidR="006D0602" w:rsidRPr="00845E62" w:rsidRDefault="001633B6" w:rsidP="00845E62">
            <w:pPr>
              <w:pStyle w:val="NoSpacing"/>
              <w:tabs>
                <w:tab w:val="left" w:pos="420"/>
              </w:tabs>
              <w:ind w:left="-107"/>
              <w:jc w:val="both"/>
              <w:rPr>
                <w:sz w:val="24"/>
                <w:szCs w:val="24"/>
                <w:lang w:val="ro-RO"/>
              </w:rPr>
            </w:pPr>
            <w:r>
              <w:rPr>
                <w:rFonts w:ascii="Times New Roman" w:hAnsi="Times New Roman"/>
                <w:sz w:val="24"/>
                <w:szCs w:val="24"/>
              </w:rPr>
              <w:t xml:space="preserve"> </w:t>
            </w:r>
            <w:r w:rsidR="00EF1C9C" w:rsidRPr="00845E62">
              <w:rPr>
                <w:rFonts w:ascii="Times New Roman" w:hAnsi="Times New Roman"/>
                <w:sz w:val="24"/>
                <w:szCs w:val="24"/>
              </w:rPr>
              <w:t xml:space="preserve">A se vedea </w:t>
            </w:r>
            <w:r w:rsidR="006877E8" w:rsidRPr="00845E62">
              <w:rPr>
                <w:rFonts w:ascii="Times New Roman" w:hAnsi="Times New Roman"/>
                <w:sz w:val="24"/>
                <w:szCs w:val="24"/>
              </w:rPr>
              <w:t xml:space="preserve">Sinteza divergenţelor la </w:t>
            </w:r>
            <w:r w:rsidR="00EF1C9C" w:rsidRPr="00845E62">
              <w:rPr>
                <w:rFonts w:ascii="Times New Roman" w:hAnsi="Times New Roman"/>
                <w:sz w:val="24"/>
                <w:szCs w:val="24"/>
              </w:rPr>
              <w:t>p</w:t>
            </w:r>
            <w:r w:rsidR="00104F9E" w:rsidRPr="00845E62">
              <w:rPr>
                <w:rFonts w:ascii="Times New Roman" w:hAnsi="Times New Roman"/>
                <w:sz w:val="24"/>
                <w:szCs w:val="24"/>
                <w:lang w:val="ro-RO"/>
              </w:rPr>
              <w:t xml:space="preserve">ropunerile inaintate de Cancelaria de Stat prin demersul nr.1450-846 din 05.11.2013 </w:t>
            </w:r>
          </w:p>
        </w:tc>
      </w:tr>
      <w:tr w:rsidR="006D0602" w:rsidTr="00506786">
        <w:tblPrEx>
          <w:tblLook w:val="0000"/>
        </w:tblPrEx>
        <w:trPr>
          <w:trHeight w:val="577"/>
        </w:trPr>
        <w:tc>
          <w:tcPr>
            <w:tcW w:w="851" w:type="dxa"/>
            <w:tcBorders>
              <w:bottom w:val="single" w:sz="4" w:space="0" w:color="auto"/>
            </w:tcBorders>
          </w:tcPr>
          <w:p w:rsidR="006D0602" w:rsidRDefault="006D0602" w:rsidP="00506786">
            <w:pPr>
              <w:spacing w:line="240" w:lineRule="auto"/>
              <w:rPr>
                <w:lang w:val="ro-RO"/>
              </w:rPr>
            </w:pPr>
            <w:r>
              <w:rPr>
                <w:lang w:val="ro-RO"/>
              </w:rPr>
              <w:t>2</w:t>
            </w:r>
          </w:p>
        </w:tc>
        <w:tc>
          <w:tcPr>
            <w:tcW w:w="3553" w:type="dxa"/>
            <w:gridSpan w:val="2"/>
            <w:tcBorders>
              <w:top w:val="nil"/>
              <w:bottom w:val="single" w:sz="4" w:space="0" w:color="auto"/>
            </w:tcBorders>
            <w:shd w:val="clear" w:color="auto" w:fill="auto"/>
          </w:tcPr>
          <w:p w:rsidR="006D0602" w:rsidRPr="00E23A78" w:rsidRDefault="006D0602" w:rsidP="00506786">
            <w:pPr>
              <w:pStyle w:val="a0"/>
              <w:shd w:val="clear" w:color="auto" w:fill="auto"/>
              <w:spacing w:before="0" w:line="240" w:lineRule="auto"/>
              <w:ind w:left="20" w:right="20" w:firstLine="0"/>
              <w:rPr>
                <w:sz w:val="24"/>
                <w:szCs w:val="24"/>
                <w:lang w:val="en-US"/>
              </w:rPr>
            </w:pPr>
            <w:r w:rsidRPr="00E23A78">
              <w:rPr>
                <w:sz w:val="24"/>
                <w:szCs w:val="24"/>
                <w:lang w:val="en-US"/>
              </w:rPr>
              <w:t>Reiterăm opinia privind excluderea din proiect a modificărilor şi completărilor la Legea nr.461 -XV din 30 iulie</w:t>
            </w:r>
            <w:r w:rsidRPr="002067CC">
              <w:rPr>
                <w:lang w:val="en-US"/>
              </w:rPr>
              <w:t xml:space="preserve"> </w:t>
            </w:r>
            <w:r w:rsidRPr="00E23A78">
              <w:rPr>
                <w:sz w:val="24"/>
                <w:szCs w:val="24"/>
                <w:lang w:val="en-US"/>
              </w:rPr>
              <w:t>2001 privind piaţa produselor petroliere, deoarece acestea urmează să fie înserate în proiectul deja înaintat Guvernului de către Ministerul Economiei şi care , în mod logic, trebuie să fie examinat în condiţiile unui proiect individual, dat fiind multitudinea amendamentelor propuse la Legea în cauză.</w:t>
            </w:r>
          </w:p>
          <w:p w:rsidR="006D0602" w:rsidRPr="002067CC" w:rsidRDefault="006D0602" w:rsidP="00506786">
            <w:pPr>
              <w:spacing w:after="0" w:line="240" w:lineRule="auto"/>
            </w:pPr>
          </w:p>
        </w:tc>
        <w:tc>
          <w:tcPr>
            <w:tcW w:w="1833" w:type="dxa"/>
            <w:tcBorders>
              <w:top w:val="nil"/>
              <w:bottom w:val="single" w:sz="4" w:space="0" w:color="auto"/>
            </w:tcBorders>
            <w:shd w:val="clear" w:color="auto" w:fill="auto"/>
          </w:tcPr>
          <w:p w:rsidR="006D0602" w:rsidRPr="00863B5C" w:rsidRDefault="00863B5C" w:rsidP="00506786">
            <w:pPr>
              <w:spacing w:after="0" w:line="240" w:lineRule="auto"/>
              <w:rPr>
                <w:rFonts w:ascii="Times New Roman" w:hAnsi="Times New Roman"/>
                <w:sz w:val="24"/>
                <w:szCs w:val="24"/>
                <w:lang w:val="ro-RO"/>
              </w:rPr>
            </w:pPr>
            <w:r w:rsidRPr="00863B5C">
              <w:rPr>
                <w:rFonts w:ascii="Times New Roman" w:hAnsi="Times New Roman"/>
                <w:sz w:val="24"/>
                <w:szCs w:val="24"/>
                <w:lang w:val="ro-RO"/>
              </w:rPr>
              <w:t>Nu se acceptă</w:t>
            </w:r>
          </w:p>
        </w:tc>
        <w:tc>
          <w:tcPr>
            <w:tcW w:w="7951" w:type="dxa"/>
            <w:gridSpan w:val="3"/>
            <w:tcBorders>
              <w:top w:val="nil"/>
              <w:bottom w:val="single" w:sz="4" w:space="0" w:color="auto"/>
            </w:tcBorders>
            <w:shd w:val="clear" w:color="auto" w:fill="auto"/>
          </w:tcPr>
          <w:p w:rsidR="00CE7B07" w:rsidRDefault="00CE7B07" w:rsidP="00CE7B07">
            <w:pPr>
              <w:tabs>
                <w:tab w:val="left" w:pos="404"/>
              </w:tabs>
              <w:spacing w:after="0" w:line="240" w:lineRule="auto"/>
              <w:jc w:val="both"/>
              <w:rPr>
                <w:rFonts w:ascii="Times New Roman" w:hAnsi="Times New Roman"/>
                <w:sz w:val="24"/>
                <w:szCs w:val="24"/>
                <w:lang w:eastAsia="ro-RO"/>
              </w:rPr>
            </w:pPr>
            <w:r>
              <w:rPr>
                <w:rFonts w:ascii="Times New Roman" w:hAnsi="Times New Roman"/>
                <w:sz w:val="24"/>
                <w:szCs w:val="24"/>
                <w:lang w:val="ro-RO"/>
              </w:rPr>
              <w:t xml:space="preserve">       </w:t>
            </w:r>
            <w:r w:rsidR="00C40926">
              <w:rPr>
                <w:rFonts w:ascii="Times New Roman" w:hAnsi="Times New Roman"/>
                <w:sz w:val="24"/>
                <w:szCs w:val="24"/>
              </w:rPr>
              <w:t>Scopul elaborării proiectului Hotărîrii Guvernului menţionat este asigurarea unui mecanism  funcţional de implementare a prevederilor Legii 116/2012</w:t>
            </w:r>
            <w:r w:rsidR="004B5C48">
              <w:rPr>
                <w:rFonts w:ascii="Times New Roman" w:hAnsi="Times New Roman"/>
                <w:sz w:val="24"/>
                <w:szCs w:val="24"/>
              </w:rPr>
              <w:t xml:space="preserve">, </w:t>
            </w:r>
            <w:r w:rsidR="007B4FBE">
              <w:rPr>
                <w:rFonts w:ascii="Times New Roman" w:hAnsi="Times New Roman"/>
                <w:sz w:val="24"/>
                <w:szCs w:val="24"/>
              </w:rPr>
              <w:t>dar totodată,</w:t>
            </w:r>
            <w:r w:rsidR="004B5C48" w:rsidRPr="004B5C48">
              <w:rPr>
                <w:rFonts w:ascii="Times New Roman" w:hAnsi="Times New Roman"/>
                <w:sz w:val="24"/>
                <w:szCs w:val="24"/>
                <w:lang w:val="ro-MO" w:eastAsia="ro-RO"/>
              </w:rPr>
              <w:t xml:space="preserve"> </w:t>
            </w:r>
            <w:r w:rsidR="004B5C48">
              <w:rPr>
                <w:rFonts w:ascii="Times New Roman" w:hAnsi="Times New Roman"/>
                <w:sz w:val="24"/>
                <w:szCs w:val="24"/>
                <w:lang w:val="ro-MO" w:eastAsia="ro-RO"/>
              </w:rPr>
              <w:t>o</w:t>
            </w:r>
            <w:r w:rsidR="004B5C48" w:rsidRPr="004B5C48">
              <w:rPr>
                <w:rFonts w:ascii="Times New Roman" w:hAnsi="Times New Roman"/>
                <w:sz w:val="24"/>
                <w:szCs w:val="24"/>
                <w:lang w:val="ro-MO" w:eastAsia="ro-RO"/>
              </w:rPr>
              <w:t xml:space="preserve">biectivul </w:t>
            </w:r>
            <w:r w:rsidR="004B5C48" w:rsidRPr="004B5C48">
              <w:rPr>
                <w:rFonts w:ascii="Times New Roman" w:hAnsi="Times New Roman"/>
                <w:sz w:val="24"/>
                <w:szCs w:val="24"/>
                <w:lang w:eastAsia="ro-RO"/>
              </w:rPr>
              <w:t xml:space="preserve">politicii statului în domeniul securităţii industriale este de a elabora şi implementa un cadru normativ adecvat pentru dezvoltarea antreprenoriatului. </w:t>
            </w:r>
          </w:p>
          <w:p w:rsidR="00E318EA" w:rsidRDefault="00CE7B07" w:rsidP="00BB32D4">
            <w:pPr>
              <w:tabs>
                <w:tab w:val="left" w:pos="404"/>
              </w:tabs>
              <w:spacing w:after="0" w:line="240" w:lineRule="auto"/>
              <w:jc w:val="both"/>
              <w:rPr>
                <w:rFonts w:ascii="Times New Roman" w:hAnsi="Times New Roman"/>
                <w:sz w:val="24"/>
                <w:szCs w:val="24"/>
              </w:rPr>
            </w:pPr>
            <w:r>
              <w:rPr>
                <w:rFonts w:ascii="Times New Roman" w:hAnsi="Times New Roman"/>
                <w:sz w:val="24"/>
                <w:szCs w:val="24"/>
              </w:rPr>
              <w:t xml:space="preserve">      </w:t>
            </w:r>
            <w:r w:rsidR="00072D2F">
              <w:rPr>
                <w:rFonts w:ascii="Times New Roman" w:hAnsi="Times New Roman"/>
                <w:sz w:val="24"/>
                <w:szCs w:val="24"/>
              </w:rPr>
              <w:t xml:space="preserve">Proiectul </w:t>
            </w:r>
            <w:r w:rsidR="005C6136" w:rsidRPr="005C6136">
              <w:rPr>
                <w:rFonts w:ascii="Times New Roman" w:hAnsi="Times New Roman"/>
                <w:sz w:val="24"/>
                <w:szCs w:val="24"/>
              </w:rPr>
              <w:t>Leg</w:t>
            </w:r>
            <w:r w:rsidR="00072D2F">
              <w:rPr>
                <w:rFonts w:ascii="Times New Roman" w:hAnsi="Times New Roman"/>
                <w:sz w:val="24"/>
                <w:szCs w:val="24"/>
              </w:rPr>
              <w:t>ii nr.</w:t>
            </w:r>
            <w:r w:rsidR="00072D2F" w:rsidRPr="00BE1C3B">
              <w:rPr>
                <w:rFonts w:ascii="Times New Roman" w:hAnsi="Times New Roman"/>
                <w:sz w:val="24"/>
                <w:szCs w:val="24"/>
              </w:rPr>
              <w:t>461-XV din 30.07.2001 „Privind piaţa produselor petroliere”</w:t>
            </w:r>
            <w:r w:rsidR="005C6136" w:rsidRPr="005C6136">
              <w:rPr>
                <w:rFonts w:ascii="Times New Roman" w:hAnsi="Times New Roman"/>
                <w:sz w:val="24"/>
                <w:szCs w:val="24"/>
              </w:rPr>
              <w:t xml:space="preserve"> </w:t>
            </w:r>
            <w:r w:rsidR="00072D2F">
              <w:rPr>
                <w:rFonts w:ascii="Times New Roman" w:hAnsi="Times New Roman"/>
                <w:sz w:val="24"/>
                <w:szCs w:val="24"/>
              </w:rPr>
              <w:t>déjà inaintat la Guvern prevede</w:t>
            </w:r>
            <w:r w:rsidR="00B761AC">
              <w:rPr>
                <w:rFonts w:ascii="Times New Roman" w:hAnsi="Times New Roman"/>
                <w:sz w:val="24"/>
                <w:szCs w:val="24"/>
              </w:rPr>
              <w:t xml:space="preserve"> evidenţierea unor perturbaţii accentuate pe piaţa produselor petroliere din R.M. şi reieşind din evoluţiile preţurilor la aceste produse, atît pe plan intern, cît şi extern, precum şi a dinamicii indicatorilor financiari prezentaţi</w:t>
            </w:r>
            <w:r w:rsidR="00C34B41">
              <w:rPr>
                <w:rFonts w:ascii="Times New Roman" w:hAnsi="Times New Roman"/>
                <w:sz w:val="24"/>
                <w:szCs w:val="24"/>
              </w:rPr>
              <w:t xml:space="preserve"> de intreprinderile din domeniu şi pentru a evidenţia principalele deficienţe din domeniul </w:t>
            </w:r>
            <w:r w:rsidR="00E534C8">
              <w:rPr>
                <w:rFonts w:ascii="Times New Roman" w:hAnsi="Times New Roman"/>
                <w:sz w:val="24"/>
                <w:szCs w:val="24"/>
              </w:rPr>
              <w:t>respectiv</w:t>
            </w:r>
            <w:r w:rsidR="00C34B41">
              <w:rPr>
                <w:rFonts w:ascii="Times New Roman" w:hAnsi="Times New Roman"/>
                <w:sz w:val="24"/>
                <w:szCs w:val="24"/>
              </w:rPr>
              <w:t xml:space="preserve"> şi posibilele scenarii de soluţionare. P</w:t>
            </w:r>
            <w:r w:rsidR="00FD6E10">
              <w:rPr>
                <w:rFonts w:ascii="Times New Roman" w:hAnsi="Times New Roman"/>
                <w:sz w:val="24"/>
                <w:szCs w:val="24"/>
              </w:rPr>
              <w:t>rincipalele carenţe</w:t>
            </w:r>
            <w:r w:rsidR="00E534C8">
              <w:rPr>
                <w:rFonts w:ascii="Times New Roman" w:hAnsi="Times New Roman"/>
                <w:sz w:val="24"/>
                <w:szCs w:val="24"/>
              </w:rPr>
              <w:t xml:space="preserve"> evidenţiate pe parcursul unor analize sînt următoarele</w:t>
            </w:r>
            <w:r w:rsidR="00FD6E10">
              <w:rPr>
                <w:rFonts w:ascii="Times New Roman" w:hAnsi="Times New Roman"/>
                <w:sz w:val="24"/>
                <w:szCs w:val="24"/>
              </w:rPr>
              <w:t>: metodologia actuală de calculare a preţurilor la produsele petroliere, concentrarea excesivă a pieţei, nivelul nejustificat de înalt a preţurilor la produsele petroliere, necolerarea preţurilor de comercializare a produselor</w:t>
            </w:r>
            <w:r w:rsidR="003633D5">
              <w:rPr>
                <w:rFonts w:ascii="Times New Roman" w:hAnsi="Times New Roman"/>
                <w:sz w:val="24"/>
                <w:szCs w:val="24"/>
              </w:rPr>
              <w:t xml:space="preserve"> petroliere la fluctuaţiile preţurilor inregistrate la bursele </w:t>
            </w:r>
            <w:r w:rsidR="003633D5">
              <w:rPr>
                <w:rFonts w:ascii="Times New Roman" w:hAnsi="Times New Roman"/>
                <w:sz w:val="24"/>
                <w:szCs w:val="24"/>
              </w:rPr>
              <w:lastRenderedPageBreak/>
              <w:t>internaţionale şi regionale.</w:t>
            </w:r>
            <w:r w:rsidR="00FD6E10">
              <w:rPr>
                <w:rFonts w:ascii="Times New Roman" w:hAnsi="Times New Roman"/>
                <w:sz w:val="24"/>
                <w:szCs w:val="24"/>
              </w:rPr>
              <w:t xml:space="preserve">  </w:t>
            </w:r>
          </w:p>
          <w:p w:rsidR="004D12B0" w:rsidRDefault="00E318EA" w:rsidP="004D12B0">
            <w:pPr>
              <w:tabs>
                <w:tab w:val="left" w:pos="404"/>
              </w:tabs>
              <w:spacing w:after="0" w:line="240" w:lineRule="auto"/>
              <w:jc w:val="both"/>
              <w:rPr>
                <w:rFonts w:ascii="Times New Roman" w:hAnsi="Times New Roman"/>
                <w:sz w:val="24"/>
                <w:szCs w:val="24"/>
              </w:rPr>
            </w:pPr>
            <w:r>
              <w:rPr>
                <w:rFonts w:ascii="Times New Roman" w:hAnsi="Times New Roman"/>
                <w:sz w:val="24"/>
                <w:szCs w:val="24"/>
              </w:rPr>
              <w:t xml:space="preserve">      </w:t>
            </w:r>
            <w:r w:rsidR="00BB32D4">
              <w:rPr>
                <w:rFonts w:ascii="Times New Roman" w:hAnsi="Times New Roman"/>
                <w:sz w:val="24"/>
                <w:szCs w:val="24"/>
              </w:rPr>
              <w:t>Astfel, m</w:t>
            </w:r>
            <w:r w:rsidR="000A167B" w:rsidRPr="004B5C48">
              <w:rPr>
                <w:rFonts w:ascii="Times New Roman" w:hAnsi="Times New Roman"/>
                <w:sz w:val="24"/>
                <w:szCs w:val="24"/>
              </w:rPr>
              <w:t>odifi</w:t>
            </w:r>
            <w:r w:rsidR="000A167B">
              <w:rPr>
                <w:rFonts w:ascii="Times New Roman" w:hAnsi="Times New Roman"/>
                <w:sz w:val="24"/>
                <w:szCs w:val="24"/>
              </w:rPr>
              <w:t>cările propuse la Legea nr.</w:t>
            </w:r>
            <w:r w:rsidR="000A167B" w:rsidRPr="00BE1C3B">
              <w:rPr>
                <w:rFonts w:ascii="Times New Roman" w:hAnsi="Times New Roman"/>
                <w:sz w:val="24"/>
                <w:szCs w:val="24"/>
              </w:rPr>
              <w:t xml:space="preserve">461-XV din 30.07.2001 </w:t>
            </w:r>
            <w:r w:rsidR="009F0887">
              <w:rPr>
                <w:rFonts w:ascii="Times New Roman" w:hAnsi="Times New Roman"/>
                <w:sz w:val="24"/>
                <w:szCs w:val="24"/>
              </w:rPr>
              <w:t>p</w:t>
            </w:r>
            <w:r w:rsidR="000A167B" w:rsidRPr="00BE1C3B">
              <w:rPr>
                <w:rFonts w:ascii="Times New Roman" w:hAnsi="Times New Roman"/>
                <w:sz w:val="24"/>
                <w:szCs w:val="24"/>
              </w:rPr>
              <w:t>rivind pi</w:t>
            </w:r>
            <w:r w:rsidR="000A167B">
              <w:rPr>
                <w:rFonts w:ascii="Times New Roman" w:hAnsi="Times New Roman"/>
                <w:sz w:val="24"/>
                <w:szCs w:val="24"/>
              </w:rPr>
              <w:t>aţa produselor petr</w:t>
            </w:r>
            <w:r w:rsidR="009F0887">
              <w:rPr>
                <w:rFonts w:ascii="Times New Roman" w:hAnsi="Times New Roman"/>
                <w:sz w:val="24"/>
                <w:szCs w:val="24"/>
              </w:rPr>
              <w:t>oliere</w:t>
            </w:r>
            <w:r w:rsidR="000A167B">
              <w:rPr>
                <w:rFonts w:ascii="Times New Roman" w:hAnsi="Times New Roman"/>
                <w:sz w:val="24"/>
                <w:szCs w:val="24"/>
              </w:rPr>
              <w:t>,</w:t>
            </w:r>
            <w:r w:rsidR="00571B04">
              <w:rPr>
                <w:rFonts w:ascii="Times New Roman" w:hAnsi="Times New Roman"/>
                <w:sz w:val="24"/>
                <w:szCs w:val="24"/>
              </w:rPr>
              <w:t xml:space="preserve"> prevăd</w:t>
            </w:r>
            <w:r w:rsidR="000A167B" w:rsidRPr="00BE1C3B">
              <w:rPr>
                <w:rFonts w:ascii="Times New Roman" w:hAnsi="Times New Roman"/>
                <w:sz w:val="24"/>
                <w:szCs w:val="24"/>
              </w:rPr>
              <w:t xml:space="preserve"> excluderea autorizaţiilor tehnice pentru exploatarea depozitelor şi staţiilor de alimentare cu produse petroliere şi gaze lichefiate, datorită unui mecanism </w:t>
            </w:r>
            <w:r w:rsidR="00BB32D4">
              <w:rPr>
                <w:rFonts w:ascii="Times New Roman" w:hAnsi="Times New Roman"/>
                <w:sz w:val="24"/>
                <w:szCs w:val="24"/>
              </w:rPr>
              <w:t>simplificat  expus în Legea nr.</w:t>
            </w:r>
            <w:r w:rsidR="000A167B" w:rsidRPr="00BE1C3B">
              <w:rPr>
                <w:rFonts w:ascii="Times New Roman" w:hAnsi="Times New Roman"/>
                <w:sz w:val="24"/>
                <w:szCs w:val="24"/>
              </w:rPr>
              <w:t xml:space="preserve">116 din </w:t>
            </w:r>
            <w:r w:rsidR="000A167B">
              <w:rPr>
                <w:rFonts w:ascii="Times New Roman" w:hAnsi="Times New Roman"/>
                <w:sz w:val="24"/>
                <w:szCs w:val="24"/>
              </w:rPr>
              <w:t>1</w:t>
            </w:r>
            <w:r w:rsidR="000A167B" w:rsidRPr="00BE1C3B">
              <w:rPr>
                <w:rFonts w:ascii="Times New Roman" w:hAnsi="Times New Roman"/>
                <w:sz w:val="24"/>
                <w:szCs w:val="24"/>
              </w:rPr>
              <w:t xml:space="preserve">8.05.2012. </w:t>
            </w:r>
          </w:p>
          <w:p w:rsidR="00C81802" w:rsidRPr="004D12B0" w:rsidRDefault="004D12B0" w:rsidP="004D12B0">
            <w:pPr>
              <w:tabs>
                <w:tab w:val="left" w:pos="404"/>
              </w:tabs>
              <w:spacing w:after="0" w:line="240" w:lineRule="auto"/>
              <w:jc w:val="both"/>
              <w:rPr>
                <w:rFonts w:ascii="Times New Roman" w:hAnsi="Times New Roman"/>
                <w:sz w:val="24"/>
                <w:szCs w:val="24"/>
              </w:rPr>
            </w:pPr>
            <w:r>
              <w:rPr>
                <w:rFonts w:ascii="Times New Roman" w:hAnsi="Times New Roman"/>
                <w:sz w:val="24"/>
                <w:szCs w:val="24"/>
              </w:rPr>
              <w:t xml:space="preserve">      </w:t>
            </w:r>
            <w:r w:rsidR="00F25E94">
              <w:rPr>
                <w:rFonts w:ascii="Times New Roman" w:hAnsi="Times New Roman"/>
                <w:sz w:val="24"/>
                <w:szCs w:val="24"/>
              </w:rPr>
              <w:t xml:space="preserve">Conform </w:t>
            </w:r>
            <w:r w:rsidR="0063135A">
              <w:rPr>
                <w:rFonts w:ascii="Times New Roman" w:hAnsi="Times New Roman"/>
                <w:sz w:val="24"/>
                <w:szCs w:val="24"/>
              </w:rPr>
              <w:t>pct.(2</w:t>
            </w:r>
            <w:r w:rsidR="0052750F">
              <w:rPr>
                <w:rFonts w:ascii="Times New Roman" w:hAnsi="Times New Roman"/>
                <w:sz w:val="24"/>
                <w:szCs w:val="24"/>
              </w:rPr>
              <w:t xml:space="preserve">) </w:t>
            </w:r>
            <w:r w:rsidR="0063135A">
              <w:rPr>
                <w:rFonts w:ascii="Times New Roman" w:hAnsi="Times New Roman"/>
                <w:sz w:val="24"/>
                <w:szCs w:val="24"/>
              </w:rPr>
              <w:t>art.34</w:t>
            </w:r>
            <w:r w:rsidR="00F25E94">
              <w:rPr>
                <w:rFonts w:ascii="Times New Roman" w:hAnsi="Times New Roman"/>
                <w:sz w:val="24"/>
                <w:szCs w:val="24"/>
              </w:rPr>
              <w:t xml:space="preserve"> </w:t>
            </w:r>
            <w:r w:rsidR="0052750F">
              <w:rPr>
                <w:rFonts w:ascii="Times New Roman" w:hAnsi="Times New Roman"/>
                <w:sz w:val="24"/>
                <w:szCs w:val="24"/>
              </w:rPr>
              <w:t xml:space="preserve">al </w:t>
            </w:r>
            <w:r w:rsidR="00F51A02" w:rsidRPr="00C81802">
              <w:rPr>
                <w:rFonts w:ascii="Times New Roman" w:hAnsi="Times New Roman"/>
                <w:sz w:val="24"/>
                <w:szCs w:val="24"/>
                <w:lang w:val="ro-RO"/>
              </w:rPr>
              <w:t>Leg</w:t>
            </w:r>
            <w:r w:rsidR="0052750F">
              <w:rPr>
                <w:rFonts w:ascii="Times New Roman" w:hAnsi="Times New Roman"/>
                <w:sz w:val="24"/>
                <w:szCs w:val="24"/>
                <w:lang w:val="ro-RO"/>
              </w:rPr>
              <w:t>ii</w:t>
            </w:r>
            <w:r w:rsidR="007538D2" w:rsidRPr="00C81802">
              <w:rPr>
                <w:rFonts w:ascii="Times New Roman" w:eastAsia="Times New Roman" w:hAnsi="Times New Roman"/>
                <w:sz w:val="24"/>
                <w:szCs w:val="24"/>
              </w:rPr>
              <w:t xml:space="preserve"> nr.</w:t>
            </w:r>
            <w:r w:rsidR="007538D2" w:rsidRPr="007538D2">
              <w:rPr>
                <w:rFonts w:ascii="Times New Roman" w:eastAsia="Times New Roman" w:hAnsi="Times New Roman"/>
                <w:bCs/>
                <w:sz w:val="24"/>
                <w:szCs w:val="24"/>
              </w:rPr>
              <w:t>780-XV  din  27.12.2001 privind actele legislative</w:t>
            </w:r>
            <w:r w:rsidR="0052750F">
              <w:rPr>
                <w:rFonts w:ascii="Times New Roman" w:eastAsia="Times New Roman" w:hAnsi="Times New Roman"/>
                <w:sz w:val="24"/>
                <w:szCs w:val="24"/>
              </w:rPr>
              <w:t xml:space="preserve">, </w:t>
            </w:r>
            <w:r w:rsidR="00A866DD" w:rsidRPr="009F197A">
              <w:rPr>
                <w:rFonts w:ascii="Times New Roman" w:eastAsia="Times New Roman" w:hAnsi="Times New Roman"/>
                <w:color w:val="000000" w:themeColor="text1"/>
                <w:sz w:val="24"/>
                <w:szCs w:val="24"/>
              </w:rPr>
              <w:t>“</w:t>
            </w:r>
            <w:r w:rsidR="0063135A" w:rsidRPr="0063135A">
              <w:rPr>
                <w:rFonts w:ascii="Times New Roman" w:eastAsia="Times New Roman" w:hAnsi="Times New Roman"/>
                <w:i/>
                <w:sz w:val="24"/>
                <w:szCs w:val="24"/>
              </w:rPr>
              <w:t>Modificarea intervine pentru a schimba unele soluţii din actul legislativ prin altele</w:t>
            </w:r>
            <w:r w:rsidR="00A866DD" w:rsidRPr="009F197A">
              <w:rPr>
                <w:rFonts w:ascii="Times New Roman" w:eastAsia="Times New Roman" w:hAnsi="Times New Roman"/>
                <w:i/>
                <w:color w:val="000000" w:themeColor="text1"/>
                <w:sz w:val="24"/>
                <w:szCs w:val="24"/>
              </w:rPr>
              <w:t>”</w:t>
            </w:r>
            <w:r w:rsidR="00766A12" w:rsidRPr="009F197A">
              <w:rPr>
                <w:rFonts w:ascii="Times New Roman" w:eastAsia="Times New Roman" w:hAnsi="Times New Roman"/>
                <w:i/>
                <w:color w:val="000000" w:themeColor="text1"/>
                <w:sz w:val="24"/>
                <w:szCs w:val="24"/>
              </w:rPr>
              <w:t xml:space="preserve"> </w:t>
            </w:r>
            <w:r w:rsidR="00766A12" w:rsidRPr="009F197A">
              <w:rPr>
                <w:rFonts w:ascii="Times New Roman" w:eastAsia="Times New Roman" w:hAnsi="Times New Roman"/>
                <w:color w:val="000000" w:themeColor="text1"/>
                <w:sz w:val="24"/>
                <w:szCs w:val="24"/>
              </w:rPr>
              <w:t>şi nici decum prin proiect individual.</w:t>
            </w:r>
            <w:r w:rsidR="00C81802" w:rsidRPr="009F197A">
              <w:rPr>
                <w:rFonts w:ascii="Times New Roman" w:eastAsia="Times New Roman" w:hAnsi="Times New Roman"/>
                <w:color w:val="000000" w:themeColor="text1"/>
                <w:sz w:val="24"/>
                <w:szCs w:val="24"/>
              </w:rPr>
              <w:t xml:space="preserve"> </w:t>
            </w:r>
          </w:p>
          <w:p w:rsidR="000A167B" w:rsidRPr="00C81802" w:rsidRDefault="000A167B" w:rsidP="0063135A">
            <w:pPr>
              <w:pStyle w:val="tt"/>
              <w:tabs>
                <w:tab w:val="left" w:pos="420"/>
              </w:tabs>
              <w:jc w:val="both"/>
              <w:rPr>
                <w:b w:val="0"/>
                <w:lang w:val="en-US"/>
              </w:rPr>
            </w:pPr>
          </w:p>
        </w:tc>
      </w:tr>
      <w:tr w:rsidR="006D0602" w:rsidTr="00506786">
        <w:tblPrEx>
          <w:tblLook w:val="0000"/>
        </w:tblPrEx>
        <w:trPr>
          <w:trHeight w:val="4220"/>
        </w:trPr>
        <w:tc>
          <w:tcPr>
            <w:tcW w:w="851" w:type="dxa"/>
            <w:tcBorders>
              <w:top w:val="single" w:sz="4" w:space="0" w:color="auto"/>
              <w:bottom w:val="single" w:sz="4" w:space="0" w:color="auto"/>
            </w:tcBorders>
          </w:tcPr>
          <w:p w:rsidR="006D0602" w:rsidRDefault="006D0602" w:rsidP="00506786">
            <w:pPr>
              <w:spacing w:line="240" w:lineRule="auto"/>
              <w:rPr>
                <w:lang w:val="ro-RO"/>
              </w:rPr>
            </w:pPr>
            <w:r>
              <w:rPr>
                <w:lang w:val="ro-RO"/>
              </w:rPr>
              <w:lastRenderedPageBreak/>
              <w:t>3</w:t>
            </w:r>
          </w:p>
          <w:p w:rsidR="006D0602" w:rsidRDefault="006D0602" w:rsidP="00506786">
            <w:pPr>
              <w:spacing w:line="240" w:lineRule="auto"/>
              <w:rPr>
                <w:lang w:val="ro-RO"/>
              </w:rPr>
            </w:pPr>
          </w:p>
        </w:tc>
        <w:tc>
          <w:tcPr>
            <w:tcW w:w="3553" w:type="dxa"/>
            <w:gridSpan w:val="2"/>
            <w:tcBorders>
              <w:top w:val="single" w:sz="4" w:space="0" w:color="auto"/>
              <w:bottom w:val="single" w:sz="4" w:space="0" w:color="auto"/>
            </w:tcBorders>
            <w:shd w:val="clear" w:color="auto" w:fill="auto"/>
          </w:tcPr>
          <w:p w:rsidR="006D0602" w:rsidRPr="00E23A78" w:rsidRDefault="006D0602" w:rsidP="00506786">
            <w:pPr>
              <w:pStyle w:val="a0"/>
              <w:shd w:val="clear" w:color="auto" w:fill="auto"/>
              <w:spacing w:before="0" w:after="800" w:line="240" w:lineRule="auto"/>
              <w:ind w:left="20" w:right="20" w:firstLine="0"/>
              <w:rPr>
                <w:sz w:val="24"/>
                <w:szCs w:val="24"/>
                <w:lang w:val="en-US"/>
              </w:rPr>
            </w:pPr>
            <w:r w:rsidRPr="00E23A78">
              <w:rPr>
                <w:sz w:val="24"/>
                <w:szCs w:val="24"/>
                <w:lang w:val="en-US"/>
              </w:rPr>
              <w:t>Totodată, se propune revizuirea redacţiei art.VIII pct.12 alin. (13) din proiectul prezentat, dat fiind faptul că limita de timp de 6 luni stabilită la "categoria I de pericol" contravine prevederilor art.14 (2) al Legii 131 din 25.02.2013 şi anume : "unul şi acelaşi organ de control nu este în drept să exercite controlul asupra uneia şi aceleiaşi persoane mai mult decît o dată într-un an calendaristic".</w:t>
            </w:r>
          </w:p>
        </w:tc>
        <w:tc>
          <w:tcPr>
            <w:tcW w:w="1833" w:type="dxa"/>
            <w:tcBorders>
              <w:top w:val="single" w:sz="4" w:space="0" w:color="auto"/>
              <w:bottom w:val="single" w:sz="4" w:space="0" w:color="auto"/>
            </w:tcBorders>
            <w:shd w:val="clear" w:color="auto" w:fill="auto"/>
          </w:tcPr>
          <w:p w:rsidR="006D0602" w:rsidRPr="004A50A6" w:rsidRDefault="006D0602" w:rsidP="00506786">
            <w:pPr>
              <w:spacing w:after="0" w:line="240" w:lineRule="auto"/>
              <w:jc w:val="center"/>
              <w:rPr>
                <w:rFonts w:ascii="Times New Roman" w:hAnsi="Times New Roman"/>
                <w:sz w:val="24"/>
                <w:szCs w:val="24"/>
                <w:lang w:val="ro-RO"/>
              </w:rPr>
            </w:pPr>
            <w:r w:rsidRPr="004A50A6">
              <w:rPr>
                <w:rFonts w:ascii="Times New Roman" w:hAnsi="Times New Roman"/>
                <w:sz w:val="24"/>
                <w:szCs w:val="24"/>
                <w:lang w:val="ro-RO"/>
              </w:rPr>
              <w:t>Se accept</w:t>
            </w:r>
            <w:r>
              <w:rPr>
                <w:rFonts w:ascii="Times New Roman" w:hAnsi="Times New Roman"/>
                <w:sz w:val="24"/>
                <w:szCs w:val="24"/>
                <w:lang w:val="ro-RO"/>
              </w:rPr>
              <w:t>ă</w:t>
            </w:r>
          </w:p>
        </w:tc>
        <w:tc>
          <w:tcPr>
            <w:tcW w:w="7951" w:type="dxa"/>
            <w:gridSpan w:val="3"/>
            <w:tcBorders>
              <w:top w:val="single" w:sz="4" w:space="0" w:color="auto"/>
              <w:bottom w:val="single" w:sz="4" w:space="0" w:color="auto"/>
            </w:tcBorders>
            <w:shd w:val="clear" w:color="auto" w:fill="auto"/>
          </w:tcPr>
          <w:p w:rsidR="006D0602" w:rsidRPr="00AB4BF0" w:rsidRDefault="006D0602" w:rsidP="00AB4BF0">
            <w:pPr>
              <w:pStyle w:val="NoSpacing"/>
              <w:jc w:val="both"/>
              <w:rPr>
                <w:rFonts w:ascii="Times New Roman" w:hAnsi="Times New Roman"/>
                <w:sz w:val="24"/>
                <w:szCs w:val="24"/>
                <w:lang w:val="ro-RO"/>
              </w:rPr>
            </w:pPr>
            <w:r w:rsidRPr="001E3673">
              <w:rPr>
                <w:rFonts w:ascii="Times New Roman" w:hAnsi="Times New Roman"/>
                <w:color w:val="000000" w:themeColor="text1"/>
                <w:sz w:val="24"/>
                <w:szCs w:val="24"/>
                <w:lang w:val="ro-RO"/>
              </w:rPr>
              <w:t>Au fost întroduse modificările necesare în proiectul H.</w:t>
            </w:r>
            <w:r w:rsidRPr="00AB4BF0">
              <w:rPr>
                <w:rFonts w:ascii="Times New Roman" w:hAnsi="Times New Roman"/>
                <w:color w:val="000000" w:themeColor="text1"/>
                <w:sz w:val="24"/>
                <w:szCs w:val="24"/>
                <w:lang w:val="ro-RO"/>
              </w:rPr>
              <w:t>G</w:t>
            </w:r>
            <w:r w:rsidR="00AB4BF0" w:rsidRPr="00AB4BF0">
              <w:rPr>
                <w:rFonts w:ascii="Times New Roman" w:hAnsi="Times New Roman"/>
                <w:color w:val="000000" w:themeColor="text1"/>
                <w:sz w:val="24"/>
                <w:szCs w:val="24"/>
                <w:lang w:val="ro-RO"/>
              </w:rPr>
              <w:t xml:space="preserve"> şi </w:t>
            </w:r>
            <w:r w:rsidRPr="00AB4BF0">
              <w:rPr>
                <w:rFonts w:ascii="Times New Roman" w:hAnsi="Times New Roman"/>
                <w:sz w:val="24"/>
                <w:szCs w:val="24"/>
                <w:lang w:val="ro-RO"/>
              </w:rPr>
              <w:t>alineatul (13) va avea următorul cuprins:</w:t>
            </w:r>
          </w:p>
          <w:p w:rsidR="006D0602" w:rsidRPr="001E3673" w:rsidRDefault="006D0602" w:rsidP="00506786">
            <w:pPr>
              <w:tabs>
                <w:tab w:val="left" w:pos="720"/>
              </w:tabs>
              <w:spacing w:after="0" w:line="240" w:lineRule="auto"/>
              <w:jc w:val="both"/>
              <w:rPr>
                <w:rFonts w:ascii="Times New Roman" w:hAnsi="Times New Roman"/>
                <w:sz w:val="24"/>
                <w:szCs w:val="24"/>
                <w:lang w:val="ro-RO"/>
              </w:rPr>
            </w:pPr>
            <w:r w:rsidRPr="001E3673">
              <w:rPr>
                <w:rFonts w:ascii="Times New Roman" w:hAnsi="Times New Roman"/>
                <w:sz w:val="24"/>
                <w:szCs w:val="24"/>
                <w:lang w:val="ro-RO"/>
              </w:rPr>
              <w:t>„(13) La efectuarea planificării controlului asupra obiectelor industriale periculoase se va lua în consideraţie categoria de pericol, conform anexei nr.1, cu următoarele limite de timp:</w:t>
            </w:r>
          </w:p>
          <w:p w:rsidR="006D0602" w:rsidRPr="00C6692A" w:rsidRDefault="006D0602" w:rsidP="00506786">
            <w:pPr>
              <w:spacing w:after="0" w:line="240" w:lineRule="auto"/>
              <w:jc w:val="both"/>
              <w:rPr>
                <w:rFonts w:ascii="Times New Roman" w:hAnsi="Times New Roman"/>
                <w:color w:val="000000" w:themeColor="text1"/>
                <w:sz w:val="24"/>
                <w:szCs w:val="24"/>
                <w:lang w:val="ro-RO"/>
              </w:rPr>
            </w:pPr>
            <w:r w:rsidRPr="00C6692A">
              <w:rPr>
                <w:rFonts w:ascii="Times New Roman" w:hAnsi="Times New Roman"/>
                <w:color w:val="000000" w:themeColor="text1"/>
                <w:sz w:val="24"/>
                <w:szCs w:val="24"/>
                <w:lang w:val="ro-RO"/>
              </w:rPr>
              <w:t>categoria I de pericol-cel mult o dată pe an;</w:t>
            </w:r>
          </w:p>
          <w:p w:rsidR="006D0602" w:rsidRPr="00C6692A" w:rsidRDefault="006D0602" w:rsidP="00506786">
            <w:pPr>
              <w:spacing w:after="0" w:line="240" w:lineRule="auto"/>
              <w:jc w:val="both"/>
              <w:rPr>
                <w:rFonts w:ascii="Times New Roman" w:hAnsi="Times New Roman"/>
                <w:color w:val="000000" w:themeColor="text1"/>
                <w:sz w:val="24"/>
                <w:szCs w:val="24"/>
                <w:lang w:val="ro-RO"/>
              </w:rPr>
            </w:pPr>
            <w:r w:rsidRPr="00C6692A">
              <w:rPr>
                <w:rFonts w:ascii="Times New Roman" w:hAnsi="Times New Roman"/>
                <w:color w:val="000000" w:themeColor="text1"/>
                <w:sz w:val="24"/>
                <w:szCs w:val="24"/>
                <w:lang w:val="ro-RO"/>
              </w:rPr>
              <w:t>categoria II de pericol – cel mult o dată în doi ani;</w:t>
            </w:r>
          </w:p>
          <w:p w:rsidR="006D0602" w:rsidRPr="00C6692A" w:rsidRDefault="006D0602" w:rsidP="00506786">
            <w:pPr>
              <w:spacing w:after="0" w:line="240" w:lineRule="auto"/>
              <w:jc w:val="both"/>
              <w:rPr>
                <w:rFonts w:ascii="Times New Roman" w:hAnsi="Times New Roman"/>
                <w:color w:val="000000" w:themeColor="text1"/>
                <w:sz w:val="24"/>
                <w:szCs w:val="24"/>
                <w:lang w:val="ro-RO"/>
              </w:rPr>
            </w:pPr>
            <w:r w:rsidRPr="00C6692A">
              <w:rPr>
                <w:rFonts w:ascii="Times New Roman" w:hAnsi="Times New Roman"/>
                <w:color w:val="000000" w:themeColor="text1"/>
                <w:sz w:val="24"/>
                <w:szCs w:val="24"/>
                <w:lang w:val="ro-RO"/>
              </w:rPr>
              <w:t>categoria III de pericol - cel mult o dată în trei ani;</w:t>
            </w:r>
          </w:p>
          <w:p w:rsidR="006D0602" w:rsidRPr="00C6692A" w:rsidRDefault="006D0602" w:rsidP="00506786">
            <w:pPr>
              <w:spacing w:after="0" w:line="240" w:lineRule="auto"/>
              <w:jc w:val="both"/>
              <w:rPr>
                <w:rFonts w:ascii="Times New Roman" w:hAnsi="Times New Roman"/>
                <w:color w:val="000000" w:themeColor="text1"/>
                <w:sz w:val="24"/>
                <w:szCs w:val="24"/>
                <w:lang w:val="ro-RO"/>
              </w:rPr>
            </w:pPr>
            <w:r w:rsidRPr="00C6692A">
              <w:rPr>
                <w:rFonts w:ascii="Times New Roman" w:hAnsi="Times New Roman"/>
                <w:color w:val="000000" w:themeColor="text1"/>
                <w:sz w:val="24"/>
                <w:szCs w:val="24"/>
                <w:lang w:val="ro-RO"/>
              </w:rPr>
              <w:t>categoria IV de pericol - cel mult o dată în patru ani”.</w:t>
            </w:r>
          </w:p>
          <w:p w:rsidR="006D0602" w:rsidRPr="004A50A6" w:rsidRDefault="006D0602" w:rsidP="00506786">
            <w:pPr>
              <w:spacing w:after="0" w:line="240" w:lineRule="auto"/>
              <w:jc w:val="center"/>
              <w:rPr>
                <w:rFonts w:ascii="Times New Roman" w:hAnsi="Times New Roman"/>
                <w:sz w:val="24"/>
                <w:szCs w:val="24"/>
                <w:lang w:val="ro-RO"/>
              </w:rPr>
            </w:pPr>
          </w:p>
        </w:tc>
      </w:tr>
      <w:tr w:rsidR="006D0602" w:rsidTr="00EF1C9C">
        <w:tblPrEx>
          <w:tblBorders>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851" w:type="dxa"/>
          <w:wAfter w:w="103" w:type="dxa"/>
          <w:trHeight w:val="299"/>
        </w:trPr>
        <w:tc>
          <w:tcPr>
            <w:tcW w:w="13234" w:type="dxa"/>
            <w:gridSpan w:val="4"/>
            <w:tcBorders>
              <w:top w:val="single" w:sz="4" w:space="0" w:color="auto"/>
            </w:tcBorders>
          </w:tcPr>
          <w:p w:rsidR="000E6A41" w:rsidRDefault="000E6A41" w:rsidP="00EF1C9C">
            <w:pPr>
              <w:pStyle w:val="NoSpacing"/>
              <w:jc w:val="center"/>
              <w:rPr>
                <w:rFonts w:ascii="Times New Roman" w:hAnsi="Times New Roman"/>
                <w:b/>
                <w:sz w:val="28"/>
                <w:szCs w:val="28"/>
                <w:lang w:val="ro-RO"/>
              </w:rPr>
            </w:pPr>
          </w:p>
          <w:p w:rsidR="006D0602" w:rsidRDefault="00EF1C9C" w:rsidP="00EF1C9C">
            <w:pPr>
              <w:pStyle w:val="NoSpacing"/>
              <w:jc w:val="center"/>
              <w:rPr>
                <w:lang w:val="ro-RO"/>
              </w:rPr>
            </w:pPr>
            <w:r w:rsidRPr="00570F9C">
              <w:rPr>
                <w:rFonts w:ascii="Times New Roman" w:hAnsi="Times New Roman"/>
                <w:b/>
                <w:sz w:val="28"/>
                <w:szCs w:val="28"/>
                <w:lang w:val="ro-RO"/>
              </w:rPr>
              <w:t>SINTEZA DIVERGEN</w:t>
            </w:r>
            <w:r>
              <w:rPr>
                <w:rFonts w:ascii="Times New Roman" w:hAnsi="Times New Roman"/>
                <w:b/>
                <w:sz w:val="28"/>
                <w:szCs w:val="28"/>
                <w:lang w:val="ro-RO"/>
              </w:rPr>
              <w:t>Ţ</w:t>
            </w:r>
            <w:r w:rsidRPr="00570F9C">
              <w:rPr>
                <w:rFonts w:ascii="Times New Roman" w:hAnsi="Times New Roman"/>
                <w:b/>
                <w:sz w:val="28"/>
                <w:szCs w:val="28"/>
                <w:lang w:val="ro-RO"/>
              </w:rPr>
              <w:t>ELOR</w:t>
            </w:r>
          </w:p>
        </w:tc>
      </w:tr>
    </w:tbl>
    <w:p w:rsidR="006D0602" w:rsidRPr="00580084" w:rsidRDefault="006877E8" w:rsidP="00EF1C9C">
      <w:pPr>
        <w:pStyle w:val="NoSpacing"/>
        <w:jc w:val="center"/>
        <w:rPr>
          <w:rFonts w:ascii="Times New Roman" w:hAnsi="Times New Roman"/>
          <w:b/>
          <w:sz w:val="28"/>
          <w:szCs w:val="28"/>
          <w:lang w:val="ro-RO"/>
        </w:rPr>
      </w:pPr>
      <w:r>
        <w:rPr>
          <w:rFonts w:ascii="Times New Roman" w:hAnsi="Times New Roman"/>
          <w:b/>
          <w:sz w:val="28"/>
          <w:szCs w:val="28"/>
        </w:rPr>
        <w:t xml:space="preserve">la </w:t>
      </w:r>
      <w:r>
        <w:rPr>
          <w:rFonts w:ascii="Times New Roman" w:hAnsi="Times New Roman"/>
          <w:b/>
          <w:sz w:val="28"/>
          <w:szCs w:val="28"/>
          <w:lang w:val="ro-RO"/>
        </w:rPr>
        <w:t>p</w:t>
      </w:r>
      <w:r w:rsidR="006D0602">
        <w:rPr>
          <w:rFonts w:ascii="Times New Roman" w:hAnsi="Times New Roman"/>
          <w:b/>
          <w:sz w:val="28"/>
          <w:szCs w:val="28"/>
          <w:lang w:val="ro-RO"/>
        </w:rPr>
        <w:t>ropunerile inaintate de Cancelaria de Stat prin demersul nr.1450-846 din 05.11.2013</w:t>
      </w:r>
    </w:p>
    <w:p w:rsidR="00882D6D" w:rsidRPr="00580084" w:rsidRDefault="00882D6D" w:rsidP="00EF1C9C">
      <w:pPr>
        <w:pStyle w:val="NoSpacing"/>
        <w:jc w:val="center"/>
        <w:rPr>
          <w:rFonts w:ascii="Times New Roman" w:hAnsi="Times New Roman"/>
          <w:b/>
          <w:sz w:val="24"/>
          <w:szCs w:val="24"/>
          <w:lang w:val="ro-RO"/>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5"/>
        <w:gridCol w:w="3573"/>
        <w:gridCol w:w="1836"/>
        <w:gridCol w:w="7902"/>
      </w:tblGrid>
      <w:tr w:rsidR="00882D6D" w:rsidRPr="00580084" w:rsidTr="007D0FE7">
        <w:tc>
          <w:tcPr>
            <w:tcW w:w="865" w:type="dxa"/>
          </w:tcPr>
          <w:p w:rsidR="00882D6D" w:rsidRPr="00580084" w:rsidRDefault="00882D6D" w:rsidP="005A33C9">
            <w:pPr>
              <w:pStyle w:val="NoSpacing"/>
              <w:jc w:val="center"/>
              <w:rPr>
                <w:rFonts w:ascii="Times New Roman" w:hAnsi="Times New Roman"/>
                <w:sz w:val="24"/>
                <w:szCs w:val="24"/>
                <w:lang w:val="ro-RO"/>
              </w:rPr>
            </w:pPr>
            <w:r w:rsidRPr="00580084">
              <w:rPr>
                <w:rFonts w:ascii="Times New Roman" w:hAnsi="Times New Roman"/>
                <w:b/>
                <w:sz w:val="24"/>
                <w:szCs w:val="24"/>
                <w:lang w:val="ro-RO"/>
              </w:rPr>
              <w:t>Nr. d/o</w:t>
            </w:r>
          </w:p>
        </w:tc>
        <w:tc>
          <w:tcPr>
            <w:tcW w:w="3573" w:type="dxa"/>
          </w:tcPr>
          <w:p w:rsidR="00882D6D" w:rsidRPr="00580084" w:rsidRDefault="00882D6D" w:rsidP="00CA7DD5">
            <w:pPr>
              <w:pStyle w:val="NoSpacing"/>
              <w:jc w:val="center"/>
              <w:rPr>
                <w:rFonts w:ascii="Times New Roman" w:hAnsi="Times New Roman"/>
                <w:sz w:val="24"/>
                <w:szCs w:val="24"/>
                <w:lang w:val="ro-RO"/>
              </w:rPr>
            </w:pPr>
            <w:r w:rsidRPr="00580084">
              <w:rPr>
                <w:rFonts w:ascii="Times New Roman" w:hAnsi="Times New Roman"/>
                <w:b/>
                <w:sz w:val="24"/>
                <w:szCs w:val="24"/>
                <w:lang w:val="ro-RO"/>
              </w:rPr>
              <w:t>Obiec</w:t>
            </w:r>
            <w:r w:rsidR="00CA7DD5" w:rsidRPr="00580084">
              <w:rPr>
                <w:rFonts w:ascii="Times New Roman" w:hAnsi="Times New Roman"/>
                <w:b/>
                <w:sz w:val="24"/>
                <w:szCs w:val="24"/>
                <w:lang w:val="ro-RO"/>
              </w:rPr>
              <w:t>ţ</w:t>
            </w:r>
            <w:r w:rsidRPr="00580084">
              <w:rPr>
                <w:rFonts w:ascii="Times New Roman" w:hAnsi="Times New Roman"/>
                <w:b/>
                <w:sz w:val="24"/>
                <w:szCs w:val="24"/>
                <w:lang w:val="ro-RO"/>
              </w:rPr>
              <w:t>ia expusă</w:t>
            </w:r>
          </w:p>
        </w:tc>
        <w:tc>
          <w:tcPr>
            <w:tcW w:w="1836" w:type="dxa"/>
          </w:tcPr>
          <w:p w:rsidR="00882D6D" w:rsidRPr="00580084" w:rsidRDefault="00882D6D" w:rsidP="005A33C9">
            <w:pPr>
              <w:pStyle w:val="NoSpacing"/>
              <w:jc w:val="center"/>
              <w:rPr>
                <w:rFonts w:ascii="Times New Roman" w:hAnsi="Times New Roman"/>
                <w:sz w:val="24"/>
                <w:szCs w:val="24"/>
                <w:lang w:val="ro-RO"/>
              </w:rPr>
            </w:pPr>
            <w:r w:rsidRPr="00580084">
              <w:rPr>
                <w:rFonts w:ascii="Times New Roman" w:hAnsi="Times New Roman"/>
                <w:b/>
                <w:sz w:val="24"/>
                <w:szCs w:val="24"/>
                <w:lang w:val="ro-RO"/>
              </w:rPr>
              <w:t>Rezultatul precăutării</w:t>
            </w:r>
          </w:p>
        </w:tc>
        <w:tc>
          <w:tcPr>
            <w:tcW w:w="7902" w:type="dxa"/>
          </w:tcPr>
          <w:p w:rsidR="00882D6D" w:rsidRPr="00580084" w:rsidRDefault="00882D6D" w:rsidP="00CA7DD5">
            <w:pPr>
              <w:pStyle w:val="NoSpacing"/>
              <w:jc w:val="center"/>
              <w:rPr>
                <w:rFonts w:ascii="Times New Roman" w:hAnsi="Times New Roman"/>
                <w:sz w:val="24"/>
                <w:szCs w:val="24"/>
                <w:lang w:val="ro-RO"/>
              </w:rPr>
            </w:pPr>
            <w:r w:rsidRPr="00580084">
              <w:rPr>
                <w:rFonts w:ascii="Times New Roman" w:hAnsi="Times New Roman"/>
                <w:b/>
                <w:sz w:val="24"/>
                <w:szCs w:val="24"/>
                <w:lang w:val="ro-RO"/>
              </w:rPr>
              <w:t>Men</w:t>
            </w:r>
            <w:r w:rsidR="00CA7DD5" w:rsidRPr="00580084">
              <w:rPr>
                <w:rFonts w:ascii="Times New Roman" w:hAnsi="Times New Roman"/>
                <w:b/>
                <w:sz w:val="24"/>
                <w:szCs w:val="24"/>
                <w:lang w:val="ro-RO"/>
              </w:rPr>
              <w:t>ţ</w:t>
            </w:r>
            <w:r w:rsidRPr="00580084">
              <w:rPr>
                <w:rFonts w:ascii="Times New Roman" w:hAnsi="Times New Roman"/>
                <w:b/>
                <w:sz w:val="24"/>
                <w:szCs w:val="24"/>
                <w:lang w:val="ro-RO"/>
              </w:rPr>
              <w:t>iuni</w:t>
            </w:r>
          </w:p>
        </w:tc>
      </w:tr>
      <w:tr w:rsidR="00882D6D" w:rsidRPr="00CA7ECF" w:rsidTr="007D0FE7">
        <w:tc>
          <w:tcPr>
            <w:tcW w:w="865"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t>1.</w:t>
            </w:r>
          </w:p>
        </w:tc>
        <w:tc>
          <w:tcPr>
            <w:tcW w:w="3573" w:type="dxa"/>
          </w:tcPr>
          <w:p w:rsidR="006F7D4C" w:rsidRDefault="00080C23" w:rsidP="005A33C9">
            <w:pPr>
              <w:pStyle w:val="NoSpacing"/>
              <w:jc w:val="both"/>
              <w:rPr>
                <w:rFonts w:ascii="Times New Roman" w:hAnsi="Times New Roman"/>
                <w:sz w:val="24"/>
                <w:szCs w:val="24"/>
                <w:lang w:val="ro-RO"/>
              </w:rPr>
            </w:pPr>
            <w:r w:rsidRPr="00CA7ECF">
              <w:rPr>
                <w:rFonts w:ascii="Times New Roman" w:hAnsi="Times New Roman"/>
                <w:sz w:val="24"/>
                <w:szCs w:val="24"/>
                <w:lang w:val="ro-RO"/>
              </w:rPr>
              <w:t>La art.IX pct.</w:t>
            </w:r>
            <w:r w:rsidR="00882D6D" w:rsidRPr="00CA7ECF">
              <w:rPr>
                <w:rFonts w:ascii="Times New Roman" w:hAnsi="Times New Roman"/>
                <w:sz w:val="24"/>
                <w:szCs w:val="24"/>
                <w:lang w:val="ro-RO"/>
              </w:rPr>
              <w:t>1</w:t>
            </w:r>
            <w:r w:rsidR="006F7D4C">
              <w:rPr>
                <w:rFonts w:ascii="Times New Roman" w:hAnsi="Times New Roman"/>
                <w:sz w:val="24"/>
                <w:szCs w:val="24"/>
                <w:lang w:val="ro-RO"/>
              </w:rPr>
              <w:t>.</w:t>
            </w:r>
          </w:p>
          <w:p w:rsidR="00DC51D0" w:rsidRPr="00CA7ECF" w:rsidRDefault="00882D6D" w:rsidP="005A33C9">
            <w:pPr>
              <w:pStyle w:val="NoSpacing"/>
              <w:jc w:val="both"/>
              <w:rPr>
                <w:rFonts w:ascii="Times New Roman" w:hAnsi="Times New Roman"/>
                <w:sz w:val="24"/>
                <w:szCs w:val="24"/>
                <w:lang w:val="ro-RO"/>
              </w:rPr>
            </w:pPr>
            <w:r w:rsidRPr="00CA7ECF">
              <w:rPr>
                <w:rFonts w:ascii="Times New Roman" w:hAnsi="Times New Roman"/>
                <w:sz w:val="24"/>
                <w:szCs w:val="24"/>
                <w:lang w:val="ro-RO"/>
              </w:rPr>
              <w:t xml:space="preserve">Propunerea de modificare a noţiunii „organism de expertiză în domeniul securităţii industriale” în </w:t>
            </w:r>
            <w:r w:rsidRPr="00CA7ECF">
              <w:rPr>
                <w:rFonts w:ascii="Times New Roman" w:hAnsi="Times New Roman"/>
                <w:sz w:val="24"/>
                <w:szCs w:val="24"/>
                <w:lang w:val="ro-RO"/>
              </w:rPr>
              <w:lastRenderedPageBreak/>
              <w:t>cea de „organism de inspecţie…” va crea incertitudine în rîndul agenţilor economici în ceea ce ţine de</w:t>
            </w:r>
            <w:r w:rsidR="00DC51D0" w:rsidRPr="00CA7ECF">
              <w:rPr>
                <w:rFonts w:ascii="Times New Roman" w:hAnsi="Times New Roman"/>
                <w:sz w:val="24"/>
                <w:szCs w:val="24"/>
                <w:lang w:val="ro-RO"/>
              </w:rPr>
              <w:t>:</w:t>
            </w:r>
          </w:p>
          <w:p w:rsidR="00DC51D0" w:rsidRPr="00CA7ECF" w:rsidRDefault="00254063" w:rsidP="005A33C9">
            <w:pPr>
              <w:pStyle w:val="NoSpacing"/>
              <w:jc w:val="both"/>
              <w:rPr>
                <w:rFonts w:ascii="Times New Roman" w:hAnsi="Times New Roman"/>
                <w:sz w:val="24"/>
                <w:szCs w:val="24"/>
                <w:lang w:val="ro-RO"/>
              </w:rPr>
            </w:pPr>
            <w:r w:rsidRPr="00CA7ECF">
              <w:rPr>
                <w:rFonts w:ascii="Times New Roman" w:hAnsi="Times New Roman"/>
                <w:sz w:val="24"/>
                <w:szCs w:val="24"/>
                <w:lang w:val="ro-RO"/>
              </w:rPr>
              <w:t>i</w:t>
            </w:r>
            <w:r w:rsidR="00882D6D" w:rsidRPr="00CA7ECF">
              <w:rPr>
                <w:rFonts w:ascii="Times New Roman" w:hAnsi="Times New Roman"/>
                <w:sz w:val="24"/>
                <w:szCs w:val="24"/>
                <w:lang w:val="ro-RO"/>
              </w:rPr>
              <w:t xml:space="preserve">) activităţile de inspectare efectuate de organul de control şi supraveghere tehnică de stat pe de o parte şi </w:t>
            </w:r>
          </w:p>
          <w:p w:rsidR="00882D6D" w:rsidRPr="00CA7ECF" w:rsidRDefault="00254063" w:rsidP="006720B1">
            <w:pPr>
              <w:pStyle w:val="NoSpacing"/>
              <w:jc w:val="both"/>
              <w:rPr>
                <w:rFonts w:ascii="Times New Roman" w:hAnsi="Times New Roman"/>
                <w:sz w:val="24"/>
                <w:szCs w:val="24"/>
                <w:lang w:val="ro-RO"/>
              </w:rPr>
            </w:pPr>
            <w:r w:rsidRPr="00CA7ECF">
              <w:rPr>
                <w:rFonts w:ascii="Times New Roman" w:hAnsi="Times New Roman"/>
                <w:sz w:val="24"/>
                <w:szCs w:val="24"/>
                <w:lang w:val="ro-RO"/>
              </w:rPr>
              <w:t>ii</w:t>
            </w:r>
            <w:r w:rsidR="00882D6D" w:rsidRPr="00CA7ECF">
              <w:rPr>
                <w:rFonts w:ascii="Times New Roman" w:hAnsi="Times New Roman"/>
                <w:sz w:val="24"/>
                <w:szCs w:val="24"/>
                <w:lang w:val="ro-RO"/>
              </w:rPr>
              <w:t>) a celor efectuate de către   organismele de expertiză. Totodată, organismele de expertiză nu pot îndeplini</w:t>
            </w:r>
            <w:r w:rsidR="00BE352C" w:rsidRPr="00CA7ECF">
              <w:rPr>
                <w:rFonts w:ascii="Times New Roman" w:hAnsi="Times New Roman"/>
                <w:sz w:val="24"/>
                <w:szCs w:val="24"/>
                <w:lang w:val="ro-RO"/>
              </w:rPr>
              <w:t xml:space="preserve"> şi funcţiile de inspectare. </w:t>
            </w:r>
            <w:r w:rsidR="00882D6D" w:rsidRPr="00CA7ECF">
              <w:rPr>
                <w:rFonts w:ascii="Times New Roman" w:hAnsi="Times New Roman"/>
                <w:sz w:val="24"/>
                <w:szCs w:val="24"/>
                <w:lang w:val="ro-RO"/>
              </w:rPr>
              <w:t>Mai mult, acest organism nou nu are nici o responsabi</w:t>
            </w:r>
            <w:r w:rsidR="006720B1">
              <w:rPr>
                <w:rFonts w:ascii="Times New Roman" w:hAnsi="Times New Roman"/>
                <w:sz w:val="24"/>
                <w:szCs w:val="24"/>
                <w:lang w:val="ro-RO"/>
              </w:rPr>
              <w:t xml:space="preserve">litate, atît materială, cît şi </w:t>
            </w:r>
            <w:r w:rsidR="00882D6D" w:rsidRPr="00CA7ECF">
              <w:rPr>
                <w:rFonts w:ascii="Times New Roman" w:hAnsi="Times New Roman"/>
                <w:sz w:val="24"/>
                <w:szCs w:val="24"/>
                <w:lang w:val="ro-RO"/>
              </w:rPr>
              <w:t>administrativă, dar nici penală, după caz.</w:t>
            </w:r>
          </w:p>
        </w:tc>
        <w:tc>
          <w:tcPr>
            <w:tcW w:w="1836" w:type="dxa"/>
          </w:tcPr>
          <w:p w:rsidR="00882D6D" w:rsidRPr="00CA7ECF" w:rsidRDefault="007D0FE7"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lastRenderedPageBreak/>
              <w:t>Constatare</w:t>
            </w:r>
          </w:p>
        </w:tc>
        <w:tc>
          <w:tcPr>
            <w:tcW w:w="7902" w:type="dxa"/>
          </w:tcPr>
          <w:p w:rsidR="000846A2" w:rsidRPr="00CA7ECF" w:rsidRDefault="00CA7D52" w:rsidP="00CA7D52">
            <w:pPr>
              <w:pStyle w:val="NormalWeb"/>
              <w:rPr>
                <w:i/>
                <w:lang w:val="ro-RO"/>
              </w:rPr>
            </w:pPr>
            <w:r w:rsidRPr="00CA7ECF">
              <w:rPr>
                <w:lang w:val="ro-RO"/>
              </w:rPr>
              <w:t xml:space="preserve">Art.21 alin.(1) al </w:t>
            </w:r>
            <w:r w:rsidR="000723E0" w:rsidRPr="00CA7ECF">
              <w:rPr>
                <w:lang w:val="ro-RO"/>
              </w:rPr>
              <w:t>Leg</w:t>
            </w:r>
            <w:r w:rsidRPr="00CA7ECF">
              <w:rPr>
                <w:lang w:val="ro-RO"/>
              </w:rPr>
              <w:t>ii</w:t>
            </w:r>
            <w:r w:rsidR="000723E0" w:rsidRPr="00CA7ECF">
              <w:rPr>
                <w:lang w:val="ro-RO"/>
              </w:rPr>
              <w:t xml:space="preserve"> nr.235 din 01.12.2011 privind activităţile de acreditare şi de evaluare a conformităţii</w:t>
            </w:r>
            <w:r w:rsidR="004509BC" w:rsidRPr="00CA7ECF">
              <w:rPr>
                <w:lang w:val="ro-RO"/>
              </w:rPr>
              <w:t xml:space="preserve"> </w:t>
            </w:r>
            <w:r w:rsidRPr="00CA7ECF">
              <w:rPr>
                <w:lang w:val="ro-RO"/>
              </w:rPr>
              <w:t xml:space="preserve">prevede: </w:t>
            </w:r>
            <w:r w:rsidRPr="00CA7ECF">
              <w:rPr>
                <w:i/>
                <w:lang w:val="ro-RO"/>
              </w:rPr>
              <w:t xml:space="preserve">„(1) </w:t>
            </w:r>
            <w:r w:rsidRPr="00CA7ECF">
              <w:rPr>
                <w:b/>
                <w:i/>
                <w:lang w:val="ro-RO"/>
              </w:rPr>
              <w:t>Scopul inspecţiei constă în realizarea evaluărilor la solicitarea agenţilor economici şi/sau a autorităţilor administraţiei publice</w:t>
            </w:r>
            <w:r w:rsidRPr="00CA7ECF">
              <w:rPr>
                <w:i/>
                <w:lang w:val="ro-RO"/>
              </w:rPr>
              <w:t xml:space="preserve">, avînd ca obiectiv furnizarea către partea </w:t>
            </w:r>
            <w:r w:rsidRPr="00CA7ECF">
              <w:rPr>
                <w:i/>
                <w:lang w:val="ro-RO"/>
              </w:rPr>
              <w:lastRenderedPageBreak/>
              <w:t>interesată a informaţiilor referitoare la conformitatea obiectului inspectat cu reglementări, cu standarde sau cu alte cerinţe specificate. Parametrii inspecţiei pot include elemente referitoare la cantitate, calitate, securitate şi la aptitudinea de utilizare, precum şi la</w:t>
            </w:r>
            <w:r w:rsidRPr="00CA7ECF">
              <w:rPr>
                <w:b/>
                <w:i/>
                <w:lang w:val="ro-RO"/>
              </w:rPr>
              <w:t xml:space="preserve"> respectarea continuă a securităţii în funcţionarea obiectelor sau sistemelor industriale</w:t>
            </w:r>
            <w:r w:rsidRPr="00CA7ECF">
              <w:rPr>
                <w:i/>
                <w:lang w:val="ro-RO"/>
              </w:rPr>
              <w:t>.”</w:t>
            </w:r>
          </w:p>
          <w:p w:rsidR="000846A2" w:rsidRPr="00CA7ECF" w:rsidRDefault="00D36849" w:rsidP="00D36849">
            <w:pPr>
              <w:pStyle w:val="NormalWeb"/>
              <w:rPr>
                <w:lang w:val="ro-RO"/>
              </w:rPr>
            </w:pPr>
            <w:r w:rsidRPr="00CA7ECF">
              <w:rPr>
                <w:lang w:val="ro-RO"/>
              </w:rPr>
              <w:t xml:space="preserve">Astfel </w:t>
            </w:r>
            <w:r w:rsidR="004509BC" w:rsidRPr="00CA7ECF">
              <w:rPr>
                <w:lang w:val="ro-RO"/>
              </w:rPr>
              <w:t>modificarea vine să ajusteze noţ</w:t>
            </w:r>
            <w:r w:rsidRPr="00CA7ECF">
              <w:rPr>
                <w:lang w:val="ro-RO"/>
              </w:rPr>
              <w:t>iunea termenului „organism de expertiză în domeniul securităţii industriale” cu prevederile Legii n</w:t>
            </w:r>
            <w:r w:rsidR="004509BC" w:rsidRPr="00CA7ECF">
              <w:rPr>
                <w:lang w:val="ro-RO"/>
              </w:rPr>
              <w:t>r.235 din 01.12.2011. Legea menţ</w:t>
            </w:r>
            <w:r w:rsidRPr="00CA7ECF">
              <w:rPr>
                <w:lang w:val="ro-RO"/>
              </w:rPr>
              <w:t>ion</w:t>
            </w:r>
            <w:r w:rsidR="004509BC" w:rsidRPr="00CA7ECF">
              <w:rPr>
                <w:lang w:val="ro-RO"/>
              </w:rPr>
              <w:t>ată reglementează cerinţele faţ</w:t>
            </w:r>
            <w:r w:rsidRPr="00CA7ECF">
              <w:rPr>
                <w:lang w:val="ro-RO"/>
              </w:rPr>
              <w:t>ă de  organismele de evaluare a conformită</w:t>
            </w:r>
            <w:r w:rsidR="004509BC" w:rsidRPr="00CA7ECF">
              <w:rPr>
                <w:lang w:val="ro-RO"/>
              </w:rPr>
              <w:t>ţ</w:t>
            </w:r>
            <w:r w:rsidRPr="00CA7ECF">
              <w:rPr>
                <w:lang w:val="ro-RO"/>
              </w:rPr>
              <w:t xml:space="preserve">ii </w:t>
            </w:r>
            <w:r w:rsidR="004509BC" w:rsidRPr="00CA7ECF">
              <w:rPr>
                <w:lang w:val="ro-RO"/>
              </w:rPr>
              <w:t>ş</w:t>
            </w:r>
            <w:r w:rsidRPr="00CA7ECF">
              <w:rPr>
                <w:lang w:val="ro-RO"/>
              </w:rPr>
              <w:t>i procedurile prin care se efectuează evaluarea conformită</w:t>
            </w:r>
            <w:r w:rsidR="004509BC" w:rsidRPr="00CA7ECF">
              <w:rPr>
                <w:lang w:val="ro-RO"/>
              </w:rPr>
              <w:t>ţ</w:t>
            </w:r>
            <w:r w:rsidR="006720B1">
              <w:rPr>
                <w:lang w:val="ro-RO"/>
              </w:rPr>
              <w:t>ii (</w:t>
            </w:r>
            <w:r w:rsidRPr="00CA7ECF">
              <w:rPr>
                <w:lang w:val="ro-RO"/>
              </w:rPr>
              <w:t>i) certificare; ii) inspecţie; iii) încercare;). Activitatea desfă</w:t>
            </w:r>
            <w:r w:rsidR="004509BC" w:rsidRPr="00CA7ECF">
              <w:rPr>
                <w:lang w:val="ro-RO"/>
              </w:rPr>
              <w:t>ş</w:t>
            </w:r>
            <w:r w:rsidRPr="00CA7ECF">
              <w:rPr>
                <w:lang w:val="ro-RO"/>
              </w:rPr>
              <w:t>urată de aşa-zisele „organisme de expertiză” cade sub inciden</w:t>
            </w:r>
            <w:r w:rsidRPr="00CA7ECF">
              <w:rPr>
                <w:rFonts w:ascii="Tahoma" w:hAnsi="Tahoma"/>
                <w:lang w:val="ro-RO"/>
              </w:rPr>
              <w:t>ț</w:t>
            </w:r>
            <w:r w:rsidRPr="00CA7ECF">
              <w:rPr>
                <w:lang w:val="ro-RO"/>
              </w:rPr>
              <w:t>a standardului european SM SR EN ISO/CEI 17020:2006 „Criterii generale pentru func</w:t>
            </w:r>
            <w:r w:rsidR="004509BC" w:rsidRPr="00CA7ECF">
              <w:rPr>
                <w:lang w:val="ro-RO"/>
              </w:rPr>
              <w:t>ţ</w:t>
            </w:r>
            <w:r w:rsidRPr="00CA7ECF">
              <w:rPr>
                <w:lang w:val="ro-RO"/>
              </w:rPr>
              <w:t>ionarea diferitor tipuri de organisme care efectuează inspec</w:t>
            </w:r>
            <w:r w:rsidRPr="00CA7ECF">
              <w:rPr>
                <w:rFonts w:ascii="Tahoma" w:hAnsi="Tahoma"/>
                <w:lang w:val="ro-RO"/>
              </w:rPr>
              <w:t>ț</w:t>
            </w:r>
            <w:r w:rsidRPr="00CA7ECF">
              <w:rPr>
                <w:lang w:val="ro-RO"/>
              </w:rPr>
              <w:t>ii”.</w:t>
            </w:r>
          </w:p>
          <w:p w:rsidR="00882D6D" w:rsidRPr="00CA7ECF" w:rsidRDefault="00882D6D" w:rsidP="00D36849">
            <w:pPr>
              <w:pStyle w:val="NoSpacing"/>
              <w:ind w:firstLine="565"/>
              <w:jc w:val="both"/>
              <w:rPr>
                <w:rFonts w:ascii="Times New Roman" w:hAnsi="Times New Roman"/>
                <w:sz w:val="24"/>
                <w:szCs w:val="24"/>
                <w:lang w:val="ro-RO"/>
              </w:rPr>
            </w:pPr>
            <w:r w:rsidRPr="00CA7ECF">
              <w:rPr>
                <w:rFonts w:ascii="Times New Roman" w:hAnsi="Times New Roman"/>
                <w:sz w:val="24"/>
                <w:szCs w:val="24"/>
                <w:lang w:val="ro-RO"/>
              </w:rPr>
              <w:t>Totodată, organismele de inspec</w:t>
            </w:r>
            <w:r w:rsidR="000B15B1" w:rsidRPr="00CA7ECF">
              <w:rPr>
                <w:rFonts w:ascii="Times New Roman" w:hAnsi="Times New Roman"/>
                <w:sz w:val="24"/>
                <w:szCs w:val="24"/>
                <w:lang w:val="ro-RO"/>
              </w:rPr>
              <w:t>ţ</w:t>
            </w:r>
            <w:r w:rsidRPr="00CA7ECF">
              <w:rPr>
                <w:rFonts w:ascii="Times New Roman" w:hAnsi="Times New Roman"/>
                <w:sz w:val="24"/>
                <w:szCs w:val="24"/>
                <w:lang w:val="ro-RO"/>
              </w:rPr>
              <w:t>ii trebuie să fie acreditate, cadrul</w:t>
            </w:r>
            <w:r w:rsidR="00254063" w:rsidRPr="00CA7ECF">
              <w:rPr>
                <w:rFonts w:ascii="Times New Roman" w:hAnsi="Times New Roman"/>
                <w:sz w:val="24"/>
                <w:szCs w:val="24"/>
                <w:lang w:val="ro-RO"/>
              </w:rPr>
              <w:t xml:space="preserve"> legal fiind expus în Legea nr.</w:t>
            </w:r>
            <w:r w:rsidR="000B15B1" w:rsidRPr="00CA7ECF">
              <w:rPr>
                <w:rFonts w:ascii="Times New Roman" w:hAnsi="Times New Roman"/>
                <w:sz w:val="24"/>
                <w:szCs w:val="24"/>
                <w:lang w:val="ro-RO"/>
              </w:rPr>
              <w:t>235 din 01.12.2011 p</w:t>
            </w:r>
            <w:r w:rsidRPr="00CA7ECF">
              <w:rPr>
                <w:rFonts w:ascii="Times New Roman" w:hAnsi="Times New Roman"/>
                <w:sz w:val="24"/>
                <w:szCs w:val="24"/>
                <w:lang w:val="ro-RO"/>
              </w:rPr>
              <w:t>rivind activită</w:t>
            </w:r>
            <w:r w:rsidR="000B15B1" w:rsidRPr="00CA7ECF">
              <w:rPr>
                <w:rFonts w:ascii="Times New Roman" w:hAnsi="Times New Roman"/>
                <w:sz w:val="24"/>
                <w:szCs w:val="24"/>
                <w:lang w:val="ro-RO"/>
              </w:rPr>
              <w:t>ţ</w:t>
            </w:r>
            <w:r w:rsidRPr="00CA7ECF">
              <w:rPr>
                <w:rFonts w:ascii="Times New Roman" w:hAnsi="Times New Roman"/>
                <w:sz w:val="24"/>
                <w:szCs w:val="24"/>
                <w:lang w:val="ro-RO"/>
              </w:rPr>
              <w:t xml:space="preserve">ile de acreditare </w:t>
            </w:r>
            <w:r w:rsidR="000B15B1" w:rsidRPr="00CA7ECF">
              <w:rPr>
                <w:rFonts w:ascii="Times New Roman" w:hAnsi="Times New Roman"/>
                <w:sz w:val="24"/>
                <w:szCs w:val="24"/>
                <w:lang w:val="ro-RO"/>
              </w:rPr>
              <w:t>ş</w:t>
            </w:r>
            <w:r w:rsidRPr="00CA7ECF">
              <w:rPr>
                <w:rFonts w:ascii="Times New Roman" w:hAnsi="Times New Roman"/>
                <w:sz w:val="24"/>
                <w:szCs w:val="24"/>
                <w:lang w:val="ro-RO"/>
              </w:rPr>
              <w:t>i de evaluare a conformită</w:t>
            </w:r>
            <w:r w:rsidR="000B15B1" w:rsidRPr="00CA7ECF">
              <w:rPr>
                <w:rFonts w:ascii="Times New Roman" w:hAnsi="Times New Roman"/>
                <w:sz w:val="24"/>
                <w:szCs w:val="24"/>
                <w:lang w:val="ro-RO"/>
              </w:rPr>
              <w:t>ţ</w:t>
            </w:r>
            <w:r w:rsidRPr="00CA7ECF">
              <w:rPr>
                <w:rFonts w:ascii="Times New Roman" w:hAnsi="Times New Roman"/>
                <w:sz w:val="24"/>
                <w:szCs w:val="24"/>
                <w:lang w:val="ro-RO"/>
              </w:rPr>
              <w:t>ii</w:t>
            </w:r>
            <w:r w:rsidR="000B15B1" w:rsidRPr="00CA7ECF">
              <w:rPr>
                <w:rFonts w:ascii="Times New Roman" w:hAnsi="Times New Roman"/>
                <w:sz w:val="24"/>
                <w:szCs w:val="24"/>
                <w:lang w:val="ro-RO"/>
              </w:rPr>
              <w:t>. De</w:t>
            </w:r>
            <w:r w:rsidRPr="00CA7ECF">
              <w:rPr>
                <w:rFonts w:ascii="Times New Roman" w:hAnsi="Times New Roman"/>
                <w:sz w:val="24"/>
                <w:szCs w:val="24"/>
                <w:lang w:val="ro-RO"/>
              </w:rPr>
              <w:t xml:space="preserve"> exemplu, în prezent, acreditarea organismelor de expertiză/inspec</w:t>
            </w:r>
            <w:r w:rsidR="000B15B1" w:rsidRPr="00CA7ECF">
              <w:rPr>
                <w:rFonts w:ascii="Times New Roman" w:hAnsi="Times New Roman"/>
                <w:sz w:val="24"/>
                <w:szCs w:val="24"/>
                <w:lang w:val="ro-RO"/>
              </w:rPr>
              <w:t>ţ</w:t>
            </w:r>
            <w:r w:rsidRPr="00CA7ECF">
              <w:rPr>
                <w:rFonts w:ascii="Times New Roman" w:hAnsi="Times New Roman"/>
                <w:sz w:val="24"/>
                <w:szCs w:val="24"/>
                <w:lang w:val="ro-RO"/>
              </w:rPr>
              <w:t>ie se face în baza standardului men</w:t>
            </w:r>
            <w:r w:rsidRPr="00CA7ECF">
              <w:rPr>
                <w:rFonts w:ascii="Tahoma" w:hAnsi="Tahoma"/>
                <w:sz w:val="24"/>
                <w:szCs w:val="24"/>
                <w:lang w:val="ro-RO"/>
              </w:rPr>
              <w:t>ț</w:t>
            </w:r>
            <w:r w:rsidRPr="00CA7ECF">
              <w:rPr>
                <w:rFonts w:ascii="Times New Roman" w:hAnsi="Times New Roman"/>
                <w:sz w:val="24"/>
                <w:szCs w:val="24"/>
                <w:lang w:val="ro-RO"/>
              </w:rPr>
              <w:t xml:space="preserve">ionat. De asemenea </w:t>
            </w:r>
            <w:r w:rsidR="00D36849" w:rsidRPr="00CA7ECF">
              <w:rPr>
                <w:rFonts w:ascii="Times New Roman" w:hAnsi="Times New Roman"/>
                <w:sz w:val="24"/>
                <w:szCs w:val="24"/>
                <w:lang w:val="ro-RO"/>
              </w:rPr>
              <w:t>aceia</w:t>
            </w:r>
            <w:r w:rsidR="004509BC" w:rsidRPr="00CA7ECF">
              <w:rPr>
                <w:rFonts w:ascii="Times New Roman" w:hAnsi="Times New Roman"/>
                <w:sz w:val="24"/>
                <w:szCs w:val="24"/>
                <w:lang w:val="ro-RO"/>
              </w:rPr>
              <w:t>ş</w:t>
            </w:r>
            <w:r w:rsidR="00D36849" w:rsidRPr="00CA7ECF">
              <w:rPr>
                <w:rFonts w:ascii="Times New Roman" w:hAnsi="Times New Roman"/>
                <w:sz w:val="24"/>
                <w:szCs w:val="24"/>
                <w:lang w:val="ro-RO"/>
              </w:rPr>
              <w:t>i</w:t>
            </w:r>
            <w:r w:rsidRPr="00CA7ECF">
              <w:rPr>
                <w:rFonts w:ascii="Times New Roman" w:hAnsi="Times New Roman"/>
                <w:sz w:val="24"/>
                <w:szCs w:val="24"/>
                <w:lang w:val="ro-RO"/>
              </w:rPr>
              <w:t xml:space="preserve"> lege specifică prevederi clare referitor la activitatea de „inspecţie” ca activitate indispensabilă domeniului evaluării conformităţii. </w:t>
            </w:r>
          </w:p>
          <w:p w:rsidR="00882D6D" w:rsidRPr="00CA7ECF" w:rsidRDefault="00882D6D" w:rsidP="00D36849">
            <w:pPr>
              <w:pStyle w:val="NormalWeb"/>
              <w:ind w:firstLine="565"/>
              <w:rPr>
                <w:lang w:val="ro-RO"/>
              </w:rPr>
            </w:pPr>
            <w:r w:rsidRPr="00CA7ECF">
              <w:rPr>
                <w:lang w:val="ro-RO"/>
              </w:rPr>
              <w:t>În ceea ce priveşte crearea incertitudinii în rîndul agen</w:t>
            </w:r>
            <w:r w:rsidRPr="00CA7ECF">
              <w:rPr>
                <w:rFonts w:ascii="Tahoma" w:hAnsi="Tahoma"/>
                <w:lang w:val="ro-RO"/>
              </w:rPr>
              <w:t>ț</w:t>
            </w:r>
            <w:r w:rsidRPr="00CA7ECF">
              <w:rPr>
                <w:lang w:val="ro-RO"/>
              </w:rPr>
              <w:t>ilor economici privind activităţile de inspectare, specificăm   că activitatea de inspecţie efectuată de către un organism de inspecţie nu este şi nu poate fi echivalată cu activitate de control efectuată de organ de control. Conform principiului</w:t>
            </w:r>
            <w:r w:rsidR="004509BC" w:rsidRPr="00CA7ECF">
              <w:rPr>
                <w:lang w:val="ro-RO"/>
              </w:rPr>
              <w:t xml:space="preserve"> </w:t>
            </w:r>
            <w:r w:rsidRPr="00CA7ECF">
              <w:rPr>
                <w:lang w:val="ro-RO"/>
              </w:rPr>
              <w:t>stabilit la art.16 alin.(5)</w:t>
            </w:r>
            <w:r w:rsidR="00440ABD" w:rsidRPr="00CA7ECF">
              <w:rPr>
                <w:lang w:val="ro-RO"/>
              </w:rPr>
              <w:t xml:space="preserve"> a Legii nr.</w:t>
            </w:r>
            <w:r w:rsidRPr="00CA7ECF">
              <w:rPr>
                <w:lang w:val="ro-RO"/>
              </w:rPr>
              <w:t>420 din 22.12.2006 privind activitatea de reglementare</w:t>
            </w:r>
            <w:r w:rsidR="004509BC" w:rsidRPr="00CA7ECF">
              <w:rPr>
                <w:lang w:val="ro-RO"/>
              </w:rPr>
              <w:t xml:space="preserve"> </w:t>
            </w:r>
            <w:r w:rsidRPr="00CA7ECF">
              <w:rPr>
                <w:lang w:val="ro-RO"/>
              </w:rPr>
              <w:t>tehnică</w:t>
            </w:r>
            <w:r w:rsidR="004509BC" w:rsidRPr="00CA7ECF">
              <w:rPr>
                <w:lang w:val="ro-RO"/>
              </w:rPr>
              <w:t xml:space="preserve"> </w:t>
            </w:r>
            <w:r w:rsidRPr="00CA7ECF">
              <w:rPr>
                <w:lang w:val="ro-RO"/>
              </w:rPr>
              <w:t>„(5) Organismele de evaluare a conformităţii nu sunt în</w:t>
            </w:r>
            <w:r w:rsidR="004509BC" w:rsidRPr="00CA7ECF">
              <w:rPr>
                <w:lang w:val="ro-RO"/>
              </w:rPr>
              <w:t xml:space="preserve"> </w:t>
            </w:r>
            <w:r w:rsidRPr="00CA7ECF">
              <w:rPr>
                <w:lang w:val="ro-RO"/>
              </w:rPr>
              <w:t>drept</w:t>
            </w:r>
            <w:r w:rsidR="004509BC" w:rsidRPr="00CA7ECF">
              <w:rPr>
                <w:lang w:val="ro-RO"/>
              </w:rPr>
              <w:t xml:space="preserve"> </w:t>
            </w:r>
            <w:r w:rsidRPr="00CA7ECF">
              <w:rPr>
                <w:lang w:val="ro-RO"/>
              </w:rPr>
              <w:t>să</w:t>
            </w:r>
            <w:r w:rsidR="004509BC" w:rsidRPr="00CA7ECF">
              <w:rPr>
                <w:lang w:val="ro-RO"/>
              </w:rPr>
              <w:t xml:space="preserve"> </w:t>
            </w:r>
            <w:r w:rsidRPr="00CA7ECF">
              <w:rPr>
                <w:lang w:val="ro-RO"/>
              </w:rPr>
              <w:t>exercite</w:t>
            </w:r>
            <w:r w:rsidR="004509BC" w:rsidRPr="00CA7ECF">
              <w:rPr>
                <w:lang w:val="ro-RO"/>
              </w:rPr>
              <w:t xml:space="preserve"> </w:t>
            </w:r>
            <w:r w:rsidRPr="00CA7ECF">
              <w:rPr>
                <w:lang w:val="ro-RO"/>
              </w:rPr>
              <w:t>funcţii de supraveghere a pieţei.”</w:t>
            </w:r>
          </w:p>
          <w:p w:rsidR="00882D6D" w:rsidRPr="00CA7ECF" w:rsidRDefault="00882D6D" w:rsidP="002E4310">
            <w:pPr>
              <w:pStyle w:val="NormalWeb"/>
              <w:ind w:firstLine="423"/>
              <w:rPr>
                <w:lang w:val="ro-RO"/>
              </w:rPr>
            </w:pPr>
            <w:r w:rsidRPr="00CA7ECF">
              <w:rPr>
                <w:lang w:val="ro-RO"/>
              </w:rPr>
              <w:t>Totodată, considerăm nemotivată expunerea, precum că „organismul  nou nu are nici o responsabilitate, atît materială, cît şi  administrativă, dar nici penală, după caz”, deo</w:t>
            </w:r>
            <w:r w:rsidR="007F3431" w:rsidRPr="00CA7ECF">
              <w:rPr>
                <w:lang w:val="ro-RO"/>
              </w:rPr>
              <w:t>arece conform prevederilor art.</w:t>
            </w:r>
            <w:r w:rsidRPr="00CA7ECF">
              <w:rPr>
                <w:lang w:val="ro-RO"/>
              </w:rPr>
              <w:t>16</w:t>
            </w:r>
            <w:r w:rsidR="007F3431" w:rsidRPr="00CA7ECF">
              <w:rPr>
                <w:lang w:val="ro-RO"/>
              </w:rPr>
              <w:t>, alin.(1) al Legii nr.</w:t>
            </w:r>
            <w:r w:rsidRPr="00CA7ECF">
              <w:rPr>
                <w:lang w:val="ro-RO"/>
              </w:rPr>
              <w:t>235 din 01.12.2011</w:t>
            </w:r>
            <w:r w:rsidR="004509BC" w:rsidRPr="00CA7ECF">
              <w:rPr>
                <w:lang w:val="ro-RO"/>
              </w:rPr>
              <w:t xml:space="preserve"> </w:t>
            </w:r>
            <w:r w:rsidRPr="00CA7ECF">
              <w:rPr>
                <w:lang w:val="ro-RO"/>
              </w:rPr>
              <w:t xml:space="preserve">este stipulat: „(1) Organismele de evaluare a conformităţii acreditate au următoarele obligaţii: </w:t>
            </w:r>
          </w:p>
          <w:p w:rsidR="00882D6D" w:rsidRPr="00CA7ECF" w:rsidRDefault="00882D6D" w:rsidP="007F3431">
            <w:pPr>
              <w:pStyle w:val="NormalWeb"/>
              <w:ind w:firstLine="0"/>
              <w:rPr>
                <w:lang w:val="ro-RO"/>
              </w:rPr>
            </w:pPr>
            <w:r w:rsidRPr="00CA7ECF">
              <w:rPr>
                <w:lang w:val="ro-RO"/>
              </w:rPr>
              <w:t>i) să încheie contracte de asigurare cu companiile de asigurare recunoscute legal pe teritoriul Republicii Moldova şi să deţină poliţe de asigurare pentru a repara prejudiciul care poate fi cauzat terţelor părţi prin activitatea lor şi faţă de care poartă răspundere în conformitate cu legislaţia în vigoare cu privire la asigurări. ”</w:t>
            </w:r>
          </w:p>
          <w:p w:rsidR="00882D6D" w:rsidRPr="00CA7ECF" w:rsidRDefault="00882D6D" w:rsidP="002E4310">
            <w:pPr>
              <w:pStyle w:val="NormalWeb"/>
              <w:ind w:firstLine="565"/>
              <w:rPr>
                <w:lang w:val="ro-RO"/>
              </w:rPr>
            </w:pPr>
            <w:r w:rsidRPr="00CA7ECF">
              <w:rPr>
                <w:lang w:val="ro-RO"/>
              </w:rPr>
              <w:lastRenderedPageBreak/>
              <w:t>Iar art</w:t>
            </w:r>
            <w:r w:rsidR="007F3431" w:rsidRPr="00CA7ECF">
              <w:rPr>
                <w:lang w:val="ro-RO"/>
              </w:rPr>
              <w:t>.</w:t>
            </w:r>
            <w:r w:rsidRPr="00CA7ECF">
              <w:rPr>
                <w:lang w:val="ro-RO"/>
              </w:rPr>
              <w:t>12 alin.(12) ale aceleiaşi legi prevede că: „(12) În cazul în care se constată că un organism de evaluare a conformităţii care a primit certificat de acreditare nu mai este competent să realizeze o activitate specifică de evaluare a conformităţii şi nu se conformează criteriilor de acreditare stabilite în standardul de referinţă aplicabil, Centrul Naţional de Acreditare întreprinde toate măsurile adecvate pentru restricţionarea, suspendarea sau retragerea certificatului de acreditare al acestuia. ”.</w:t>
            </w:r>
          </w:p>
        </w:tc>
      </w:tr>
      <w:tr w:rsidR="00882D6D" w:rsidRPr="00CA7ECF" w:rsidTr="007D0FE7">
        <w:tc>
          <w:tcPr>
            <w:tcW w:w="865"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lastRenderedPageBreak/>
              <w:t>2.</w:t>
            </w:r>
          </w:p>
        </w:tc>
        <w:tc>
          <w:tcPr>
            <w:tcW w:w="3573" w:type="dxa"/>
          </w:tcPr>
          <w:p w:rsidR="00882D6D" w:rsidRPr="00CA7ECF" w:rsidRDefault="00882D6D" w:rsidP="008033CD">
            <w:pPr>
              <w:pStyle w:val="NoSpacing"/>
              <w:rPr>
                <w:rFonts w:ascii="Times New Roman" w:hAnsi="Times New Roman"/>
                <w:sz w:val="24"/>
                <w:szCs w:val="24"/>
                <w:lang w:val="ro-RO"/>
              </w:rPr>
            </w:pPr>
            <w:r w:rsidRPr="00CA7ECF">
              <w:rPr>
                <w:rFonts w:ascii="Times New Roman" w:hAnsi="Times New Roman"/>
                <w:sz w:val="24"/>
                <w:szCs w:val="24"/>
                <w:lang w:val="ro-RO"/>
              </w:rPr>
              <w:t>La pct. 5, 6, 7. Avizul pozitiv de expertiză este un act confirmativ privind corespunderea cerinţelor de securitate industrială la momentul expertizării şi nu poate avea caracter de act permisiv</w:t>
            </w:r>
            <w:r w:rsidRPr="00CA7ECF">
              <w:rPr>
                <w:rFonts w:ascii="Times New Roman" w:hAnsi="Times New Roman"/>
                <w:b/>
                <w:sz w:val="24"/>
                <w:szCs w:val="24"/>
                <w:lang w:val="ro-RO"/>
              </w:rPr>
              <w:t xml:space="preserve">. </w:t>
            </w:r>
            <w:r w:rsidRPr="00CA7ECF">
              <w:rPr>
                <w:rFonts w:ascii="Times New Roman" w:hAnsi="Times New Roman"/>
                <w:sz w:val="24"/>
                <w:szCs w:val="24"/>
                <w:lang w:val="ro-RO"/>
              </w:rPr>
              <w:t>Excluderea eliberării demersului privind corespunderea desfăşurării activităţii în domeniul securităţii industriale şi eliberarea doar a avizului de expertiză la iniţierea lucrărilor în domeniul securităţii industriale va conduce la dezechilibrarea situaţiei existente, precum şi la urmărirea intereselor secundare din partea organismelor de expertizare, deoarece pînă la moment demersul IPSSTOIP se eliberează gratuit în baza evaluării riscurilor şi a documentului confirmativ – „aviz de expertiză”.</w:t>
            </w:r>
          </w:p>
        </w:tc>
        <w:tc>
          <w:tcPr>
            <w:tcW w:w="1836" w:type="dxa"/>
          </w:tcPr>
          <w:p w:rsidR="00882D6D" w:rsidRPr="00CA7ECF" w:rsidRDefault="00267C96"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t>Constatare</w:t>
            </w:r>
          </w:p>
        </w:tc>
        <w:tc>
          <w:tcPr>
            <w:tcW w:w="7902" w:type="dxa"/>
          </w:tcPr>
          <w:p w:rsidR="00882D6D" w:rsidRPr="00CA7ECF" w:rsidRDefault="00882D6D" w:rsidP="00DD59EF">
            <w:pPr>
              <w:pStyle w:val="tt"/>
              <w:ind w:firstLine="423"/>
              <w:jc w:val="both"/>
              <w:rPr>
                <w:b w:val="0"/>
                <w:lang w:val="ro-RO"/>
              </w:rPr>
            </w:pPr>
            <w:r w:rsidRPr="00CA7ECF">
              <w:rPr>
                <w:b w:val="0"/>
                <w:lang w:val="ro-RO"/>
              </w:rPr>
              <w:t>Legea privind reglementarea prin autorizare a act</w:t>
            </w:r>
            <w:r w:rsidR="007D0FE7" w:rsidRPr="00CA7ECF">
              <w:rPr>
                <w:b w:val="0"/>
                <w:lang w:val="ro-RO"/>
              </w:rPr>
              <w:t>ivităţii de întreprinzător  nr.</w:t>
            </w:r>
            <w:r w:rsidRPr="00CA7ECF">
              <w:rPr>
                <w:b w:val="0"/>
                <w:lang w:val="ro-RO"/>
              </w:rPr>
              <w:t>160  din  22.07.2011 specifică termenul: „</w:t>
            </w:r>
            <w:r w:rsidRPr="00CA7ECF">
              <w:rPr>
                <w:b w:val="0"/>
                <w:i/>
                <w:iCs/>
                <w:lang w:val="ro-RO"/>
              </w:rPr>
              <w:t>act permisiv</w:t>
            </w:r>
            <w:r w:rsidRPr="00CA7ECF">
              <w:rPr>
                <w:b w:val="0"/>
                <w:lang w:val="ro-RO"/>
              </w:rPr>
              <w:t xml:space="preserve"> – document sau înscris constatator prin care autoritatea emitentă constată unele fapte juridice şi/sau învesteşte solicitantul cu o serie de drepturi şi de obligaţii pentru iniţierea, desfăşurarea şi/sau încetarea activităţii de întreprinzător sau a unor acţiuni aferente acestei activităţi. Actul permisiv poate avea formă de autorizaţie, permis, certificat, aviz, aprobare, coordonare, brevet, de atestat de calificare”</w:t>
            </w:r>
          </w:p>
          <w:p w:rsidR="00E61A75" w:rsidRPr="00CA7ECF" w:rsidRDefault="00E02361" w:rsidP="00D5728B">
            <w:pPr>
              <w:pStyle w:val="NormalWeb"/>
              <w:ind w:firstLine="423"/>
              <w:rPr>
                <w:lang w:val="ro-RO"/>
              </w:rPr>
            </w:pPr>
            <w:r w:rsidRPr="00CA7ECF">
              <w:rPr>
                <w:lang w:val="ro-RO"/>
              </w:rPr>
              <w:t xml:space="preserve">Astfel avizul pozitiv de expertiză este un act permisiv, </w:t>
            </w:r>
            <w:r w:rsidR="00E1788B" w:rsidRPr="00CA7ECF">
              <w:rPr>
                <w:lang w:val="ro-RO"/>
              </w:rPr>
              <w:t>ş</w:t>
            </w:r>
            <w:r w:rsidRPr="00CA7ECF">
              <w:rPr>
                <w:lang w:val="ro-RO"/>
              </w:rPr>
              <w:t>i nede</w:t>
            </w:r>
            <w:r w:rsidR="00E1788B" w:rsidRPr="00CA7ECF">
              <w:rPr>
                <w:lang w:val="ro-RO"/>
              </w:rPr>
              <w:t>ţ</w:t>
            </w:r>
            <w:r w:rsidRPr="00CA7ECF">
              <w:rPr>
                <w:lang w:val="ro-RO"/>
              </w:rPr>
              <w:t>inerea acestuia este asimilată cu neautorizare activită</w:t>
            </w:r>
            <w:r w:rsidR="00E1788B" w:rsidRPr="00CA7ECF">
              <w:rPr>
                <w:lang w:val="ro-RO"/>
              </w:rPr>
              <w:t>ţ</w:t>
            </w:r>
            <w:r w:rsidRPr="00CA7ECF">
              <w:rPr>
                <w:lang w:val="ro-RO"/>
              </w:rPr>
              <w:t>ii în domeniul securită</w:t>
            </w:r>
            <w:r w:rsidR="00E1788B" w:rsidRPr="00CA7ECF">
              <w:rPr>
                <w:lang w:val="ro-RO"/>
              </w:rPr>
              <w:t>ţ</w:t>
            </w:r>
            <w:r w:rsidRPr="00CA7ECF">
              <w:rPr>
                <w:lang w:val="ro-RO"/>
              </w:rPr>
              <w:t xml:space="preserve">ii industriale. </w:t>
            </w:r>
          </w:p>
          <w:p w:rsidR="00882D6D" w:rsidRPr="00CA7ECF" w:rsidRDefault="00882D6D" w:rsidP="00DD59EF">
            <w:pPr>
              <w:pStyle w:val="NoSpacing"/>
              <w:ind w:firstLine="423"/>
              <w:jc w:val="both"/>
              <w:rPr>
                <w:rFonts w:ascii="Times New Roman" w:hAnsi="Times New Roman"/>
                <w:sz w:val="24"/>
                <w:szCs w:val="24"/>
                <w:lang w:val="ro-RO"/>
              </w:rPr>
            </w:pPr>
            <w:r w:rsidRPr="00CA7ECF">
              <w:rPr>
                <w:rFonts w:ascii="Times New Roman" w:hAnsi="Times New Roman"/>
                <w:sz w:val="24"/>
                <w:szCs w:val="24"/>
                <w:lang w:val="ro-RO"/>
              </w:rPr>
              <w:t xml:space="preserve">La momentul iniţierii unei activităţi licenţiate în domeniul securităţii industriale  considerăm că este în de ajuns avizul pozitiv de expertiză eliberat de un organism de inspecţie, prin care acesta îşi asumă responsabilitatea pentru concluziile avizului. </w:t>
            </w:r>
          </w:p>
          <w:p w:rsidR="00882D6D" w:rsidRPr="00CA7ECF" w:rsidRDefault="00E1788B" w:rsidP="00E1788B">
            <w:pPr>
              <w:pStyle w:val="NormalWeb"/>
              <w:ind w:firstLine="0"/>
              <w:rPr>
                <w:lang w:val="ro-RO"/>
              </w:rPr>
            </w:pPr>
            <w:r w:rsidRPr="00CA7ECF">
              <w:rPr>
                <w:lang w:val="ro-RO"/>
              </w:rPr>
              <w:t xml:space="preserve">       </w:t>
            </w:r>
            <w:r w:rsidR="00882D6D" w:rsidRPr="00CA7ECF">
              <w:rPr>
                <w:lang w:val="ro-RO"/>
              </w:rPr>
              <w:t xml:space="preserve">În cazul în care organismul de inspecţie, urmare evaluărilor, obţine rezultate negative, în conformitate cu </w:t>
            </w:r>
            <w:r w:rsidR="00E61A75" w:rsidRPr="00CA7ECF">
              <w:rPr>
                <w:lang w:val="ro-RO"/>
              </w:rPr>
              <w:t>art.</w:t>
            </w:r>
            <w:r w:rsidR="00882D6D" w:rsidRPr="00CA7ECF">
              <w:rPr>
                <w:lang w:val="ro-RO"/>
              </w:rPr>
              <w:t>16</w:t>
            </w:r>
            <w:r w:rsidR="00E61A75" w:rsidRPr="00CA7ECF">
              <w:rPr>
                <w:lang w:val="ro-RO"/>
              </w:rPr>
              <w:t>, alin.(1) al Legii nr.</w:t>
            </w:r>
            <w:r w:rsidR="00882D6D" w:rsidRPr="00CA7ECF">
              <w:rPr>
                <w:lang w:val="ro-RO"/>
              </w:rPr>
              <w:t>235 din 01.12.2011 are următoarele obliga</w:t>
            </w:r>
            <w:r w:rsidR="00E61A75" w:rsidRPr="00CA7ECF">
              <w:rPr>
                <w:lang w:val="ro-RO"/>
              </w:rPr>
              <w:t>ţ</w:t>
            </w:r>
            <w:r w:rsidR="00882D6D" w:rsidRPr="00CA7ECF">
              <w:rPr>
                <w:lang w:val="ro-RO"/>
              </w:rPr>
              <w:t xml:space="preserve">iuni, </w:t>
            </w:r>
            <w:r w:rsidR="00E61A75" w:rsidRPr="00CA7ECF">
              <w:rPr>
                <w:lang w:val="ro-RO"/>
              </w:rPr>
              <w:t>ş</w:t>
            </w:r>
            <w:r w:rsidR="00882D6D" w:rsidRPr="00CA7ECF">
              <w:rPr>
                <w:lang w:val="ro-RO"/>
              </w:rPr>
              <w:t>i anume:</w:t>
            </w:r>
          </w:p>
          <w:p w:rsidR="00D62E98" w:rsidRPr="00CA7ECF" w:rsidRDefault="00E02361" w:rsidP="00AB00F9">
            <w:pPr>
              <w:pStyle w:val="NormalWeb"/>
              <w:ind w:firstLine="565"/>
              <w:rPr>
                <w:lang w:val="ro-RO"/>
              </w:rPr>
            </w:pPr>
            <w:r w:rsidRPr="00CA7ECF">
              <w:rPr>
                <w:lang w:val="ro-RO"/>
              </w:rPr>
              <w:t>„</w:t>
            </w:r>
            <w:r w:rsidR="00882D6D" w:rsidRPr="00CA7ECF">
              <w:rPr>
                <w:lang w:val="ro-RO"/>
              </w:rPr>
              <w:t>h) să informeze părţile interesate, inclusiv alte organisme de evaluare a conformităţii acreditate, despre măsurile preconizate în legătură cu produsele neconforme (depistate în procesul evaluării) care prezintă riscuri pentru sănătatea şi siguranţa persoanelor sau despre alte aspecte ale protecţiei interesului public;”</w:t>
            </w:r>
            <w:r w:rsidR="00E61A75" w:rsidRPr="00CA7ECF">
              <w:rPr>
                <w:lang w:val="ro-RO"/>
              </w:rPr>
              <w:t xml:space="preserve"> ş</w:t>
            </w:r>
            <w:r w:rsidR="00882D6D" w:rsidRPr="00CA7ECF">
              <w:rPr>
                <w:lang w:val="ro-RO"/>
              </w:rPr>
              <w:t xml:space="preserve">i la etapa acesta se implică organul de control </w:t>
            </w:r>
            <w:r w:rsidR="00AB00F9" w:rsidRPr="00CA7ECF">
              <w:rPr>
                <w:lang w:val="ro-RO"/>
              </w:rPr>
              <w:t>ş</w:t>
            </w:r>
            <w:r w:rsidR="00882D6D" w:rsidRPr="00CA7ECF">
              <w:rPr>
                <w:lang w:val="ro-RO"/>
              </w:rPr>
              <w:t>i</w:t>
            </w:r>
            <w:r w:rsidR="00AB00F9" w:rsidRPr="00CA7ECF">
              <w:rPr>
                <w:lang w:val="ro-RO"/>
              </w:rPr>
              <w:t xml:space="preserve"> </w:t>
            </w:r>
            <w:r w:rsidR="00882D6D" w:rsidRPr="00CA7ECF">
              <w:rPr>
                <w:lang w:val="ro-RO"/>
              </w:rPr>
              <w:t>supraveghere</w:t>
            </w:r>
            <w:r w:rsidR="00AB00F9" w:rsidRPr="00CA7ECF">
              <w:rPr>
                <w:lang w:val="ro-RO"/>
              </w:rPr>
              <w:t xml:space="preserve"> </w:t>
            </w:r>
            <w:r w:rsidR="00882D6D" w:rsidRPr="00CA7ECF">
              <w:rPr>
                <w:lang w:val="ro-RO"/>
              </w:rPr>
              <w:t>tehnică de stat</w:t>
            </w:r>
            <w:r w:rsidR="00AB00F9" w:rsidRPr="00CA7ECF">
              <w:rPr>
                <w:lang w:val="ro-RO"/>
              </w:rPr>
              <w:t xml:space="preserve"> </w:t>
            </w:r>
            <w:r w:rsidR="00882D6D" w:rsidRPr="00CA7ECF">
              <w:rPr>
                <w:lang w:val="ro-RO"/>
              </w:rPr>
              <w:t>fiind ter</w:t>
            </w:r>
            <w:r w:rsidR="00E61A75" w:rsidRPr="00CA7ECF">
              <w:rPr>
                <w:lang w:val="ro-RO"/>
              </w:rPr>
              <w:t>ţ</w:t>
            </w:r>
            <w:r w:rsidR="00882D6D" w:rsidRPr="00CA7ECF">
              <w:rPr>
                <w:lang w:val="ro-RO"/>
              </w:rPr>
              <w:t>a parte.</w:t>
            </w:r>
            <w:r w:rsidRPr="00CA7ECF">
              <w:rPr>
                <w:lang w:val="ro-RO"/>
              </w:rPr>
              <w:t>”</w:t>
            </w:r>
          </w:p>
        </w:tc>
      </w:tr>
      <w:tr w:rsidR="00882D6D" w:rsidRPr="00CA7ECF" w:rsidTr="007D0FE7">
        <w:tc>
          <w:tcPr>
            <w:tcW w:w="865"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t>3.</w:t>
            </w:r>
          </w:p>
        </w:tc>
        <w:tc>
          <w:tcPr>
            <w:tcW w:w="3573" w:type="dxa"/>
          </w:tcPr>
          <w:p w:rsidR="00882D6D" w:rsidRPr="00CA7ECF" w:rsidRDefault="0001764F" w:rsidP="0001764F">
            <w:pPr>
              <w:pStyle w:val="NoSpacing"/>
              <w:rPr>
                <w:rFonts w:ascii="Times New Roman" w:hAnsi="Times New Roman"/>
                <w:sz w:val="24"/>
                <w:szCs w:val="24"/>
                <w:lang w:val="ro-RO"/>
              </w:rPr>
            </w:pPr>
            <w:r w:rsidRPr="00CA7ECF">
              <w:rPr>
                <w:rFonts w:ascii="Times New Roman" w:hAnsi="Times New Roman"/>
                <w:sz w:val="24"/>
                <w:szCs w:val="24"/>
                <w:lang w:val="ro-RO"/>
              </w:rPr>
              <w:t>La pct.</w:t>
            </w:r>
            <w:r w:rsidR="00882D6D" w:rsidRPr="00CA7ECF">
              <w:rPr>
                <w:rFonts w:ascii="Times New Roman" w:hAnsi="Times New Roman"/>
                <w:sz w:val="24"/>
                <w:szCs w:val="24"/>
                <w:lang w:val="ro-RO"/>
              </w:rPr>
              <w:t xml:space="preserve">8 se prevede planificarea lucrărilor de expertizare pentru prelungirea termenului de exploatare a instalaţiilor şi sistemelor tehnologice pînă la </w:t>
            </w:r>
            <w:r w:rsidR="00882D6D" w:rsidRPr="00CA7ECF">
              <w:rPr>
                <w:rFonts w:ascii="Times New Roman" w:hAnsi="Times New Roman"/>
                <w:sz w:val="24"/>
                <w:szCs w:val="24"/>
                <w:lang w:val="ro-RO"/>
              </w:rPr>
              <w:lastRenderedPageBreak/>
              <w:t>expirarea termenului normativ de exploatare, dar nu este clar de către cine va fi efectuată planificarea - de către agentul economic sau de organismele de expertiză.</w:t>
            </w:r>
            <w:r w:rsidR="00882D6D" w:rsidRPr="00CA7ECF">
              <w:rPr>
                <w:rFonts w:ascii="Times New Roman" w:hAnsi="Times New Roman"/>
                <w:sz w:val="24"/>
                <w:szCs w:val="24"/>
                <w:lang w:val="ro-RO"/>
              </w:rPr>
              <w:tab/>
            </w:r>
          </w:p>
        </w:tc>
        <w:tc>
          <w:tcPr>
            <w:tcW w:w="1836" w:type="dxa"/>
          </w:tcPr>
          <w:p w:rsidR="00882D6D" w:rsidRPr="00CA7ECF" w:rsidRDefault="00882D6D" w:rsidP="00B733AE">
            <w:pPr>
              <w:pStyle w:val="NoSpacing"/>
              <w:jc w:val="center"/>
              <w:rPr>
                <w:rFonts w:ascii="Times New Roman" w:hAnsi="Times New Roman"/>
                <w:sz w:val="24"/>
                <w:szCs w:val="24"/>
                <w:lang w:val="ro-RO"/>
              </w:rPr>
            </w:pPr>
            <w:r w:rsidRPr="00CA7ECF">
              <w:rPr>
                <w:rFonts w:ascii="Times New Roman" w:hAnsi="Times New Roman"/>
                <w:sz w:val="24"/>
                <w:szCs w:val="24"/>
                <w:lang w:val="ro-RO"/>
              </w:rPr>
              <w:lastRenderedPageBreak/>
              <w:t xml:space="preserve">Se acceptă </w:t>
            </w:r>
          </w:p>
        </w:tc>
        <w:tc>
          <w:tcPr>
            <w:tcW w:w="7902" w:type="dxa"/>
          </w:tcPr>
          <w:p w:rsidR="00D5728B" w:rsidRPr="00CA7ECF" w:rsidRDefault="00E140D1" w:rsidP="00D5728B">
            <w:pPr>
              <w:pStyle w:val="NoSpacing"/>
              <w:jc w:val="both"/>
              <w:rPr>
                <w:rFonts w:ascii="Times New Roman" w:hAnsi="Times New Roman"/>
                <w:sz w:val="24"/>
                <w:szCs w:val="24"/>
                <w:lang w:val="ro-RO"/>
              </w:rPr>
            </w:pPr>
            <w:r w:rsidRPr="00CA7ECF">
              <w:rPr>
                <w:rFonts w:ascii="Times New Roman" w:hAnsi="Times New Roman"/>
                <w:sz w:val="24"/>
                <w:szCs w:val="24"/>
                <w:lang w:val="ro-RO"/>
              </w:rPr>
              <w:t xml:space="preserve"> Este clar că planificarea lucrărilor de expertizare pentru prelungirea termenului de exploatare a instalaţiilor şi sistemelor tehnologice este </w:t>
            </w:r>
            <w:r w:rsidR="00D5728B" w:rsidRPr="00CA7ECF">
              <w:rPr>
                <w:rFonts w:ascii="Times New Roman" w:hAnsi="Times New Roman"/>
                <w:sz w:val="24"/>
                <w:szCs w:val="24"/>
                <w:lang w:val="ro-RO"/>
              </w:rPr>
              <w:t>responsabilitatea agentului economic de</w:t>
            </w:r>
            <w:r w:rsidR="00AB00F9" w:rsidRPr="00CA7ECF">
              <w:rPr>
                <w:rFonts w:ascii="Times New Roman" w:hAnsi="Times New Roman"/>
                <w:sz w:val="24"/>
                <w:szCs w:val="24"/>
                <w:lang w:val="ro-RO"/>
              </w:rPr>
              <w:t>ţ</w:t>
            </w:r>
            <w:r w:rsidR="00D5728B" w:rsidRPr="00CA7ECF">
              <w:rPr>
                <w:rFonts w:ascii="Times New Roman" w:hAnsi="Times New Roman"/>
                <w:sz w:val="24"/>
                <w:szCs w:val="24"/>
                <w:lang w:val="ro-RO"/>
              </w:rPr>
              <w:t>inător al instala</w:t>
            </w:r>
            <w:r w:rsidR="00AB00F9" w:rsidRPr="00CA7ECF">
              <w:rPr>
                <w:rFonts w:ascii="Times New Roman" w:hAnsi="Times New Roman"/>
                <w:sz w:val="24"/>
                <w:szCs w:val="24"/>
                <w:lang w:val="ro-RO"/>
              </w:rPr>
              <w:t>ţ</w:t>
            </w:r>
            <w:r w:rsidR="00D5728B" w:rsidRPr="00CA7ECF">
              <w:rPr>
                <w:rFonts w:ascii="Times New Roman" w:hAnsi="Times New Roman"/>
                <w:sz w:val="24"/>
                <w:szCs w:val="24"/>
                <w:lang w:val="ro-RO"/>
              </w:rPr>
              <w:t>iei tehnice periculoase. Astfel a fost modificat alin. (1</w:t>
            </w:r>
            <w:r w:rsidR="00D5728B" w:rsidRPr="00CA7ECF">
              <w:rPr>
                <w:rFonts w:ascii="Times New Roman" w:hAnsi="Times New Roman"/>
                <w:sz w:val="24"/>
                <w:szCs w:val="24"/>
                <w:vertAlign w:val="superscript"/>
                <w:lang w:val="ro-RO"/>
              </w:rPr>
              <w:t>3</w:t>
            </w:r>
            <w:r w:rsidR="00D5728B" w:rsidRPr="00CA7ECF">
              <w:rPr>
                <w:rFonts w:ascii="Times New Roman" w:hAnsi="Times New Roman"/>
                <w:sz w:val="24"/>
                <w:szCs w:val="24"/>
                <w:lang w:val="ro-RO"/>
              </w:rPr>
              <w:t xml:space="preserve">) după cum urmează </w:t>
            </w:r>
          </w:p>
          <w:p w:rsidR="00882D6D" w:rsidRPr="00CA7ECF" w:rsidRDefault="00D5728B" w:rsidP="00D5728B">
            <w:pPr>
              <w:pStyle w:val="BodyText"/>
              <w:tabs>
                <w:tab w:val="clear" w:pos="3686"/>
                <w:tab w:val="left" w:pos="540"/>
                <w:tab w:val="left" w:pos="720"/>
                <w:tab w:val="left" w:pos="900"/>
                <w:tab w:val="left" w:pos="1080"/>
              </w:tabs>
              <w:ind w:firstLine="565"/>
            </w:pPr>
            <w:r w:rsidRPr="00CA7ECF">
              <w:rPr>
                <w:sz w:val="24"/>
                <w:szCs w:val="24"/>
              </w:rPr>
              <w:t>„(1</w:t>
            </w:r>
            <w:r w:rsidRPr="00CA7ECF">
              <w:rPr>
                <w:sz w:val="24"/>
                <w:szCs w:val="24"/>
                <w:vertAlign w:val="superscript"/>
              </w:rPr>
              <w:t>3</w:t>
            </w:r>
            <w:r w:rsidRPr="00CA7ECF">
              <w:rPr>
                <w:sz w:val="24"/>
                <w:szCs w:val="24"/>
              </w:rPr>
              <w:t xml:space="preserve">) Lucrările pentru prelungirea termenului de exploatare a instalaţiilor </w:t>
            </w:r>
            <w:r w:rsidRPr="00CA7ECF">
              <w:rPr>
                <w:sz w:val="24"/>
                <w:szCs w:val="24"/>
              </w:rPr>
              <w:lastRenderedPageBreak/>
              <w:t xml:space="preserve">tehnice şi sistemelor tehnologice utilizate la obiectul industrial periculos, vor fi planificate de </w:t>
            </w:r>
            <w:r w:rsidR="00580084" w:rsidRPr="00CA7ECF">
              <w:rPr>
                <w:sz w:val="24"/>
                <w:szCs w:val="24"/>
              </w:rPr>
              <w:t>către</w:t>
            </w:r>
            <w:r w:rsidRPr="00CA7ECF">
              <w:rPr>
                <w:sz w:val="24"/>
                <w:szCs w:val="24"/>
              </w:rPr>
              <w:t xml:space="preserve"> agentul economic şi începute pînă la expirarea termenului normativ de exploatare.”</w:t>
            </w:r>
          </w:p>
        </w:tc>
      </w:tr>
      <w:tr w:rsidR="00882D6D" w:rsidRPr="00CA7ECF" w:rsidTr="007D0FE7">
        <w:tc>
          <w:tcPr>
            <w:tcW w:w="865"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lastRenderedPageBreak/>
              <w:t>4.</w:t>
            </w:r>
          </w:p>
        </w:tc>
        <w:tc>
          <w:tcPr>
            <w:tcW w:w="3573" w:type="dxa"/>
          </w:tcPr>
          <w:p w:rsidR="00882D6D" w:rsidRPr="00CA7ECF" w:rsidRDefault="00882D6D" w:rsidP="00423CB8">
            <w:pPr>
              <w:pStyle w:val="NoSpacing"/>
              <w:rPr>
                <w:rFonts w:ascii="Times New Roman" w:hAnsi="Times New Roman"/>
                <w:sz w:val="24"/>
                <w:szCs w:val="24"/>
                <w:lang w:val="ro-RO"/>
              </w:rPr>
            </w:pPr>
            <w:r w:rsidRPr="00CA7ECF">
              <w:rPr>
                <w:rFonts w:ascii="Times New Roman" w:hAnsi="Times New Roman"/>
                <w:sz w:val="24"/>
                <w:szCs w:val="24"/>
                <w:lang w:val="ro-RO"/>
              </w:rPr>
              <w:t>La pct.9.10. Ţinînd cont că activitatea în domeniul  securităţii industriale este un domeniu reglementat, excluderea autorizării activităţii organismelor de expertiză de către organul abilitat în domeniul securităţii industriale sau de organul de control şi supraveghere tehnică de stat şi doar licenţierea activităţii acesteia de către organismul de licenţiere va conduce la multiplicitatea neprofesionistă a acestora şi diminuării nivelului de executare a lucrărilor de expertizare, precum şi la scăderea nivelului de securitate a OIP.</w:t>
            </w:r>
          </w:p>
        </w:tc>
        <w:tc>
          <w:tcPr>
            <w:tcW w:w="1836"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t>Nu se acceptă</w:t>
            </w:r>
          </w:p>
        </w:tc>
        <w:tc>
          <w:tcPr>
            <w:tcW w:w="7902" w:type="dxa"/>
          </w:tcPr>
          <w:p w:rsidR="00882D6D" w:rsidRPr="00CA7ECF" w:rsidRDefault="00882D6D" w:rsidP="0090133D">
            <w:pPr>
              <w:pStyle w:val="NoSpacing"/>
              <w:jc w:val="both"/>
              <w:rPr>
                <w:rFonts w:ascii="Times New Roman" w:hAnsi="Times New Roman"/>
                <w:sz w:val="24"/>
                <w:szCs w:val="24"/>
                <w:lang w:val="ro-RO"/>
              </w:rPr>
            </w:pPr>
            <w:r w:rsidRPr="00CA7ECF">
              <w:rPr>
                <w:rFonts w:ascii="Times New Roman" w:hAnsi="Times New Roman"/>
                <w:sz w:val="24"/>
                <w:szCs w:val="24"/>
                <w:lang w:val="ro-RO"/>
              </w:rPr>
              <w:t>Activitatea organismelor de expertiză nu cade sub inciden</w:t>
            </w:r>
            <w:r w:rsidRPr="00CA7ECF">
              <w:rPr>
                <w:rFonts w:ascii="Tahoma" w:hAnsi="Tahoma" w:cs="Tahoma"/>
                <w:sz w:val="24"/>
                <w:szCs w:val="24"/>
                <w:lang w:val="ro-RO"/>
              </w:rPr>
              <w:t>ț</w:t>
            </w:r>
            <w:r w:rsidR="00CC1B10" w:rsidRPr="00CA7ECF">
              <w:rPr>
                <w:rFonts w:ascii="Times New Roman" w:hAnsi="Times New Roman"/>
                <w:sz w:val="24"/>
                <w:szCs w:val="24"/>
                <w:lang w:val="ro-RO"/>
              </w:rPr>
              <w:t>a Legii nr.</w:t>
            </w:r>
            <w:r w:rsidRPr="00CA7ECF">
              <w:rPr>
                <w:rFonts w:ascii="Times New Roman" w:hAnsi="Times New Roman"/>
                <w:sz w:val="24"/>
                <w:szCs w:val="24"/>
                <w:lang w:val="ro-RO"/>
              </w:rPr>
              <w:t>451-XV din 30.04.2001 „Privind reglementarea prin licen</w:t>
            </w:r>
            <w:r w:rsidRPr="00CA7ECF">
              <w:rPr>
                <w:rFonts w:ascii="Tahoma" w:hAnsi="Tahoma" w:cs="Tahoma"/>
                <w:sz w:val="24"/>
                <w:szCs w:val="24"/>
                <w:lang w:val="ro-RO"/>
              </w:rPr>
              <w:t>ț</w:t>
            </w:r>
            <w:r w:rsidRPr="00CA7ECF">
              <w:rPr>
                <w:rFonts w:ascii="Times New Roman" w:hAnsi="Times New Roman"/>
                <w:sz w:val="24"/>
                <w:szCs w:val="24"/>
                <w:lang w:val="ro-RO"/>
              </w:rPr>
              <w:t>iere a activită</w:t>
            </w:r>
            <w:r w:rsidRPr="00CA7ECF">
              <w:rPr>
                <w:rFonts w:ascii="Tahoma" w:hAnsi="Tahoma" w:cs="Tahoma"/>
                <w:sz w:val="24"/>
                <w:szCs w:val="24"/>
                <w:lang w:val="ro-RO"/>
              </w:rPr>
              <w:t>ț</w:t>
            </w:r>
            <w:r w:rsidRPr="00CA7ECF">
              <w:rPr>
                <w:rFonts w:ascii="Times New Roman" w:hAnsi="Times New Roman"/>
                <w:sz w:val="24"/>
                <w:szCs w:val="24"/>
                <w:lang w:val="ro-RO"/>
              </w:rPr>
              <w:t>ii de în</w:t>
            </w:r>
            <w:r w:rsidR="00CC1B10" w:rsidRPr="00CA7ECF">
              <w:rPr>
                <w:rFonts w:ascii="Times New Roman" w:hAnsi="Times New Roman"/>
                <w:sz w:val="24"/>
                <w:szCs w:val="24"/>
                <w:lang w:val="ro-RO"/>
              </w:rPr>
              <w:t>treprinzător”, dar al Legii nr.</w:t>
            </w:r>
            <w:r w:rsidRPr="00CA7ECF">
              <w:rPr>
                <w:rFonts w:ascii="Times New Roman" w:hAnsi="Times New Roman"/>
                <w:sz w:val="24"/>
                <w:szCs w:val="24"/>
                <w:lang w:val="ro-RO"/>
              </w:rPr>
              <w:t>235 din 01.12.2011 „Privind activită</w:t>
            </w:r>
            <w:r w:rsidRPr="00CA7ECF">
              <w:rPr>
                <w:rFonts w:ascii="Tahoma" w:hAnsi="Tahoma" w:cs="Tahoma"/>
                <w:sz w:val="24"/>
                <w:szCs w:val="24"/>
                <w:lang w:val="ro-RO"/>
              </w:rPr>
              <w:t>ț</w:t>
            </w:r>
            <w:r w:rsidRPr="00CA7ECF">
              <w:rPr>
                <w:rFonts w:ascii="Times New Roman" w:hAnsi="Times New Roman"/>
                <w:sz w:val="24"/>
                <w:szCs w:val="24"/>
                <w:lang w:val="ro-RO"/>
              </w:rPr>
              <w:t xml:space="preserve">ile de acreditare </w:t>
            </w:r>
            <w:r w:rsidR="00CC1B10" w:rsidRPr="00CA7ECF">
              <w:rPr>
                <w:rFonts w:ascii="Times New Roman" w:hAnsi="Times New Roman"/>
                <w:sz w:val="24"/>
                <w:szCs w:val="24"/>
                <w:lang w:val="ro-RO"/>
              </w:rPr>
              <w:t>ş</w:t>
            </w:r>
            <w:r w:rsidRPr="00CA7ECF">
              <w:rPr>
                <w:rFonts w:ascii="Times New Roman" w:hAnsi="Times New Roman"/>
                <w:sz w:val="24"/>
                <w:szCs w:val="24"/>
                <w:lang w:val="ro-RO"/>
              </w:rPr>
              <w:t>i evaluare a conformită</w:t>
            </w:r>
            <w:r w:rsidRPr="00CA7ECF">
              <w:rPr>
                <w:rFonts w:ascii="Tahoma" w:hAnsi="Tahoma" w:cs="Tahoma"/>
                <w:sz w:val="24"/>
                <w:szCs w:val="24"/>
                <w:lang w:val="ro-RO"/>
              </w:rPr>
              <w:t>ț</w:t>
            </w:r>
            <w:r w:rsidRPr="00CA7ECF">
              <w:rPr>
                <w:rFonts w:ascii="Times New Roman" w:hAnsi="Times New Roman"/>
                <w:sz w:val="24"/>
                <w:szCs w:val="24"/>
                <w:lang w:val="ro-RO"/>
              </w:rPr>
              <w:t xml:space="preserve">ii”. Astfel, acreditarea organismelor de expertiză se efectuează de </w:t>
            </w:r>
            <w:r w:rsidR="00E140D1" w:rsidRPr="00CA7ECF">
              <w:rPr>
                <w:rFonts w:ascii="Times New Roman" w:hAnsi="Times New Roman"/>
                <w:sz w:val="24"/>
                <w:szCs w:val="24"/>
                <w:lang w:val="ro-RO"/>
              </w:rPr>
              <w:t>Centrul Na</w:t>
            </w:r>
            <w:r w:rsidR="0090133D" w:rsidRPr="00CA7ECF">
              <w:rPr>
                <w:rFonts w:ascii="Times New Roman" w:hAnsi="Times New Roman"/>
                <w:sz w:val="24"/>
                <w:szCs w:val="24"/>
                <w:lang w:val="ro-RO"/>
              </w:rPr>
              <w:t>ţ</w:t>
            </w:r>
            <w:r w:rsidR="00E140D1" w:rsidRPr="00CA7ECF">
              <w:rPr>
                <w:rFonts w:ascii="Times New Roman" w:hAnsi="Times New Roman"/>
                <w:sz w:val="24"/>
                <w:szCs w:val="24"/>
                <w:lang w:val="ro-RO"/>
              </w:rPr>
              <w:t>ional de Acreditare, cu procedura ulterioară de recunoa</w:t>
            </w:r>
            <w:r w:rsidR="00E140D1" w:rsidRPr="00CA7ECF">
              <w:rPr>
                <w:rFonts w:ascii="Cambria Math" w:hAnsi="Cambria Math" w:cs="Cambria Math"/>
                <w:sz w:val="24"/>
                <w:szCs w:val="24"/>
                <w:lang w:val="ro-RO"/>
              </w:rPr>
              <w:t>ș</w:t>
            </w:r>
            <w:r w:rsidR="00E140D1" w:rsidRPr="00CA7ECF">
              <w:rPr>
                <w:rFonts w:ascii="Times New Roman" w:hAnsi="Times New Roman"/>
                <w:sz w:val="24"/>
                <w:szCs w:val="24"/>
                <w:lang w:val="ro-RO"/>
              </w:rPr>
              <w:t>tere de către autoritatea de reglementare în domeniul securită</w:t>
            </w:r>
            <w:r w:rsidR="00E140D1" w:rsidRPr="00CA7ECF">
              <w:rPr>
                <w:rFonts w:ascii="Cambria Math" w:hAnsi="Cambria Math" w:cs="Cambria Math"/>
                <w:sz w:val="24"/>
                <w:szCs w:val="24"/>
                <w:lang w:val="ro-RO"/>
              </w:rPr>
              <w:t>ț</w:t>
            </w:r>
            <w:r w:rsidR="00E140D1" w:rsidRPr="00CA7ECF">
              <w:rPr>
                <w:rFonts w:ascii="Times New Roman" w:hAnsi="Times New Roman"/>
                <w:sz w:val="24"/>
                <w:szCs w:val="24"/>
                <w:lang w:val="ro-RO"/>
              </w:rPr>
              <w:t>ii industriale care este Ministerul Economiei. Iar condi</w:t>
            </w:r>
            <w:r w:rsidR="00E140D1" w:rsidRPr="00CA7ECF">
              <w:rPr>
                <w:rFonts w:ascii="Cambria Math" w:hAnsi="Cambria Math" w:cs="Cambria Math"/>
                <w:sz w:val="24"/>
                <w:szCs w:val="24"/>
                <w:lang w:val="ro-RO"/>
              </w:rPr>
              <w:t>ț</w:t>
            </w:r>
            <w:r w:rsidR="00E140D1" w:rsidRPr="00CA7ECF">
              <w:rPr>
                <w:rFonts w:ascii="Times New Roman" w:hAnsi="Times New Roman"/>
                <w:sz w:val="24"/>
                <w:szCs w:val="24"/>
                <w:lang w:val="ro-RO"/>
              </w:rPr>
              <w:t>iile de recunoa</w:t>
            </w:r>
            <w:r w:rsidR="00E140D1" w:rsidRPr="00CA7ECF">
              <w:rPr>
                <w:rFonts w:ascii="Cambria Math" w:hAnsi="Cambria Math" w:cs="Cambria Math"/>
                <w:sz w:val="24"/>
                <w:szCs w:val="24"/>
                <w:lang w:val="ro-RO"/>
              </w:rPr>
              <w:t>ș</w:t>
            </w:r>
            <w:r w:rsidR="00E140D1" w:rsidRPr="00CA7ECF">
              <w:rPr>
                <w:rFonts w:ascii="Times New Roman" w:hAnsi="Times New Roman"/>
                <w:sz w:val="24"/>
                <w:szCs w:val="24"/>
                <w:lang w:val="ro-RO"/>
              </w:rPr>
              <w:t>tere sunt stabilite în reglementările tehnice specifice.</w:t>
            </w:r>
          </w:p>
        </w:tc>
      </w:tr>
      <w:tr w:rsidR="00882D6D" w:rsidRPr="00CA7ECF" w:rsidTr="007D0FE7">
        <w:tc>
          <w:tcPr>
            <w:tcW w:w="865"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t>5.</w:t>
            </w:r>
          </w:p>
        </w:tc>
        <w:tc>
          <w:tcPr>
            <w:tcW w:w="3573" w:type="dxa"/>
          </w:tcPr>
          <w:p w:rsidR="00882D6D" w:rsidRPr="00CA7ECF" w:rsidRDefault="00882D6D" w:rsidP="00423CB8">
            <w:pPr>
              <w:pStyle w:val="NoSpacing"/>
              <w:rPr>
                <w:rFonts w:ascii="Times New Roman" w:hAnsi="Times New Roman"/>
                <w:sz w:val="24"/>
                <w:szCs w:val="24"/>
                <w:lang w:val="ro-RO"/>
              </w:rPr>
            </w:pPr>
            <w:r w:rsidRPr="00CA7ECF">
              <w:rPr>
                <w:rFonts w:ascii="Times New Roman" w:hAnsi="Times New Roman"/>
                <w:sz w:val="24"/>
                <w:szCs w:val="24"/>
                <w:lang w:val="ro-RO"/>
              </w:rPr>
              <w:t xml:space="preserve">La pct. 12. Ţinînd cont că lucrările de dinamitare se atribuie la categoria lucrărilor extrem de periculoase, demersul cu privire la lucrările de dinamitare nu poate fi exclus din funcţiile organului de control şi supraveghere tehnică de stat, deoarece avizul de expertiză considerat ca înlocuitor al demersului pentru lucrări de dinamitare, nu prevede supravegherea în continuu cu privire la efectuarea în securitate a </w:t>
            </w:r>
            <w:r w:rsidRPr="00CA7ECF">
              <w:rPr>
                <w:rFonts w:ascii="Times New Roman" w:hAnsi="Times New Roman"/>
                <w:sz w:val="24"/>
                <w:szCs w:val="24"/>
                <w:lang w:val="ro-RO"/>
              </w:rPr>
              <w:lastRenderedPageBreak/>
              <w:t>lucrărilor de dinamitare.</w:t>
            </w:r>
            <w:r w:rsidRPr="00CA7ECF">
              <w:rPr>
                <w:rFonts w:ascii="Times New Roman" w:hAnsi="Times New Roman"/>
                <w:sz w:val="24"/>
                <w:szCs w:val="24"/>
                <w:lang w:val="ro-RO"/>
              </w:rPr>
              <w:tab/>
            </w:r>
          </w:p>
        </w:tc>
        <w:tc>
          <w:tcPr>
            <w:tcW w:w="1836" w:type="dxa"/>
          </w:tcPr>
          <w:p w:rsidR="00882D6D" w:rsidRPr="00CA7ECF" w:rsidRDefault="00D228FA"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lastRenderedPageBreak/>
              <w:t xml:space="preserve">Constatare </w:t>
            </w:r>
          </w:p>
        </w:tc>
        <w:tc>
          <w:tcPr>
            <w:tcW w:w="7902" w:type="dxa"/>
          </w:tcPr>
          <w:p w:rsidR="00D228FA" w:rsidRPr="00CA7ECF" w:rsidRDefault="00882D6D" w:rsidP="000F6353">
            <w:pPr>
              <w:pStyle w:val="NoSpacing"/>
              <w:jc w:val="both"/>
              <w:rPr>
                <w:rFonts w:ascii="Times New Roman" w:hAnsi="Times New Roman"/>
                <w:sz w:val="24"/>
                <w:szCs w:val="24"/>
                <w:lang w:val="ro-RO"/>
              </w:rPr>
            </w:pPr>
            <w:r w:rsidRPr="00CA7ECF">
              <w:rPr>
                <w:rFonts w:ascii="Times New Roman" w:hAnsi="Times New Roman"/>
                <w:sz w:val="24"/>
                <w:szCs w:val="24"/>
                <w:lang w:val="ro-RO"/>
              </w:rPr>
              <w:t xml:space="preserve">Prin </w:t>
            </w:r>
            <w:r w:rsidR="000F6353" w:rsidRPr="00CA7ECF">
              <w:rPr>
                <w:rFonts w:ascii="Times New Roman" w:hAnsi="Times New Roman"/>
                <w:sz w:val="24"/>
                <w:szCs w:val="24"/>
                <w:lang w:val="ro-RO"/>
              </w:rPr>
              <w:t>propunerea de modificare a pct.</w:t>
            </w:r>
            <w:r w:rsidRPr="00CA7ECF">
              <w:rPr>
                <w:rFonts w:ascii="Times New Roman" w:hAnsi="Times New Roman"/>
                <w:sz w:val="24"/>
                <w:szCs w:val="24"/>
                <w:lang w:val="ro-RO"/>
              </w:rPr>
              <w:t xml:space="preserve">12 s-a avut în vedere excluderea demersului organului de control </w:t>
            </w:r>
            <w:r w:rsidRPr="00CA7ECF">
              <w:rPr>
                <w:rFonts w:ascii="Tahoma" w:hAnsi="Tahoma" w:cs="Tahoma"/>
                <w:sz w:val="24"/>
                <w:szCs w:val="24"/>
                <w:lang w:val="ro-RO"/>
              </w:rPr>
              <w:t>ș</w:t>
            </w:r>
            <w:r w:rsidRPr="00CA7ECF">
              <w:rPr>
                <w:rFonts w:ascii="Times New Roman" w:hAnsi="Times New Roman"/>
                <w:sz w:val="24"/>
                <w:szCs w:val="24"/>
                <w:lang w:val="ro-RO"/>
              </w:rPr>
              <w:t xml:space="preserve">i supraveghere tehnică de stat, pentru activităţile care se referă la „corectitudinea desfăşurării activităţii în domeniul securităţii industriale” </w:t>
            </w:r>
            <w:r w:rsidR="000F6353" w:rsidRPr="00CA7ECF">
              <w:rPr>
                <w:rFonts w:ascii="Times New Roman" w:hAnsi="Times New Roman"/>
                <w:sz w:val="24"/>
                <w:szCs w:val="24"/>
                <w:lang w:val="ro-RO"/>
              </w:rPr>
              <w:t>ş</w:t>
            </w:r>
            <w:r w:rsidRPr="00CA7ECF">
              <w:rPr>
                <w:rFonts w:ascii="Times New Roman" w:hAnsi="Times New Roman"/>
                <w:sz w:val="24"/>
                <w:szCs w:val="24"/>
                <w:lang w:val="ro-RO"/>
              </w:rPr>
              <w:t xml:space="preserve">i astfel lit.e) va </w:t>
            </w:r>
            <w:r w:rsidR="00D228FA" w:rsidRPr="00CA7ECF">
              <w:rPr>
                <w:rFonts w:ascii="Times New Roman" w:hAnsi="Times New Roman"/>
                <w:sz w:val="24"/>
                <w:szCs w:val="24"/>
                <w:lang w:val="ro-RO"/>
              </w:rPr>
              <w:t>avea</w:t>
            </w:r>
            <w:r w:rsidRPr="00CA7ECF">
              <w:rPr>
                <w:rFonts w:ascii="Times New Roman" w:hAnsi="Times New Roman"/>
                <w:sz w:val="24"/>
                <w:szCs w:val="24"/>
                <w:lang w:val="ro-RO"/>
              </w:rPr>
              <w:t xml:space="preserve"> următorul</w:t>
            </w:r>
            <w:r w:rsidR="00D228FA" w:rsidRPr="00CA7ECF">
              <w:rPr>
                <w:rFonts w:ascii="Times New Roman" w:hAnsi="Times New Roman"/>
                <w:sz w:val="24"/>
                <w:szCs w:val="24"/>
                <w:lang w:val="ro-RO"/>
              </w:rPr>
              <w:t xml:space="preserve"> cuprins </w:t>
            </w:r>
            <w:r w:rsidRPr="00CA7ECF">
              <w:rPr>
                <w:rFonts w:ascii="Times New Roman" w:hAnsi="Times New Roman"/>
                <w:sz w:val="24"/>
                <w:szCs w:val="24"/>
                <w:lang w:val="ro-RO"/>
              </w:rPr>
              <w:t xml:space="preserve">: </w:t>
            </w:r>
          </w:p>
          <w:p w:rsidR="00D228FA" w:rsidRPr="00CA7ECF" w:rsidRDefault="00882D6D" w:rsidP="000F6353">
            <w:pPr>
              <w:pStyle w:val="NoSpacing"/>
              <w:jc w:val="both"/>
              <w:rPr>
                <w:rFonts w:ascii="Times New Roman" w:hAnsi="Times New Roman"/>
                <w:sz w:val="24"/>
                <w:szCs w:val="24"/>
                <w:lang w:val="ro-RO"/>
              </w:rPr>
            </w:pPr>
            <w:r w:rsidRPr="00CA7ECF">
              <w:rPr>
                <w:rFonts w:ascii="Times New Roman" w:hAnsi="Times New Roman"/>
                <w:sz w:val="24"/>
                <w:szCs w:val="24"/>
                <w:lang w:val="ro-RO"/>
              </w:rPr>
              <w:t>„</w:t>
            </w:r>
            <w:r w:rsidR="00D228FA" w:rsidRPr="00CA7ECF">
              <w:rPr>
                <w:rFonts w:ascii="Times New Roman" w:hAnsi="Times New Roman"/>
                <w:sz w:val="24"/>
                <w:szCs w:val="24"/>
                <w:lang w:val="ro-RO"/>
              </w:rPr>
              <w:t>e)</w:t>
            </w:r>
            <w:r w:rsidR="0090133D" w:rsidRPr="00CA7ECF">
              <w:rPr>
                <w:rFonts w:ascii="Times New Roman" w:hAnsi="Times New Roman"/>
                <w:sz w:val="24"/>
                <w:szCs w:val="24"/>
                <w:lang w:val="ro-RO"/>
              </w:rPr>
              <w:t xml:space="preserve"> </w:t>
            </w:r>
            <w:r w:rsidR="005B25B6" w:rsidRPr="00CA7ECF">
              <w:rPr>
                <w:rFonts w:ascii="Times New Roman" w:hAnsi="Times New Roman"/>
                <w:sz w:val="24"/>
                <w:szCs w:val="24"/>
                <w:lang w:val="ro-RO"/>
              </w:rPr>
              <w:t>eliberarea, la solicitarea agentului economic, a permisiunii de executare a lucrărilor de dinamitare pentru obiectul concret, pentru obţinerea (procurarea) de materiale explozive, pentru exploatarea spaţiilor (depozitelor) de păstrare a materialelor explozive</w:t>
            </w:r>
            <w:r w:rsidRPr="00CA7ECF">
              <w:rPr>
                <w:rFonts w:ascii="Times New Roman" w:hAnsi="Times New Roman"/>
                <w:sz w:val="24"/>
                <w:szCs w:val="24"/>
                <w:lang w:val="ro-RO"/>
              </w:rPr>
              <w:t xml:space="preserve">”. </w:t>
            </w:r>
          </w:p>
          <w:p w:rsidR="00076EC1" w:rsidRPr="00CA7ECF" w:rsidRDefault="00882D6D" w:rsidP="000F6353">
            <w:pPr>
              <w:pStyle w:val="NoSpacing"/>
              <w:jc w:val="both"/>
              <w:rPr>
                <w:rFonts w:ascii="Times New Roman" w:hAnsi="Times New Roman"/>
                <w:sz w:val="24"/>
                <w:szCs w:val="24"/>
                <w:lang w:val="ro-RO"/>
              </w:rPr>
            </w:pPr>
            <w:r w:rsidRPr="00CA7ECF">
              <w:rPr>
                <w:rFonts w:ascii="Times New Roman" w:hAnsi="Times New Roman"/>
                <w:sz w:val="24"/>
                <w:szCs w:val="24"/>
                <w:lang w:val="ro-RO"/>
              </w:rPr>
              <w:t xml:space="preserve">Din cîte se vede nu s-a adus atingere prevederilor ce </w:t>
            </w:r>
            <w:r w:rsidR="000F6353" w:rsidRPr="00CA7ECF">
              <w:rPr>
                <w:rFonts w:ascii="Times New Roman" w:hAnsi="Times New Roman"/>
                <w:sz w:val="24"/>
                <w:szCs w:val="24"/>
                <w:lang w:val="ro-RO"/>
              </w:rPr>
              <w:t>ţ</w:t>
            </w:r>
            <w:r w:rsidRPr="00CA7ECF">
              <w:rPr>
                <w:rFonts w:ascii="Times New Roman" w:hAnsi="Times New Roman"/>
                <w:sz w:val="24"/>
                <w:szCs w:val="24"/>
                <w:lang w:val="ro-RO"/>
              </w:rPr>
              <w:t xml:space="preserve">in de </w:t>
            </w:r>
            <w:r w:rsidR="00D228FA" w:rsidRPr="00CA7ECF">
              <w:rPr>
                <w:rFonts w:ascii="Times New Roman" w:hAnsi="Times New Roman"/>
                <w:sz w:val="24"/>
                <w:szCs w:val="24"/>
                <w:lang w:val="ro-RO"/>
              </w:rPr>
              <w:t xml:space="preserve">autorizarea </w:t>
            </w:r>
            <w:r w:rsidRPr="00CA7ECF">
              <w:rPr>
                <w:rFonts w:ascii="Times New Roman" w:hAnsi="Times New Roman"/>
                <w:sz w:val="24"/>
                <w:szCs w:val="24"/>
                <w:lang w:val="ro-RO"/>
              </w:rPr>
              <w:t>efectu</w:t>
            </w:r>
            <w:r w:rsidR="00D228FA" w:rsidRPr="00CA7ECF">
              <w:rPr>
                <w:rFonts w:ascii="Times New Roman" w:hAnsi="Times New Roman"/>
                <w:sz w:val="24"/>
                <w:szCs w:val="24"/>
                <w:lang w:val="ro-RO"/>
              </w:rPr>
              <w:t>ării</w:t>
            </w:r>
            <w:r w:rsidRPr="00CA7ECF">
              <w:rPr>
                <w:rFonts w:ascii="Times New Roman" w:hAnsi="Times New Roman"/>
                <w:sz w:val="24"/>
                <w:szCs w:val="24"/>
                <w:lang w:val="ro-RO"/>
              </w:rPr>
              <w:t xml:space="preserve"> lucrărilor de dinamitare.</w:t>
            </w:r>
          </w:p>
          <w:p w:rsidR="00882D6D" w:rsidRPr="00CA7ECF" w:rsidRDefault="00882D6D" w:rsidP="00561EBF">
            <w:pPr>
              <w:tabs>
                <w:tab w:val="left" w:pos="540"/>
                <w:tab w:val="left" w:pos="720"/>
                <w:tab w:val="left" w:pos="1080"/>
              </w:tabs>
              <w:ind w:firstLine="567"/>
              <w:jc w:val="both"/>
              <w:rPr>
                <w:sz w:val="24"/>
                <w:szCs w:val="24"/>
                <w:lang w:val="ro-RO"/>
              </w:rPr>
            </w:pPr>
          </w:p>
        </w:tc>
      </w:tr>
      <w:tr w:rsidR="00882D6D" w:rsidRPr="00CA7ECF" w:rsidTr="007D0FE7">
        <w:tc>
          <w:tcPr>
            <w:tcW w:w="865"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lastRenderedPageBreak/>
              <w:t>6.</w:t>
            </w:r>
          </w:p>
        </w:tc>
        <w:tc>
          <w:tcPr>
            <w:tcW w:w="3573" w:type="dxa"/>
          </w:tcPr>
          <w:p w:rsidR="00882D6D" w:rsidRPr="00CA7ECF" w:rsidRDefault="00882D6D" w:rsidP="00423CB8">
            <w:pPr>
              <w:pStyle w:val="NoSpacing"/>
              <w:rPr>
                <w:rFonts w:ascii="Times New Roman" w:hAnsi="Times New Roman"/>
                <w:sz w:val="24"/>
                <w:szCs w:val="24"/>
                <w:lang w:val="ro-RO"/>
              </w:rPr>
            </w:pPr>
            <w:r w:rsidRPr="00CA7ECF">
              <w:rPr>
                <w:rFonts w:ascii="Times New Roman" w:hAnsi="Times New Roman"/>
                <w:sz w:val="24"/>
                <w:szCs w:val="24"/>
                <w:lang w:val="ro-RO"/>
              </w:rPr>
              <w:t>Concomitent, se va examina necesitatea revenirii la practicile  experimentale, şi anume, de a reveni la prevederile legislaţiei anterioare cu privire la securitatea industrială, care prevedea desfăşurarea activităţii Comisiei de Statde atestare a personalului responsabil, în scopul evaluării reale a cunoştinţelor şi abilităţilor în domeniul securităţii industriale, ce va exclude posibilităţile creării conflictelor de interese şi de apariţie a provocărilor în cazulcînd instruirea şi atestarea este efectuată de aceiaşi instituţie. Ca exemplu: instruirea conducătorilor auto în cadrul şcolilor private cu eliberarea permiselor de conducere de către aceiaşi şcoală sunt excluse pentru prevenirea urmărilor grave.</w:t>
            </w:r>
          </w:p>
        </w:tc>
        <w:tc>
          <w:tcPr>
            <w:tcW w:w="1836"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t>Nu se acceptă</w:t>
            </w:r>
          </w:p>
        </w:tc>
        <w:tc>
          <w:tcPr>
            <w:tcW w:w="7902" w:type="dxa"/>
          </w:tcPr>
          <w:p w:rsidR="00882D6D" w:rsidRPr="00CA7ECF" w:rsidRDefault="00882D6D" w:rsidP="0090133D">
            <w:pPr>
              <w:pStyle w:val="NoSpacing"/>
              <w:jc w:val="both"/>
              <w:rPr>
                <w:rFonts w:ascii="Times New Roman" w:hAnsi="Times New Roman"/>
                <w:sz w:val="24"/>
                <w:szCs w:val="24"/>
                <w:lang w:val="ro-RO"/>
              </w:rPr>
            </w:pPr>
            <w:r w:rsidRPr="00CA7ECF">
              <w:rPr>
                <w:rFonts w:ascii="Times New Roman" w:hAnsi="Times New Roman"/>
                <w:sz w:val="24"/>
                <w:szCs w:val="24"/>
                <w:lang w:val="ro-RO"/>
              </w:rPr>
              <w:t>În prezent, instruirea se desfă</w:t>
            </w:r>
            <w:r w:rsidR="00544FF4" w:rsidRPr="00CA7ECF">
              <w:rPr>
                <w:rFonts w:ascii="Times New Roman" w:hAnsi="Times New Roman"/>
                <w:sz w:val="24"/>
                <w:szCs w:val="24"/>
                <w:lang w:val="ro-RO"/>
              </w:rPr>
              <w:t>ş</w:t>
            </w:r>
            <w:r w:rsidRPr="00CA7ECF">
              <w:rPr>
                <w:rFonts w:ascii="Times New Roman" w:hAnsi="Times New Roman"/>
                <w:sz w:val="24"/>
                <w:szCs w:val="24"/>
                <w:lang w:val="ro-RO"/>
              </w:rPr>
              <w:t xml:space="preserve">oară în cadrul Centrelor de instruire specializate, pe cînd la procedura de atestare, în Comisia de atestare, în mod obligatoriu participă reprezentantul </w:t>
            </w:r>
            <w:r w:rsidR="00D228FA" w:rsidRPr="00CA7ECF">
              <w:rPr>
                <w:rFonts w:ascii="Times New Roman" w:hAnsi="Times New Roman"/>
                <w:sz w:val="24"/>
                <w:szCs w:val="24"/>
                <w:lang w:val="ro-RO"/>
              </w:rPr>
              <w:t>o</w:t>
            </w:r>
            <w:r w:rsidRPr="00CA7ECF">
              <w:rPr>
                <w:rFonts w:ascii="Times New Roman" w:hAnsi="Times New Roman"/>
                <w:sz w:val="24"/>
                <w:szCs w:val="24"/>
                <w:lang w:val="ro-RO"/>
              </w:rPr>
              <w:t xml:space="preserve">rganului de control </w:t>
            </w:r>
            <w:r w:rsidR="00544FF4" w:rsidRPr="00CA7ECF">
              <w:rPr>
                <w:rFonts w:ascii="Times New Roman" w:hAnsi="Times New Roman"/>
                <w:sz w:val="24"/>
                <w:szCs w:val="24"/>
                <w:lang w:val="ro-RO"/>
              </w:rPr>
              <w:t>ş</w:t>
            </w:r>
            <w:r w:rsidRPr="00CA7ECF">
              <w:rPr>
                <w:rFonts w:ascii="Times New Roman" w:hAnsi="Times New Roman"/>
                <w:sz w:val="24"/>
                <w:szCs w:val="24"/>
                <w:lang w:val="ro-RO"/>
              </w:rPr>
              <w:t>i supraveghere tehnică de stat. Este de men</w:t>
            </w:r>
            <w:r w:rsidR="00544FF4" w:rsidRPr="00CA7ECF">
              <w:rPr>
                <w:rFonts w:ascii="Times New Roman" w:hAnsi="Times New Roman"/>
                <w:sz w:val="24"/>
                <w:szCs w:val="24"/>
                <w:lang w:val="ro-RO"/>
              </w:rPr>
              <w:t>ţ</w:t>
            </w:r>
            <w:r w:rsidRPr="00CA7ECF">
              <w:rPr>
                <w:rFonts w:ascii="Times New Roman" w:hAnsi="Times New Roman"/>
                <w:sz w:val="24"/>
                <w:szCs w:val="24"/>
                <w:lang w:val="ro-RO"/>
              </w:rPr>
              <w:t>ionat faptul că</w:t>
            </w:r>
            <w:r w:rsidR="00544FF4" w:rsidRPr="00CA7ECF">
              <w:rPr>
                <w:rFonts w:ascii="Times New Roman" w:hAnsi="Times New Roman"/>
                <w:sz w:val="24"/>
                <w:szCs w:val="24"/>
                <w:lang w:val="ro-RO"/>
              </w:rPr>
              <w:t>,</w:t>
            </w:r>
            <w:r w:rsidR="0090133D" w:rsidRPr="00CA7ECF">
              <w:rPr>
                <w:rFonts w:ascii="Times New Roman" w:hAnsi="Times New Roman"/>
                <w:sz w:val="24"/>
                <w:szCs w:val="24"/>
                <w:lang w:val="ro-RO"/>
              </w:rPr>
              <w:t xml:space="preserve"> </w:t>
            </w:r>
            <w:r w:rsidRPr="00CA7ECF">
              <w:rPr>
                <w:rFonts w:ascii="Times New Roman" w:hAnsi="Times New Roman"/>
                <w:sz w:val="24"/>
                <w:szCs w:val="24"/>
                <w:lang w:val="ro-RO"/>
              </w:rPr>
              <w:t>pînă la aprobarea Legii nr.116 din 18.05.2012, activitatea Comisiei de Stat de Atestare se desfă</w:t>
            </w:r>
            <w:r w:rsidR="00544FF4" w:rsidRPr="00CA7ECF">
              <w:rPr>
                <w:rFonts w:ascii="Times New Roman" w:hAnsi="Times New Roman"/>
                <w:sz w:val="24"/>
                <w:szCs w:val="24"/>
                <w:lang w:val="ro-RO"/>
              </w:rPr>
              <w:t>ş</w:t>
            </w:r>
            <w:r w:rsidRPr="00CA7ECF">
              <w:rPr>
                <w:rFonts w:ascii="Times New Roman" w:hAnsi="Times New Roman"/>
                <w:sz w:val="24"/>
                <w:szCs w:val="24"/>
                <w:lang w:val="ro-RO"/>
              </w:rPr>
              <w:t>ura în cadrul centrului de</w:t>
            </w:r>
            <w:r w:rsidR="00544FF4" w:rsidRPr="00CA7ECF">
              <w:rPr>
                <w:rFonts w:ascii="Times New Roman" w:hAnsi="Times New Roman"/>
                <w:sz w:val="24"/>
                <w:szCs w:val="24"/>
                <w:lang w:val="ro-RO"/>
              </w:rPr>
              <w:t xml:space="preserve"> instruire, creat pe lîngă Î.S.</w:t>
            </w:r>
            <w:r w:rsidRPr="00CA7ECF">
              <w:rPr>
                <w:rFonts w:ascii="Times New Roman" w:hAnsi="Times New Roman"/>
                <w:sz w:val="24"/>
                <w:szCs w:val="24"/>
                <w:lang w:val="ro-RO"/>
              </w:rPr>
              <w:t xml:space="preserve">„Centrul Tehnic pentru Securitate Industrială </w:t>
            </w:r>
            <w:r w:rsidR="00544FF4" w:rsidRPr="00CA7ECF">
              <w:rPr>
                <w:rFonts w:ascii="Times New Roman" w:hAnsi="Times New Roman"/>
                <w:sz w:val="24"/>
                <w:szCs w:val="24"/>
                <w:lang w:val="ro-RO"/>
              </w:rPr>
              <w:t>ş</w:t>
            </w:r>
            <w:r w:rsidRPr="00CA7ECF">
              <w:rPr>
                <w:rFonts w:ascii="Times New Roman" w:hAnsi="Times New Roman"/>
                <w:sz w:val="24"/>
                <w:szCs w:val="24"/>
                <w:lang w:val="ro-RO"/>
              </w:rPr>
              <w:t xml:space="preserve">i Certificare”. Astfel, </w:t>
            </w:r>
            <w:r w:rsidR="00D711C3" w:rsidRPr="00CA7ECF">
              <w:rPr>
                <w:rFonts w:ascii="Times New Roman" w:hAnsi="Times New Roman"/>
                <w:sz w:val="24"/>
                <w:szCs w:val="24"/>
                <w:lang w:val="ro-RO"/>
              </w:rPr>
              <w:t>ţ</w:t>
            </w:r>
            <w:r w:rsidRPr="00CA7ECF">
              <w:rPr>
                <w:rFonts w:ascii="Times New Roman" w:hAnsi="Times New Roman"/>
                <w:sz w:val="24"/>
                <w:szCs w:val="24"/>
                <w:lang w:val="ro-RO"/>
              </w:rPr>
              <w:t xml:space="preserve">inîndu-se cont de liberalizarea </w:t>
            </w:r>
            <w:r w:rsidR="00D228FA" w:rsidRPr="00CA7ECF">
              <w:rPr>
                <w:rFonts w:ascii="Times New Roman" w:hAnsi="Times New Roman"/>
                <w:sz w:val="24"/>
                <w:szCs w:val="24"/>
                <w:lang w:val="ro-RO"/>
              </w:rPr>
              <w:t>activită</w:t>
            </w:r>
            <w:r w:rsidR="0090133D" w:rsidRPr="00CA7ECF">
              <w:rPr>
                <w:rFonts w:ascii="Times New Roman" w:hAnsi="Times New Roman"/>
                <w:sz w:val="24"/>
                <w:szCs w:val="24"/>
                <w:lang w:val="ro-RO"/>
              </w:rPr>
              <w:t>ţ</w:t>
            </w:r>
            <w:r w:rsidR="00D228FA" w:rsidRPr="00CA7ECF">
              <w:rPr>
                <w:rFonts w:ascii="Times New Roman" w:hAnsi="Times New Roman"/>
                <w:sz w:val="24"/>
                <w:szCs w:val="24"/>
                <w:lang w:val="ro-RO"/>
              </w:rPr>
              <w:t xml:space="preserve">ii de instruire în </w:t>
            </w:r>
            <w:r w:rsidR="0090133D" w:rsidRPr="00CA7ECF">
              <w:rPr>
                <w:rFonts w:ascii="Times New Roman" w:hAnsi="Times New Roman"/>
                <w:sz w:val="24"/>
                <w:szCs w:val="24"/>
                <w:lang w:val="ro-RO"/>
              </w:rPr>
              <w:t>domeniul</w:t>
            </w:r>
            <w:r w:rsidRPr="00CA7ECF">
              <w:rPr>
                <w:rFonts w:ascii="Times New Roman" w:hAnsi="Times New Roman"/>
                <w:sz w:val="24"/>
                <w:szCs w:val="24"/>
                <w:lang w:val="ro-RO"/>
              </w:rPr>
              <w:t xml:space="preserve"> securită</w:t>
            </w:r>
            <w:r w:rsidR="00DA6BAC" w:rsidRPr="00CA7ECF">
              <w:rPr>
                <w:rFonts w:ascii="Times New Roman" w:hAnsi="Times New Roman"/>
                <w:sz w:val="24"/>
                <w:szCs w:val="24"/>
                <w:lang w:val="ro-RO"/>
              </w:rPr>
              <w:t>ţ</w:t>
            </w:r>
            <w:r w:rsidRPr="00CA7ECF">
              <w:rPr>
                <w:rFonts w:ascii="Times New Roman" w:hAnsi="Times New Roman"/>
                <w:sz w:val="24"/>
                <w:szCs w:val="24"/>
                <w:lang w:val="ro-RO"/>
              </w:rPr>
              <w:t>ii industriale această activitate poate fi desfă</w:t>
            </w:r>
            <w:r w:rsidR="00544FF4" w:rsidRPr="00CA7ECF">
              <w:rPr>
                <w:rFonts w:ascii="Times New Roman" w:hAnsi="Times New Roman"/>
                <w:sz w:val="24"/>
                <w:szCs w:val="24"/>
                <w:lang w:val="ro-RO"/>
              </w:rPr>
              <w:t>ş</w:t>
            </w:r>
            <w:r w:rsidRPr="00CA7ECF">
              <w:rPr>
                <w:rFonts w:ascii="Times New Roman" w:hAnsi="Times New Roman"/>
                <w:sz w:val="24"/>
                <w:szCs w:val="24"/>
                <w:lang w:val="ro-RO"/>
              </w:rPr>
              <w:t>urată în orice</w:t>
            </w:r>
            <w:r w:rsidR="0090133D" w:rsidRPr="00CA7ECF">
              <w:rPr>
                <w:rFonts w:ascii="Times New Roman" w:hAnsi="Times New Roman"/>
                <w:sz w:val="24"/>
                <w:szCs w:val="24"/>
                <w:lang w:val="ro-RO"/>
              </w:rPr>
              <w:t xml:space="preserve"> </w:t>
            </w:r>
            <w:r w:rsidRPr="00CA7ECF">
              <w:rPr>
                <w:rFonts w:ascii="Times New Roman" w:hAnsi="Times New Roman"/>
                <w:sz w:val="24"/>
                <w:szCs w:val="24"/>
                <w:lang w:val="ro-RO"/>
              </w:rPr>
              <w:t>centru de instruire specializat.</w:t>
            </w:r>
          </w:p>
        </w:tc>
      </w:tr>
      <w:tr w:rsidR="00882D6D" w:rsidRPr="00CA7ECF" w:rsidTr="007D0FE7">
        <w:tc>
          <w:tcPr>
            <w:tcW w:w="865" w:type="dxa"/>
          </w:tcPr>
          <w:p w:rsidR="00882D6D" w:rsidRPr="00CA7ECF" w:rsidRDefault="00882D6D" w:rsidP="005A33C9">
            <w:pPr>
              <w:pStyle w:val="NoSpacing"/>
              <w:jc w:val="center"/>
              <w:rPr>
                <w:rFonts w:ascii="Times New Roman" w:hAnsi="Times New Roman"/>
                <w:sz w:val="24"/>
                <w:szCs w:val="24"/>
                <w:lang w:val="ro-RO"/>
              </w:rPr>
            </w:pPr>
            <w:r w:rsidRPr="00CA7ECF">
              <w:rPr>
                <w:rFonts w:ascii="Times New Roman" w:hAnsi="Times New Roman"/>
                <w:sz w:val="24"/>
                <w:szCs w:val="24"/>
                <w:lang w:val="ro-RO"/>
              </w:rPr>
              <w:t>7.</w:t>
            </w:r>
          </w:p>
        </w:tc>
        <w:tc>
          <w:tcPr>
            <w:tcW w:w="3573" w:type="dxa"/>
          </w:tcPr>
          <w:p w:rsidR="00882D6D" w:rsidRPr="00CA7ECF" w:rsidRDefault="00882D6D" w:rsidP="005A33C9">
            <w:pPr>
              <w:pStyle w:val="NoSpacing"/>
              <w:jc w:val="both"/>
              <w:rPr>
                <w:rFonts w:ascii="Times New Roman" w:hAnsi="Times New Roman"/>
                <w:sz w:val="24"/>
                <w:szCs w:val="24"/>
                <w:lang w:val="ro-RO"/>
              </w:rPr>
            </w:pPr>
            <w:r w:rsidRPr="00CA7ECF">
              <w:rPr>
                <w:rFonts w:ascii="Times New Roman" w:hAnsi="Times New Roman"/>
                <w:sz w:val="24"/>
                <w:szCs w:val="24"/>
                <w:lang w:val="ro-RO"/>
              </w:rPr>
              <w:t>Totodată, la definitivarea proiectului se va ţine cont de faptul că nu sunt de înţeles mod</w:t>
            </w:r>
            <w:r w:rsidR="00A95F6C" w:rsidRPr="00CA7ECF">
              <w:rPr>
                <w:rFonts w:ascii="Times New Roman" w:hAnsi="Times New Roman"/>
                <w:sz w:val="24"/>
                <w:szCs w:val="24"/>
                <w:lang w:val="ro-RO"/>
              </w:rPr>
              <w:t>ificările propuse în Legile nr.</w:t>
            </w:r>
            <w:r w:rsidRPr="00CA7ECF">
              <w:rPr>
                <w:rFonts w:ascii="Times New Roman" w:hAnsi="Times New Roman"/>
                <w:sz w:val="24"/>
                <w:szCs w:val="24"/>
                <w:lang w:val="ro-RO"/>
              </w:rPr>
              <w:t xml:space="preserve">461-XV din 30 iulie 2001 privind </w:t>
            </w:r>
            <w:r w:rsidR="00335FAC" w:rsidRPr="00CA7ECF">
              <w:rPr>
                <w:rFonts w:ascii="Times New Roman" w:hAnsi="Times New Roman"/>
                <w:sz w:val="24"/>
                <w:szCs w:val="24"/>
                <w:lang w:val="ro-RO"/>
              </w:rPr>
              <w:t>produsele petroliere şi nr.</w:t>
            </w:r>
            <w:r w:rsidRPr="00CA7ECF">
              <w:rPr>
                <w:rFonts w:ascii="Times New Roman" w:hAnsi="Times New Roman"/>
                <w:sz w:val="24"/>
                <w:szCs w:val="24"/>
                <w:lang w:val="ro-RO"/>
              </w:rPr>
              <w:t>123-XVIII din 23 decembrie 2009 cu privire la gazele naturale, deoarece Ministerul Economiei  deja a înaintat Guvernului un proiect de modificare a Legilor menţionate.</w:t>
            </w:r>
          </w:p>
        </w:tc>
        <w:tc>
          <w:tcPr>
            <w:tcW w:w="1836" w:type="dxa"/>
          </w:tcPr>
          <w:p w:rsidR="00882D6D" w:rsidRPr="00CA7ECF" w:rsidRDefault="00CF390C" w:rsidP="00107148">
            <w:pPr>
              <w:pStyle w:val="NoSpacing"/>
              <w:jc w:val="center"/>
              <w:rPr>
                <w:rFonts w:ascii="Times New Roman" w:hAnsi="Times New Roman"/>
                <w:sz w:val="24"/>
                <w:szCs w:val="24"/>
                <w:lang w:val="ro-RO"/>
              </w:rPr>
            </w:pPr>
            <w:r w:rsidRPr="00CA7ECF">
              <w:rPr>
                <w:rFonts w:ascii="Times New Roman" w:hAnsi="Times New Roman"/>
                <w:sz w:val="24"/>
                <w:szCs w:val="24"/>
                <w:lang w:val="ro-RO"/>
              </w:rPr>
              <w:t>Se acceptă par</w:t>
            </w:r>
            <w:r w:rsidR="00107148" w:rsidRPr="00CA7ECF">
              <w:rPr>
                <w:rFonts w:ascii="Times New Roman" w:hAnsi="Times New Roman"/>
                <w:sz w:val="24"/>
                <w:szCs w:val="24"/>
                <w:lang w:val="ro-RO"/>
              </w:rPr>
              <w:t>ţ</w:t>
            </w:r>
            <w:r w:rsidRPr="00CA7ECF">
              <w:rPr>
                <w:rFonts w:ascii="Times New Roman" w:hAnsi="Times New Roman"/>
                <w:sz w:val="24"/>
                <w:szCs w:val="24"/>
                <w:lang w:val="ro-RO"/>
              </w:rPr>
              <w:t>ial</w:t>
            </w:r>
          </w:p>
        </w:tc>
        <w:tc>
          <w:tcPr>
            <w:tcW w:w="7902" w:type="dxa"/>
          </w:tcPr>
          <w:p w:rsidR="00CF390C" w:rsidRPr="00CA7ECF" w:rsidRDefault="008576C9" w:rsidP="008576C9">
            <w:pPr>
              <w:pStyle w:val="NoSpacing"/>
              <w:jc w:val="both"/>
              <w:rPr>
                <w:rFonts w:ascii="Times New Roman" w:hAnsi="Times New Roman"/>
                <w:sz w:val="24"/>
                <w:szCs w:val="24"/>
                <w:lang w:val="ro-RO"/>
              </w:rPr>
            </w:pPr>
            <w:r w:rsidRPr="008576C9">
              <w:rPr>
                <w:rFonts w:ascii="Times New Roman" w:hAnsi="Times New Roman"/>
                <w:sz w:val="24"/>
                <w:szCs w:val="24"/>
              </w:rPr>
              <w:t xml:space="preserve">1. </w:t>
            </w:r>
            <w:r w:rsidR="00D228FA" w:rsidRPr="00CA7ECF">
              <w:rPr>
                <w:rFonts w:ascii="Times New Roman" w:hAnsi="Times New Roman"/>
                <w:sz w:val="24"/>
                <w:szCs w:val="24"/>
                <w:lang w:val="ro-RO"/>
              </w:rPr>
              <w:t xml:space="preserve">Referitor la modificările propuse la Legea nr.461-XV din 30 iulie 2001 privind produsele petroliere </w:t>
            </w:r>
            <w:r w:rsidR="00771542" w:rsidRPr="00CA7ECF">
              <w:rPr>
                <w:rFonts w:ascii="Times New Roman" w:hAnsi="Times New Roman"/>
                <w:sz w:val="24"/>
                <w:szCs w:val="24"/>
                <w:lang w:val="ro-RO"/>
              </w:rPr>
              <w:t>care rezultă</w:t>
            </w:r>
            <w:r w:rsidR="00D228FA" w:rsidRPr="00CA7ECF">
              <w:rPr>
                <w:rFonts w:ascii="Times New Roman" w:hAnsi="Times New Roman"/>
                <w:sz w:val="24"/>
                <w:szCs w:val="24"/>
                <w:lang w:val="ro-RO"/>
              </w:rPr>
              <w:t xml:space="preserve"> din obliga</w:t>
            </w:r>
            <w:r w:rsidR="0036121E" w:rsidRPr="00CA7ECF">
              <w:rPr>
                <w:rFonts w:ascii="Times New Roman" w:hAnsi="Times New Roman"/>
                <w:sz w:val="24"/>
                <w:szCs w:val="24"/>
                <w:lang w:val="ro-RO"/>
              </w:rPr>
              <w:t>ţ</w:t>
            </w:r>
            <w:r w:rsidR="00D228FA" w:rsidRPr="00CA7ECF">
              <w:rPr>
                <w:rFonts w:ascii="Times New Roman" w:hAnsi="Times New Roman"/>
                <w:sz w:val="24"/>
                <w:szCs w:val="24"/>
                <w:lang w:val="ro-RO"/>
              </w:rPr>
              <w:t>ia Guvernului de a veni cu propuneri de ajustare a cadrului legal în vigoare la prevederile</w:t>
            </w:r>
            <w:r w:rsidR="00882D6D" w:rsidRPr="00CA7ECF">
              <w:rPr>
                <w:rFonts w:ascii="Times New Roman" w:hAnsi="Times New Roman"/>
                <w:sz w:val="24"/>
                <w:szCs w:val="24"/>
                <w:lang w:val="ro-RO"/>
              </w:rPr>
              <w:t xml:space="preserve"> Leg</w:t>
            </w:r>
            <w:r w:rsidR="00D228FA" w:rsidRPr="00CA7ECF">
              <w:rPr>
                <w:rFonts w:ascii="Times New Roman" w:hAnsi="Times New Roman"/>
                <w:sz w:val="24"/>
                <w:szCs w:val="24"/>
                <w:lang w:val="ro-RO"/>
              </w:rPr>
              <w:t>ii</w:t>
            </w:r>
            <w:r w:rsidR="0036121E" w:rsidRPr="00CA7ECF">
              <w:rPr>
                <w:rFonts w:ascii="Times New Roman" w:hAnsi="Times New Roman"/>
                <w:sz w:val="24"/>
                <w:szCs w:val="24"/>
                <w:lang w:val="ro-RO"/>
              </w:rPr>
              <w:t xml:space="preserve"> nr.</w:t>
            </w:r>
            <w:r w:rsidR="00882D6D" w:rsidRPr="00CA7ECF">
              <w:rPr>
                <w:rFonts w:ascii="Times New Roman" w:hAnsi="Times New Roman"/>
                <w:sz w:val="24"/>
                <w:szCs w:val="24"/>
                <w:lang w:val="ro-RO"/>
              </w:rPr>
              <w:t xml:space="preserve">116 din 18.05.2012, </w:t>
            </w:r>
            <w:r w:rsidR="0036121E" w:rsidRPr="00CA7ECF">
              <w:rPr>
                <w:rFonts w:ascii="Times New Roman" w:hAnsi="Times New Roman"/>
                <w:sz w:val="24"/>
                <w:szCs w:val="24"/>
                <w:lang w:val="ro-RO"/>
              </w:rPr>
              <w:t>ş</w:t>
            </w:r>
            <w:r w:rsidR="00D228FA" w:rsidRPr="00CA7ECF">
              <w:rPr>
                <w:rFonts w:ascii="Times New Roman" w:hAnsi="Times New Roman"/>
                <w:sz w:val="24"/>
                <w:szCs w:val="24"/>
                <w:lang w:val="ro-RO"/>
              </w:rPr>
              <w:t>i esen</w:t>
            </w:r>
            <w:r w:rsidR="0036121E" w:rsidRPr="00CA7ECF">
              <w:rPr>
                <w:rFonts w:ascii="Times New Roman" w:hAnsi="Times New Roman"/>
                <w:sz w:val="24"/>
                <w:szCs w:val="24"/>
                <w:lang w:val="ro-RO"/>
              </w:rPr>
              <w:t>ţ</w:t>
            </w:r>
            <w:r w:rsidR="00D228FA" w:rsidRPr="00CA7ECF">
              <w:rPr>
                <w:rFonts w:ascii="Times New Roman" w:hAnsi="Times New Roman"/>
                <w:sz w:val="24"/>
                <w:szCs w:val="24"/>
                <w:lang w:val="ro-RO"/>
              </w:rPr>
              <w:t>a lor consta în excluderea autoriza</w:t>
            </w:r>
            <w:r w:rsidR="0036121E" w:rsidRPr="00CA7ECF">
              <w:rPr>
                <w:rFonts w:ascii="Times New Roman" w:hAnsi="Times New Roman"/>
                <w:sz w:val="24"/>
                <w:szCs w:val="24"/>
                <w:lang w:val="ro-RO"/>
              </w:rPr>
              <w:t>ţ</w:t>
            </w:r>
            <w:r w:rsidR="00D228FA" w:rsidRPr="00CA7ECF">
              <w:rPr>
                <w:rFonts w:ascii="Times New Roman" w:hAnsi="Times New Roman"/>
                <w:sz w:val="24"/>
                <w:szCs w:val="24"/>
                <w:lang w:val="ro-RO"/>
              </w:rPr>
              <w:t>iilor tehnice pentru activită</w:t>
            </w:r>
            <w:r w:rsidR="0036121E" w:rsidRPr="00CA7ECF">
              <w:rPr>
                <w:rFonts w:ascii="Times New Roman" w:hAnsi="Times New Roman"/>
                <w:sz w:val="24"/>
                <w:szCs w:val="24"/>
                <w:lang w:val="ro-RO"/>
              </w:rPr>
              <w:t>ţ</w:t>
            </w:r>
            <w:r w:rsidR="00D228FA" w:rsidRPr="00CA7ECF">
              <w:rPr>
                <w:rFonts w:ascii="Times New Roman" w:hAnsi="Times New Roman"/>
                <w:sz w:val="24"/>
                <w:szCs w:val="24"/>
                <w:lang w:val="ro-RO"/>
              </w:rPr>
              <w:t xml:space="preserve">ile în domeniul produselor </w:t>
            </w:r>
            <w:r w:rsidR="00882D6D" w:rsidRPr="00CA7ECF">
              <w:rPr>
                <w:rFonts w:ascii="Times New Roman" w:hAnsi="Times New Roman"/>
                <w:sz w:val="24"/>
                <w:szCs w:val="24"/>
                <w:lang w:val="ro-RO"/>
              </w:rPr>
              <w:t>pe</w:t>
            </w:r>
            <w:r w:rsidR="00D228FA" w:rsidRPr="00CA7ECF">
              <w:rPr>
                <w:rFonts w:ascii="Times New Roman" w:hAnsi="Times New Roman"/>
                <w:sz w:val="24"/>
                <w:szCs w:val="24"/>
                <w:lang w:val="ro-RO"/>
              </w:rPr>
              <w:t>troliere.</w:t>
            </w:r>
          </w:p>
          <w:p w:rsidR="00335FAC" w:rsidRPr="00CA7ECF" w:rsidRDefault="008576C9" w:rsidP="008576C9">
            <w:pPr>
              <w:pStyle w:val="NoSpacing"/>
              <w:jc w:val="both"/>
              <w:rPr>
                <w:rFonts w:ascii="Times New Roman" w:hAnsi="Times New Roman"/>
                <w:sz w:val="24"/>
                <w:szCs w:val="24"/>
                <w:lang w:val="ro-RO"/>
              </w:rPr>
            </w:pPr>
            <w:r w:rsidRPr="008576C9">
              <w:rPr>
                <w:rFonts w:ascii="Times New Roman" w:hAnsi="Times New Roman"/>
                <w:sz w:val="24"/>
                <w:szCs w:val="24"/>
              </w:rPr>
              <w:t xml:space="preserve">2. </w:t>
            </w:r>
            <w:r w:rsidR="00CF390C" w:rsidRPr="00CA7ECF">
              <w:rPr>
                <w:rFonts w:ascii="Times New Roman" w:hAnsi="Times New Roman"/>
                <w:sz w:val="24"/>
                <w:szCs w:val="24"/>
                <w:lang w:val="ro-RO"/>
              </w:rPr>
              <w:t>M</w:t>
            </w:r>
            <w:r w:rsidR="00B05838" w:rsidRPr="00CA7ECF">
              <w:rPr>
                <w:rFonts w:ascii="Times New Roman" w:hAnsi="Times New Roman"/>
                <w:sz w:val="24"/>
                <w:szCs w:val="24"/>
                <w:lang w:val="ro-RO"/>
              </w:rPr>
              <w:t>odificările propuse</w:t>
            </w:r>
            <w:r w:rsidR="00970AA0">
              <w:rPr>
                <w:rFonts w:ascii="Times New Roman" w:hAnsi="Times New Roman"/>
                <w:sz w:val="24"/>
                <w:szCs w:val="24"/>
                <w:lang w:val="ro-RO"/>
              </w:rPr>
              <w:t xml:space="preserve"> </w:t>
            </w:r>
            <w:r w:rsidR="00B05838" w:rsidRPr="00CA7ECF">
              <w:rPr>
                <w:rFonts w:ascii="Times New Roman" w:hAnsi="Times New Roman"/>
                <w:sz w:val="24"/>
                <w:szCs w:val="24"/>
                <w:lang w:val="ro-RO"/>
              </w:rPr>
              <w:t>la Legea</w:t>
            </w:r>
            <w:r w:rsidR="00335FAC" w:rsidRPr="00CA7ECF">
              <w:rPr>
                <w:rFonts w:ascii="Times New Roman" w:hAnsi="Times New Roman"/>
                <w:sz w:val="24"/>
                <w:szCs w:val="24"/>
                <w:lang w:val="ro-RO"/>
              </w:rPr>
              <w:t xml:space="preserve"> nr.123-XVIII din 23 decembrie 2009 cu privire la gazele naturale</w:t>
            </w:r>
            <w:r w:rsidR="000F0A74" w:rsidRPr="00CA7ECF">
              <w:rPr>
                <w:rFonts w:ascii="Times New Roman" w:hAnsi="Times New Roman"/>
                <w:sz w:val="24"/>
                <w:szCs w:val="24"/>
                <w:lang w:val="ro-RO"/>
              </w:rPr>
              <w:t>, din proiectul</w:t>
            </w:r>
            <w:bookmarkStart w:id="0" w:name="_GoBack"/>
            <w:bookmarkEnd w:id="0"/>
            <w:r w:rsidR="009E00A8" w:rsidRPr="00CA7ECF">
              <w:rPr>
                <w:rFonts w:ascii="Times New Roman" w:hAnsi="Times New Roman"/>
                <w:sz w:val="24"/>
                <w:szCs w:val="24"/>
                <w:lang w:val="ro-RO"/>
              </w:rPr>
              <w:t xml:space="preserve"> </w:t>
            </w:r>
            <w:r w:rsidR="00F92516" w:rsidRPr="00CA7ECF">
              <w:rPr>
                <w:rFonts w:ascii="Times New Roman" w:hAnsi="Times New Roman"/>
                <w:sz w:val="24"/>
                <w:szCs w:val="24"/>
                <w:lang w:val="ro-RO"/>
              </w:rPr>
              <w:t>Hotărîrii Guvernului „Cu privire la aprobarea proiectului de lege pentru modificarea şi completarea unor acte</w:t>
            </w:r>
            <w:r w:rsidR="00CF390C" w:rsidRPr="00CA7ECF">
              <w:rPr>
                <w:rFonts w:ascii="Times New Roman" w:hAnsi="Times New Roman"/>
                <w:sz w:val="24"/>
                <w:szCs w:val="24"/>
                <w:lang w:val="ro-RO"/>
              </w:rPr>
              <w:t xml:space="preserve"> au fost </w:t>
            </w:r>
            <w:r w:rsidR="00F92516" w:rsidRPr="00CA7ECF">
              <w:rPr>
                <w:rFonts w:ascii="Times New Roman" w:hAnsi="Times New Roman"/>
                <w:sz w:val="24"/>
                <w:szCs w:val="24"/>
                <w:lang w:val="ro-RO"/>
              </w:rPr>
              <w:t>exclus</w:t>
            </w:r>
            <w:r w:rsidR="00107148" w:rsidRPr="00CA7ECF">
              <w:rPr>
                <w:rFonts w:ascii="Times New Roman" w:hAnsi="Times New Roman"/>
                <w:sz w:val="24"/>
                <w:szCs w:val="24"/>
                <w:lang w:val="ro-RO"/>
              </w:rPr>
              <w:t>e ş</w:t>
            </w:r>
            <w:r w:rsidR="00CF390C" w:rsidRPr="00CA7ECF">
              <w:rPr>
                <w:rFonts w:ascii="Times New Roman" w:hAnsi="Times New Roman"/>
                <w:sz w:val="24"/>
                <w:szCs w:val="24"/>
                <w:lang w:val="ro-RO"/>
              </w:rPr>
              <w:t xml:space="preserve">i incluse în cadrul altui proiect elaborat de către ME </w:t>
            </w:r>
            <w:r w:rsidR="00107148" w:rsidRPr="00CA7ECF">
              <w:rPr>
                <w:rFonts w:ascii="Times New Roman" w:hAnsi="Times New Roman"/>
                <w:sz w:val="24"/>
                <w:szCs w:val="24"/>
                <w:lang w:val="ro-RO"/>
              </w:rPr>
              <w:t>ş</w:t>
            </w:r>
            <w:r w:rsidR="00CF390C" w:rsidRPr="00CA7ECF">
              <w:rPr>
                <w:rFonts w:ascii="Times New Roman" w:hAnsi="Times New Roman"/>
                <w:sz w:val="24"/>
                <w:szCs w:val="24"/>
                <w:lang w:val="ro-RO"/>
              </w:rPr>
              <w:t>i în prezent se află în examinare în Parlament</w:t>
            </w:r>
            <w:r w:rsidR="00F92516" w:rsidRPr="00CA7ECF">
              <w:rPr>
                <w:rFonts w:ascii="Times New Roman" w:hAnsi="Times New Roman"/>
                <w:sz w:val="24"/>
                <w:szCs w:val="24"/>
                <w:lang w:val="ro-RO"/>
              </w:rPr>
              <w:t>.</w:t>
            </w:r>
          </w:p>
        </w:tc>
      </w:tr>
    </w:tbl>
    <w:p w:rsidR="00882D6D" w:rsidRPr="00410088" w:rsidRDefault="00A33345" w:rsidP="006D0602">
      <w:pPr>
        <w:pStyle w:val="NoSpacing"/>
        <w:jc w:val="center"/>
        <w:rPr>
          <w:lang w:val="ro-RO"/>
        </w:rPr>
      </w:pPr>
      <w:r>
        <w:rPr>
          <w:rFonts w:ascii="Times New Roman" w:hAnsi="Times New Roman"/>
          <w:sz w:val="24"/>
          <w:szCs w:val="24"/>
          <w:lang w:val="ro-RO"/>
        </w:rPr>
        <w:tab/>
      </w:r>
    </w:p>
    <w:sectPr w:rsidR="00882D6D" w:rsidRPr="00410088" w:rsidSect="008F265E">
      <w:footerReference w:type="even" r:id="rId8"/>
      <w:footerReference w:type="default" r:id="rId9"/>
      <w:pgSz w:w="15840" w:h="12240" w:orient="landscape"/>
      <w:pgMar w:top="851"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A2C" w:rsidRDefault="00080A2C">
      <w:r>
        <w:separator/>
      </w:r>
    </w:p>
  </w:endnote>
  <w:endnote w:type="continuationSeparator" w:id="1">
    <w:p w:rsidR="00080A2C" w:rsidRDefault="00080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D6D" w:rsidRDefault="00823181" w:rsidP="00DC0D36">
    <w:pPr>
      <w:pStyle w:val="Footer"/>
      <w:framePr w:wrap="around" w:vAnchor="text" w:hAnchor="margin" w:xAlign="right" w:y="1"/>
      <w:rPr>
        <w:rStyle w:val="PageNumber"/>
      </w:rPr>
    </w:pPr>
    <w:r>
      <w:rPr>
        <w:rStyle w:val="PageNumber"/>
      </w:rPr>
      <w:fldChar w:fldCharType="begin"/>
    </w:r>
    <w:r w:rsidR="00882D6D">
      <w:rPr>
        <w:rStyle w:val="PageNumber"/>
      </w:rPr>
      <w:instrText xml:space="preserve">PAGE  </w:instrText>
    </w:r>
    <w:r>
      <w:rPr>
        <w:rStyle w:val="PageNumber"/>
      </w:rPr>
      <w:fldChar w:fldCharType="end"/>
    </w:r>
  </w:p>
  <w:p w:rsidR="00882D6D" w:rsidRDefault="00882D6D" w:rsidP="003B45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D6D" w:rsidRDefault="00823181" w:rsidP="00DC0D36">
    <w:pPr>
      <w:pStyle w:val="Footer"/>
      <w:framePr w:wrap="around" w:vAnchor="text" w:hAnchor="margin" w:xAlign="right" w:y="1"/>
      <w:rPr>
        <w:rStyle w:val="PageNumber"/>
      </w:rPr>
    </w:pPr>
    <w:r>
      <w:rPr>
        <w:rStyle w:val="PageNumber"/>
      </w:rPr>
      <w:fldChar w:fldCharType="begin"/>
    </w:r>
    <w:r w:rsidR="00882D6D">
      <w:rPr>
        <w:rStyle w:val="PageNumber"/>
      </w:rPr>
      <w:instrText xml:space="preserve">PAGE  </w:instrText>
    </w:r>
    <w:r>
      <w:rPr>
        <w:rStyle w:val="PageNumber"/>
      </w:rPr>
      <w:fldChar w:fldCharType="separate"/>
    </w:r>
    <w:r w:rsidR="000E6A41">
      <w:rPr>
        <w:rStyle w:val="PageNumber"/>
        <w:noProof/>
      </w:rPr>
      <w:t>6</w:t>
    </w:r>
    <w:r>
      <w:rPr>
        <w:rStyle w:val="PageNumber"/>
      </w:rPr>
      <w:fldChar w:fldCharType="end"/>
    </w:r>
  </w:p>
  <w:p w:rsidR="00882D6D" w:rsidRDefault="00882D6D" w:rsidP="003B450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A2C" w:rsidRDefault="00080A2C">
      <w:r>
        <w:separator/>
      </w:r>
    </w:p>
  </w:footnote>
  <w:footnote w:type="continuationSeparator" w:id="1">
    <w:p w:rsidR="00080A2C" w:rsidRDefault="00080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36D0C"/>
    <w:multiLevelType w:val="hybridMultilevel"/>
    <w:tmpl w:val="3B825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9567E"/>
    <w:rsid w:val="00002EE7"/>
    <w:rsid w:val="0001764F"/>
    <w:rsid w:val="000178BD"/>
    <w:rsid w:val="0003063C"/>
    <w:rsid w:val="00031267"/>
    <w:rsid w:val="000723E0"/>
    <w:rsid w:val="00072D2F"/>
    <w:rsid w:val="00076EC1"/>
    <w:rsid w:val="00080A2C"/>
    <w:rsid w:val="00080C23"/>
    <w:rsid w:val="000846A2"/>
    <w:rsid w:val="000A167B"/>
    <w:rsid w:val="000B15B1"/>
    <w:rsid w:val="000C3D78"/>
    <w:rsid w:val="000D3C0C"/>
    <w:rsid w:val="000E6A41"/>
    <w:rsid w:val="000F0A74"/>
    <w:rsid w:val="000F1589"/>
    <w:rsid w:val="000F6353"/>
    <w:rsid w:val="000F6A47"/>
    <w:rsid w:val="00101202"/>
    <w:rsid w:val="00104F9E"/>
    <w:rsid w:val="00107148"/>
    <w:rsid w:val="001264F4"/>
    <w:rsid w:val="00137A55"/>
    <w:rsid w:val="00157F20"/>
    <w:rsid w:val="001633B6"/>
    <w:rsid w:val="00167E94"/>
    <w:rsid w:val="00173644"/>
    <w:rsid w:val="00191655"/>
    <w:rsid w:val="001978AC"/>
    <w:rsid w:val="001B614B"/>
    <w:rsid w:val="001E3673"/>
    <w:rsid w:val="001E7433"/>
    <w:rsid w:val="001F50A5"/>
    <w:rsid w:val="002067CC"/>
    <w:rsid w:val="00206F5C"/>
    <w:rsid w:val="002153C6"/>
    <w:rsid w:val="002161A6"/>
    <w:rsid w:val="00221F95"/>
    <w:rsid w:val="00227505"/>
    <w:rsid w:val="0023799E"/>
    <w:rsid w:val="00243F5E"/>
    <w:rsid w:val="00254063"/>
    <w:rsid w:val="00267C96"/>
    <w:rsid w:val="00270928"/>
    <w:rsid w:val="00271540"/>
    <w:rsid w:val="00280DF6"/>
    <w:rsid w:val="002845D6"/>
    <w:rsid w:val="00287538"/>
    <w:rsid w:val="002A3B4C"/>
    <w:rsid w:val="002A5BF3"/>
    <w:rsid w:val="002C50E8"/>
    <w:rsid w:val="002C6409"/>
    <w:rsid w:val="002D3FAB"/>
    <w:rsid w:val="002E0914"/>
    <w:rsid w:val="002E4310"/>
    <w:rsid w:val="002E5578"/>
    <w:rsid w:val="002E69FB"/>
    <w:rsid w:val="002F035C"/>
    <w:rsid w:val="002F764D"/>
    <w:rsid w:val="00310290"/>
    <w:rsid w:val="003129D8"/>
    <w:rsid w:val="00314EAE"/>
    <w:rsid w:val="00324B02"/>
    <w:rsid w:val="00335FAC"/>
    <w:rsid w:val="00336887"/>
    <w:rsid w:val="00357275"/>
    <w:rsid w:val="0036121E"/>
    <w:rsid w:val="003633D5"/>
    <w:rsid w:val="00382997"/>
    <w:rsid w:val="00385A2F"/>
    <w:rsid w:val="003B1185"/>
    <w:rsid w:val="003B4508"/>
    <w:rsid w:val="00410088"/>
    <w:rsid w:val="004175D4"/>
    <w:rsid w:val="00423CB8"/>
    <w:rsid w:val="00440ABD"/>
    <w:rsid w:val="004509BC"/>
    <w:rsid w:val="00452B48"/>
    <w:rsid w:val="004A50A6"/>
    <w:rsid w:val="004B3145"/>
    <w:rsid w:val="004B5C48"/>
    <w:rsid w:val="004D12B0"/>
    <w:rsid w:val="004D35E8"/>
    <w:rsid w:val="00503404"/>
    <w:rsid w:val="0050358D"/>
    <w:rsid w:val="00516A57"/>
    <w:rsid w:val="0052750F"/>
    <w:rsid w:val="00533C58"/>
    <w:rsid w:val="00544FF4"/>
    <w:rsid w:val="0054754D"/>
    <w:rsid w:val="00561EBF"/>
    <w:rsid w:val="00570F9C"/>
    <w:rsid w:val="00571B04"/>
    <w:rsid w:val="00577C8A"/>
    <w:rsid w:val="00580084"/>
    <w:rsid w:val="005907FC"/>
    <w:rsid w:val="00593E08"/>
    <w:rsid w:val="005A0AA4"/>
    <w:rsid w:val="005A33C9"/>
    <w:rsid w:val="005A50B7"/>
    <w:rsid w:val="005A62AF"/>
    <w:rsid w:val="005B1366"/>
    <w:rsid w:val="005B25B6"/>
    <w:rsid w:val="005B599A"/>
    <w:rsid w:val="005B6486"/>
    <w:rsid w:val="005B7B58"/>
    <w:rsid w:val="005C113E"/>
    <w:rsid w:val="005C6136"/>
    <w:rsid w:val="005D2098"/>
    <w:rsid w:val="005F3FFD"/>
    <w:rsid w:val="00623B3C"/>
    <w:rsid w:val="0063135A"/>
    <w:rsid w:val="00636819"/>
    <w:rsid w:val="00641A14"/>
    <w:rsid w:val="006506C1"/>
    <w:rsid w:val="00656016"/>
    <w:rsid w:val="00663EBC"/>
    <w:rsid w:val="006720B1"/>
    <w:rsid w:val="00676AAC"/>
    <w:rsid w:val="006877E8"/>
    <w:rsid w:val="0069567E"/>
    <w:rsid w:val="006A4A9C"/>
    <w:rsid w:val="006C2B95"/>
    <w:rsid w:val="006C50C5"/>
    <w:rsid w:val="006C6407"/>
    <w:rsid w:val="006D0602"/>
    <w:rsid w:val="006F244A"/>
    <w:rsid w:val="006F36D6"/>
    <w:rsid w:val="006F7D4C"/>
    <w:rsid w:val="00713359"/>
    <w:rsid w:val="00713B81"/>
    <w:rsid w:val="00737908"/>
    <w:rsid w:val="007538D2"/>
    <w:rsid w:val="007656C1"/>
    <w:rsid w:val="00766A12"/>
    <w:rsid w:val="00770EC6"/>
    <w:rsid w:val="0077112C"/>
    <w:rsid w:val="00771542"/>
    <w:rsid w:val="007731B1"/>
    <w:rsid w:val="00776CFF"/>
    <w:rsid w:val="007A0470"/>
    <w:rsid w:val="007A3550"/>
    <w:rsid w:val="007B4FBE"/>
    <w:rsid w:val="007D0FE7"/>
    <w:rsid w:val="007F1D6D"/>
    <w:rsid w:val="007F3431"/>
    <w:rsid w:val="007F7FEF"/>
    <w:rsid w:val="008033CD"/>
    <w:rsid w:val="008035D2"/>
    <w:rsid w:val="00823181"/>
    <w:rsid w:val="00840180"/>
    <w:rsid w:val="0084428C"/>
    <w:rsid w:val="00845DF9"/>
    <w:rsid w:val="00845E62"/>
    <w:rsid w:val="0084626B"/>
    <w:rsid w:val="008576C9"/>
    <w:rsid w:val="00863B5C"/>
    <w:rsid w:val="00867999"/>
    <w:rsid w:val="0087307A"/>
    <w:rsid w:val="00880D97"/>
    <w:rsid w:val="00882D6D"/>
    <w:rsid w:val="0088513E"/>
    <w:rsid w:val="008B0C35"/>
    <w:rsid w:val="008E0175"/>
    <w:rsid w:val="008F265E"/>
    <w:rsid w:val="0090133D"/>
    <w:rsid w:val="00937B20"/>
    <w:rsid w:val="009656AB"/>
    <w:rsid w:val="00966CEF"/>
    <w:rsid w:val="00970AA0"/>
    <w:rsid w:val="00984A38"/>
    <w:rsid w:val="009A28BE"/>
    <w:rsid w:val="009C4346"/>
    <w:rsid w:val="009C48DA"/>
    <w:rsid w:val="009D62AC"/>
    <w:rsid w:val="009E00A8"/>
    <w:rsid w:val="009E54AA"/>
    <w:rsid w:val="009F0887"/>
    <w:rsid w:val="009F197A"/>
    <w:rsid w:val="00A040AC"/>
    <w:rsid w:val="00A15E40"/>
    <w:rsid w:val="00A33345"/>
    <w:rsid w:val="00A37199"/>
    <w:rsid w:val="00A452D1"/>
    <w:rsid w:val="00A474D9"/>
    <w:rsid w:val="00A866DD"/>
    <w:rsid w:val="00A9040C"/>
    <w:rsid w:val="00A95F6C"/>
    <w:rsid w:val="00AB00F9"/>
    <w:rsid w:val="00AB4BF0"/>
    <w:rsid w:val="00AB5AAD"/>
    <w:rsid w:val="00AC3F1E"/>
    <w:rsid w:val="00B05838"/>
    <w:rsid w:val="00B05FB5"/>
    <w:rsid w:val="00B213D4"/>
    <w:rsid w:val="00B23100"/>
    <w:rsid w:val="00B27400"/>
    <w:rsid w:val="00B733AE"/>
    <w:rsid w:val="00B761AC"/>
    <w:rsid w:val="00B77662"/>
    <w:rsid w:val="00BA6D01"/>
    <w:rsid w:val="00BB32D4"/>
    <w:rsid w:val="00BB4674"/>
    <w:rsid w:val="00BB4B5C"/>
    <w:rsid w:val="00BE1C3B"/>
    <w:rsid w:val="00BE2AC6"/>
    <w:rsid w:val="00BE352C"/>
    <w:rsid w:val="00C10121"/>
    <w:rsid w:val="00C145A7"/>
    <w:rsid w:val="00C14DA2"/>
    <w:rsid w:val="00C2504A"/>
    <w:rsid w:val="00C2676F"/>
    <w:rsid w:val="00C34B41"/>
    <w:rsid w:val="00C40926"/>
    <w:rsid w:val="00C41D15"/>
    <w:rsid w:val="00C45462"/>
    <w:rsid w:val="00C54811"/>
    <w:rsid w:val="00C56188"/>
    <w:rsid w:val="00C6692A"/>
    <w:rsid w:val="00C81802"/>
    <w:rsid w:val="00C81810"/>
    <w:rsid w:val="00C82BEB"/>
    <w:rsid w:val="00CA4929"/>
    <w:rsid w:val="00CA7D52"/>
    <w:rsid w:val="00CA7DD5"/>
    <w:rsid w:val="00CA7ECF"/>
    <w:rsid w:val="00CB7799"/>
    <w:rsid w:val="00CB7850"/>
    <w:rsid w:val="00CC1B10"/>
    <w:rsid w:val="00CC401A"/>
    <w:rsid w:val="00CC7357"/>
    <w:rsid w:val="00CD418E"/>
    <w:rsid w:val="00CE7B07"/>
    <w:rsid w:val="00CF390C"/>
    <w:rsid w:val="00CF5EA0"/>
    <w:rsid w:val="00CF7FBC"/>
    <w:rsid w:val="00D206D7"/>
    <w:rsid w:val="00D21019"/>
    <w:rsid w:val="00D228FA"/>
    <w:rsid w:val="00D24875"/>
    <w:rsid w:val="00D316D3"/>
    <w:rsid w:val="00D36849"/>
    <w:rsid w:val="00D457C0"/>
    <w:rsid w:val="00D5728B"/>
    <w:rsid w:val="00D605AE"/>
    <w:rsid w:val="00D62E98"/>
    <w:rsid w:val="00D66846"/>
    <w:rsid w:val="00D711C3"/>
    <w:rsid w:val="00D7131F"/>
    <w:rsid w:val="00D8265F"/>
    <w:rsid w:val="00D9373B"/>
    <w:rsid w:val="00DA6BAC"/>
    <w:rsid w:val="00DA79D2"/>
    <w:rsid w:val="00DC0D36"/>
    <w:rsid w:val="00DC51D0"/>
    <w:rsid w:val="00DC546B"/>
    <w:rsid w:val="00DD59EF"/>
    <w:rsid w:val="00DF78F5"/>
    <w:rsid w:val="00E02361"/>
    <w:rsid w:val="00E02843"/>
    <w:rsid w:val="00E079D9"/>
    <w:rsid w:val="00E07C8B"/>
    <w:rsid w:val="00E118F7"/>
    <w:rsid w:val="00E140D1"/>
    <w:rsid w:val="00E1788B"/>
    <w:rsid w:val="00E23A78"/>
    <w:rsid w:val="00E318EA"/>
    <w:rsid w:val="00E33B8A"/>
    <w:rsid w:val="00E33CE6"/>
    <w:rsid w:val="00E43133"/>
    <w:rsid w:val="00E534C8"/>
    <w:rsid w:val="00E61A75"/>
    <w:rsid w:val="00E72388"/>
    <w:rsid w:val="00E973FC"/>
    <w:rsid w:val="00EA6EBC"/>
    <w:rsid w:val="00EB02F9"/>
    <w:rsid w:val="00EB0815"/>
    <w:rsid w:val="00EB234D"/>
    <w:rsid w:val="00EB4388"/>
    <w:rsid w:val="00EC72F1"/>
    <w:rsid w:val="00ED3970"/>
    <w:rsid w:val="00EE0C7C"/>
    <w:rsid w:val="00EF1C9C"/>
    <w:rsid w:val="00F25E94"/>
    <w:rsid w:val="00F4337D"/>
    <w:rsid w:val="00F51A02"/>
    <w:rsid w:val="00F523E2"/>
    <w:rsid w:val="00F529B8"/>
    <w:rsid w:val="00F57A3F"/>
    <w:rsid w:val="00F85116"/>
    <w:rsid w:val="00F92516"/>
    <w:rsid w:val="00F92ACF"/>
    <w:rsid w:val="00FB2204"/>
    <w:rsid w:val="00FD6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20"/>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079D9"/>
    <w:rPr>
      <w:lang w:val="en-US" w:eastAsia="en-US"/>
    </w:rPr>
  </w:style>
  <w:style w:type="table" w:styleId="TableGrid">
    <w:name w:val="Table Grid"/>
    <w:basedOn w:val="TableNormal"/>
    <w:uiPriority w:val="99"/>
    <w:rsid w:val="00E079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D3970"/>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EE0C7C"/>
    <w:pPr>
      <w:spacing w:after="0" w:line="240" w:lineRule="auto"/>
      <w:jc w:val="center"/>
    </w:pPr>
    <w:rPr>
      <w:rFonts w:ascii="Times New Roman" w:hAnsi="Times New Roman"/>
      <w:b/>
      <w:bCs/>
      <w:sz w:val="24"/>
      <w:szCs w:val="24"/>
      <w:lang w:val="ru-RU" w:eastAsia="ru-RU"/>
    </w:rPr>
  </w:style>
  <w:style w:type="paragraph" w:customStyle="1" w:styleId="cn">
    <w:name w:val="cn"/>
    <w:basedOn w:val="Normal"/>
    <w:uiPriority w:val="99"/>
    <w:rsid w:val="00EE0C7C"/>
    <w:pPr>
      <w:spacing w:after="0" w:line="240" w:lineRule="auto"/>
      <w:jc w:val="center"/>
    </w:pPr>
    <w:rPr>
      <w:rFonts w:ascii="Times New Roman" w:hAnsi="Times New Roman"/>
      <w:sz w:val="24"/>
      <w:szCs w:val="24"/>
      <w:lang w:val="ru-RU" w:eastAsia="ru-RU"/>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Normal"/>
    <w:uiPriority w:val="99"/>
    <w:rsid w:val="00676AAC"/>
    <w:pPr>
      <w:spacing w:after="160" w:line="240" w:lineRule="exact"/>
    </w:pPr>
    <w:rPr>
      <w:rFonts w:ascii="Arial" w:eastAsia="Batang" w:hAnsi="Arial" w:cs="Arial"/>
      <w:sz w:val="20"/>
      <w:szCs w:val="20"/>
    </w:rPr>
  </w:style>
  <w:style w:type="paragraph" w:styleId="Footer">
    <w:name w:val="footer"/>
    <w:basedOn w:val="Normal"/>
    <w:link w:val="FooterChar"/>
    <w:uiPriority w:val="99"/>
    <w:rsid w:val="003B4508"/>
    <w:pPr>
      <w:tabs>
        <w:tab w:val="center" w:pos="4677"/>
        <w:tab w:val="right" w:pos="9355"/>
      </w:tabs>
    </w:pPr>
  </w:style>
  <w:style w:type="character" w:customStyle="1" w:styleId="FooterChar">
    <w:name w:val="Footer Char"/>
    <w:basedOn w:val="DefaultParagraphFont"/>
    <w:link w:val="Footer"/>
    <w:uiPriority w:val="99"/>
    <w:semiHidden/>
    <w:rsid w:val="00D678C6"/>
    <w:rPr>
      <w:lang w:val="en-US" w:eastAsia="en-US"/>
    </w:rPr>
  </w:style>
  <w:style w:type="character" w:styleId="PageNumber">
    <w:name w:val="page number"/>
    <w:basedOn w:val="DefaultParagraphFont"/>
    <w:uiPriority w:val="99"/>
    <w:rsid w:val="003B4508"/>
    <w:rPr>
      <w:rFonts w:cs="Times New Roman"/>
    </w:rPr>
  </w:style>
  <w:style w:type="paragraph" w:customStyle="1" w:styleId="CharChar">
    <w:name w:val="Char Char"/>
    <w:basedOn w:val="Normal"/>
    <w:rsid w:val="00EB4388"/>
    <w:pPr>
      <w:spacing w:after="160" w:line="240" w:lineRule="exact"/>
    </w:pPr>
    <w:rPr>
      <w:rFonts w:ascii="Arial" w:eastAsia="Batang" w:hAnsi="Arial" w:cs="Arial"/>
      <w:sz w:val="20"/>
      <w:szCs w:val="20"/>
    </w:rPr>
  </w:style>
  <w:style w:type="paragraph" w:styleId="BodyText">
    <w:name w:val="Body Text"/>
    <w:basedOn w:val="Normal"/>
    <w:link w:val="BodyTextChar"/>
    <w:uiPriority w:val="99"/>
    <w:rsid w:val="00D5728B"/>
    <w:pPr>
      <w:tabs>
        <w:tab w:val="left" w:pos="3686"/>
      </w:tabs>
      <w:spacing w:after="0" w:line="240" w:lineRule="auto"/>
      <w:jc w:val="both"/>
    </w:pPr>
    <w:rPr>
      <w:rFonts w:ascii="Times New Roman" w:eastAsia="Times New Roman" w:hAnsi="Times New Roman"/>
      <w:sz w:val="28"/>
      <w:szCs w:val="20"/>
      <w:lang w:val="ro-RO" w:eastAsia="ru-RU"/>
    </w:rPr>
  </w:style>
  <w:style w:type="character" w:customStyle="1" w:styleId="BodyTextChar">
    <w:name w:val="Body Text Char"/>
    <w:basedOn w:val="DefaultParagraphFont"/>
    <w:link w:val="BodyText"/>
    <w:uiPriority w:val="99"/>
    <w:rsid w:val="00D5728B"/>
    <w:rPr>
      <w:rFonts w:ascii="Times New Roman" w:eastAsia="Times New Roman" w:hAnsi="Times New Roman"/>
      <w:sz w:val="28"/>
      <w:szCs w:val="20"/>
      <w:lang w:val="ro-RO"/>
    </w:rPr>
  </w:style>
  <w:style w:type="character" w:customStyle="1" w:styleId="a">
    <w:name w:val="Основной текст_"/>
    <w:basedOn w:val="DefaultParagraphFont"/>
    <w:link w:val="a0"/>
    <w:rsid w:val="002067CC"/>
    <w:rPr>
      <w:rFonts w:ascii="Times New Roman" w:eastAsia="Times New Roman" w:hAnsi="Times New Roman"/>
      <w:sz w:val="25"/>
      <w:szCs w:val="25"/>
      <w:shd w:val="clear" w:color="auto" w:fill="FFFFFF"/>
    </w:rPr>
  </w:style>
  <w:style w:type="paragraph" w:customStyle="1" w:styleId="a0">
    <w:name w:val="Основной текст"/>
    <w:basedOn w:val="Normal"/>
    <w:link w:val="a"/>
    <w:rsid w:val="002067CC"/>
    <w:pPr>
      <w:shd w:val="clear" w:color="auto" w:fill="FFFFFF"/>
      <w:spacing w:before="840" w:after="0" w:line="360" w:lineRule="exact"/>
      <w:ind w:firstLine="700"/>
      <w:jc w:val="both"/>
    </w:pPr>
    <w:rPr>
      <w:rFonts w:ascii="Times New Roman" w:eastAsia="Times New Roman" w:hAnsi="Times New Roman"/>
      <w:sz w:val="25"/>
      <w:szCs w:val="25"/>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20"/>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079D9"/>
    <w:rPr>
      <w:lang w:val="en-US" w:eastAsia="en-US"/>
    </w:rPr>
  </w:style>
  <w:style w:type="table" w:styleId="a4">
    <w:name w:val="Table Grid"/>
    <w:basedOn w:val="a1"/>
    <w:uiPriority w:val="99"/>
    <w:rsid w:val="00E079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ED3970"/>
    <w:pPr>
      <w:spacing w:after="0" w:line="240" w:lineRule="auto"/>
      <w:ind w:firstLine="567"/>
      <w:jc w:val="both"/>
    </w:pPr>
    <w:rPr>
      <w:rFonts w:ascii="Times New Roman" w:hAnsi="Times New Roman"/>
      <w:sz w:val="24"/>
      <w:szCs w:val="24"/>
      <w:lang w:val="ru-RU" w:eastAsia="ru-RU"/>
    </w:rPr>
  </w:style>
  <w:style w:type="paragraph" w:customStyle="1" w:styleId="tt">
    <w:name w:val="tt"/>
    <w:basedOn w:val="a"/>
    <w:uiPriority w:val="99"/>
    <w:rsid w:val="00EE0C7C"/>
    <w:pPr>
      <w:spacing w:after="0" w:line="240" w:lineRule="auto"/>
      <w:jc w:val="center"/>
    </w:pPr>
    <w:rPr>
      <w:rFonts w:ascii="Times New Roman" w:hAnsi="Times New Roman"/>
      <w:b/>
      <w:bCs/>
      <w:sz w:val="24"/>
      <w:szCs w:val="24"/>
      <w:lang w:val="ru-RU" w:eastAsia="ru-RU"/>
    </w:rPr>
  </w:style>
  <w:style w:type="paragraph" w:customStyle="1" w:styleId="cn">
    <w:name w:val="cn"/>
    <w:basedOn w:val="a"/>
    <w:uiPriority w:val="99"/>
    <w:rsid w:val="00EE0C7C"/>
    <w:pPr>
      <w:spacing w:after="0" w:line="240" w:lineRule="auto"/>
      <w:jc w:val="center"/>
    </w:pPr>
    <w:rPr>
      <w:rFonts w:ascii="Times New Roman" w:hAnsi="Times New Roman"/>
      <w:sz w:val="24"/>
      <w:szCs w:val="24"/>
      <w:lang w:val="ru-RU" w:eastAsia="ru-RU"/>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uiPriority w:val="99"/>
    <w:rsid w:val="00676AAC"/>
    <w:pPr>
      <w:spacing w:after="160" w:line="240" w:lineRule="exact"/>
    </w:pPr>
    <w:rPr>
      <w:rFonts w:ascii="Arial" w:eastAsia="Batang" w:hAnsi="Arial" w:cs="Arial"/>
      <w:sz w:val="20"/>
      <w:szCs w:val="20"/>
    </w:rPr>
  </w:style>
  <w:style w:type="paragraph" w:styleId="a6">
    <w:name w:val="footer"/>
    <w:basedOn w:val="a"/>
    <w:link w:val="a7"/>
    <w:uiPriority w:val="99"/>
    <w:rsid w:val="003B4508"/>
    <w:pPr>
      <w:tabs>
        <w:tab w:val="center" w:pos="4677"/>
        <w:tab w:val="right" w:pos="9355"/>
      </w:tabs>
    </w:pPr>
  </w:style>
  <w:style w:type="character" w:customStyle="1" w:styleId="a7">
    <w:name w:val="Нижний колонтитул Знак"/>
    <w:basedOn w:val="a0"/>
    <w:link w:val="a6"/>
    <w:uiPriority w:val="99"/>
    <w:semiHidden/>
    <w:rsid w:val="00D678C6"/>
    <w:rPr>
      <w:lang w:val="en-US" w:eastAsia="en-US"/>
    </w:rPr>
  </w:style>
  <w:style w:type="character" w:styleId="a8">
    <w:name w:val="page number"/>
    <w:basedOn w:val="a0"/>
    <w:uiPriority w:val="99"/>
    <w:rsid w:val="003B4508"/>
    <w:rPr>
      <w:rFonts w:cs="Times New Roman"/>
    </w:rPr>
  </w:style>
</w:styles>
</file>

<file path=word/webSettings.xml><?xml version="1.0" encoding="utf-8"?>
<w:webSettings xmlns:r="http://schemas.openxmlformats.org/officeDocument/2006/relationships" xmlns:w="http://schemas.openxmlformats.org/wordprocessingml/2006/main">
  <w:divs>
    <w:div w:id="1459256674">
      <w:bodyDiv w:val="1"/>
      <w:marLeft w:val="0"/>
      <w:marRight w:val="0"/>
      <w:marTop w:val="0"/>
      <w:marBottom w:val="0"/>
      <w:divBdr>
        <w:top w:val="none" w:sz="0" w:space="0" w:color="auto"/>
        <w:left w:val="none" w:sz="0" w:space="0" w:color="auto"/>
        <w:bottom w:val="none" w:sz="0" w:space="0" w:color="auto"/>
        <w:right w:val="none" w:sz="0" w:space="0" w:color="auto"/>
      </w:divBdr>
    </w:div>
    <w:div w:id="1910530346">
      <w:bodyDiv w:val="1"/>
      <w:marLeft w:val="0"/>
      <w:marRight w:val="0"/>
      <w:marTop w:val="0"/>
      <w:marBottom w:val="0"/>
      <w:divBdr>
        <w:top w:val="none" w:sz="0" w:space="0" w:color="auto"/>
        <w:left w:val="none" w:sz="0" w:space="0" w:color="auto"/>
        <w:bottom w:val="none" w:sz="0" w:space="0" w:color="auto"/>
        <w:right w:val="none" w:sz="0" w:space="0" w:color="auto"/>
      </w:divBdr>
    </w:div>
    <w:div w:id="192394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2C521-4085-4A53-A25C-EFC8FCA3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2412</Words>
  <Characters>13752</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 </cp:lastModifiedBy>
  <cp:revision>491</cp:revision>
  <cp:lastPrinted>2014-07-07T06:11:00Z</cp:lastPrinted>
  <dcterms:created xsi:type="dcterms:W3CDTF">2014-06-18T07:07:00Z</dcterms:created>
  <dcterms:modified xsi:type="dcterms:W3CDTF">2014-07-15T12:38:00Z</dcterms:modified>
</cp:coreProperties>
</file>