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3D9" w:rsidRPr="007747BD" w:rsidRDefault="009E43D9" w:rsidP="009E43D9">
      <w:pPr>
        <w:tabs>
          <w:tab w:val="left" w:pos="6213"/>
          <w:tab w:val="center" w:pos="6782"/>
        </w:tabs>
        <w:jc w:val="center"/>
        <w:rPr>
          <w:b/>
          <w:lang w:val="ro-RO"/>
        </w:rPr>
      </w:pPr>
      <w:r w:rsidRPr="007747BD">
        <w:rPr>
          <w:b/>
          <w:lang w:val="ro-RO"/>
        </w:rPr>
        <w:t>SINTEZA</w:t>
      </w:r>
    </w:p>
    <w:p w:rsidR="009E43D9" w:rsidRPr="007747BD" w:rsidRDefault="009E43D9" w:rsidP="009E43D9">
      <w:pPr>
        <w:pStyle w:val="a3"/>
        <w:jc w:val="center"/>
        <w:rPr>
          <w:b/>
          <w:lang w:val="ro-RO"/>
        </w:rPr>
      </w:pPr>
      <w:r w:rsidRPr="007747BD">
        <w:rPr>
          <w:b/>
          <w:lang w:val="ro-RO"/>
        </w:rPr>
        <w:t xml:space="preserve">propunerilor și obiecţiilor la proiectul Legii de modificare şi completarea unor acte legislative prezentate </w:t>
      </w:r>
      <w:r w:rsidR="00D224A3">
        <w:rPr>
          <w:b/>
          <w:lang w:val="ro-RO"/>
        </w:rPr>
        <w:t xml:space="preserve">prin avizul nr.03/5299 din 28.05.2014 </w:t>
      </w:r>
      <w:r w:rsidRPr="007747BD">
        <w:rPr>
          <w:b/>
          <w:lang w:val="ro-RO"/>
        </w:rPr>
        <w:t xml:space="preserve">de </w:t>
      </w:r>
      <w:r w:rsidR="00D224A3">
        <w:rPr>
          <w:b/>
          <w:lang w:val="ro-RO"/>
        </w:rPr>
        <w:t>către Ministerul Justiției</w:t>
      </w:r>
    </w:p>
    <w:p w:rsidR="009E43D9" w:rsidRPr="007747BD" w:rsidRDefault="009E43D9" w:rsidP="009E43D9">
      <w:pPr>
        <w:jc w:val="center"/>
        <w:rPr>
          <w:lang w:val="ro-RO"/>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1336"/>
        <w:gridCol w:w="1789"/>
        <w:gridCol w:w="5261"/>
        <w:gridCol w:w="1768"/>
        <w:gridCol w:w="61"/>
        <w:gridCol w:w="3661"/>
      </w:tblGrid>
      <w:tr w:rsidR="009E43D9" w:rsidRPr="009E43D9" w:rsidTr="00C85242">
        <w:tc>
          <w:tcPr>
            <w:tcW w:w="1150" w:type="dxa"/>
          </w:tcPr>
          <w:p w:rsidR="009E43D9" w:rsidRPr="009E43D9" w:rsidRDefault="009E43D9" w:rsidP="00C85242">
            <w:pPr>
              <w:pStyle w:val="a3"/>
              <w:ind w:left="-108" w:firstLine="108"/>
              <w:jc w:val="center"/>
              <w:rPr>
                <w:b/>
                <w:lang w:val="ro-RO"/>
              </w:rPr>
            </w:pPr>
            <w:r w:rsidRPr="009E43D9">
              <w:rPr>
                <w:lang w:val="ro-RO"/>
              </w:rPr>
              <w:t>Nr. d/o</w:t>
            </w:r>
          </w:p>
        </w:tc>
        <w:tc>
          <w:tcPr>
            <w:tcW w:w="1336" w:type="dxa"/>
          </w:tcPr>
          <w:p w:rsidR="009E43D9" w:rsidRPr="009E43D9" w:rsidRDefault="009E43D9" w:rsidP="00C85242">
            <w:pPr>
              <w:pStyle w:val="a3"/>
              <w:jc w:val="center"/>
              <w:rPr>
                <w:b/>
                <w:lang w:val="ro-RO"/>
              </w:rPr>
            </w:pPr>
            <w:r w:rsidRPr="009E43D9">
              <w:rPr>
                <w:lang w:val="ro-RO"/>
              </w:rPr>
              <w:t>Punctul</w:t>
            </w:r>
          </w:p>
        </w:tc>
        <w:tc>
          <w:tcPr>
            <w:tcW w:w="1789" w:type="dxa"/>
          </w:tcPr>
          <w:p w:rsidR="009E43D9" w:rsidRPr="009E43D9" w:rsidRDefault="009E43D9" w:rsidP="00C85242">
            <w:pPr>
              <w:pStyle w:val="a3"/>
              <w:jc w:val="center"/>
              <w:rPr>
                <w:b/>
                <w:lang w:val="ro-RO"/>
              </w:rPr>
            </w:pPr>
            <w:r w:rsidRPr="009E43D9">
              <w:rPr>
                <w:lang w:val="ro-RO"/>
              </w:rPr>
              <w:t>Denumirea organizaţiei</w:t>
            </w:r>
          </w:p>
        </w:tc>
        <w:tc>
          <w:tcPr>
            <w:tcW w:w="5261" w:type="dxa"/>
          </w:tcPr>
          <w:p w:rsidR="009E43D9" w:rsidRPr="009E43D9" w:rsidRDefault="009E43D9" w:rsidP="00C85242">
            <w:pPr>
              <w:pStyle w:val="a3"/>
              <w:jc w:val="center"/>
              <w:rPr>
                <w:b/>
                <w:lang w:val="ro-RO"/>
              </w:rPr>
            </w:pPr>
            <w:r w:rsidRPr="009E43D9">
              <w:rPr>
                <w:lang w:val="ro-RO"/>
              </w:rPr>
              <w:t>Obiecţii şi propuneri</w:t>
            </w:r>
          </w:p>
        </w:tc>
        <w:tc>
          <w:tcPr>
            <w:tcW w:w="1829" w:type="dxa"/>
            <w:gridSpan w:val="2"/>
          </w:tcPr>
          <w:p w:rsidR="009E43D9" w:rsidRPr="009E43D9" w:rsidRDefault="009E43D9" w:rsidP="00C85242">
            <w:pPr>
              <w:pStyle w:val="a3"/>
              <w:jc w:val="center"/>
              <w:rPr>
                <w:b/>
                <w:lang w:val="ro-RO"/>
              </w:rPr>
            </w:pPr>
            <w:r w:rsidRPr="009E43D9">
              <w:rPr>
                <w:lang w:val="ro-RO"/>
              </w:rPr>
              <w:t>Date despre acceptare</w:t>
            </w:r>
          </w:p>
        </w:tc>
        <w:tc>
          <w:tcPr>
            <w:tcW w:w="3661" w:type="dxa"/>
          </w:tcPr>
          <w:p w:rsidR="009E43D9" w:rsidRPr="009E43D9" w:rsidRDefault="009E43D9" w:rsidP="00C85242">
            <w:pPr>
              <w:pStyle w:val="a3"/>
              <w:jc w:val="center"/>
              <w:rPr>
                <w:b/>
                <w:lang w:val="ro-RO"/>
              </w:rPr>
            </w:pPr>
            <w:r w:rsidRPr="009E43D9">
              <w:rPr>
                <w:lang w:val="ro-RO"/>
              </w:rPr>
              <w:t>Argumente</w:t>
            </w:r>
          </w:p>
        </w:tc>
      </w:tr>
      <w:tr w:rsidR="009E43D9" w:rsidRPr="009E43D9" w:rsidTr="00C85242">
        <w:trPr>
          <w:trHeight w:val="440"/>
        </w:trPr>
        <w:tc>
          <w:tcPr>
            <w:tcW w:w="15026" w:type="dxa"/>
            <w:gridSpan w:val="7"/>
          </w:tcPr>
          <w:p w:rsidR="009E43D9" w:rsidRPr="009E43D9" w:rsidRDefault="009E43D9" w:rsidP="00C85242">
            <w:pPr>
              <w:pStyle w:val="a3"/>
              <w:jc w:val="center"/>
              <w:rPr>
                <w:lang w:val="ro-RO"/>
              </w:rPr>
            </w:pPr>
            <w:r w:rsidRPr="009E43D9">
              <w:rPr>
                <w:b/>
                <w:lang w:val="ro-RO"/>
              </w:rPr>
              <w:t>La proiectul Legii de modificare şi completarea unor acte legislative</w:t>
            </w:r>
          </w:p>
        </w:tc>
      </w:tr>
      <w:tr w:rsidR="009E43D9" w:rsidRPr="009E43D9" w:rsidTr="00C85242">
        <w:tc>
          <w:tcPr>
            <w:tcW w:w="1150" w:type="dxa"/>
          </w:tcPr>
          <w:p w:rsidR="009E43D9" w:rsidRPr="009E43D9" w:rsidRDefault="009E43D9" w:rsidP="00C85242">
            <w:pPr>
              <w:pStyle w:val="a3"/>
              <w:numPr>
                <w:ilvl w:val="0"/>
                <w:numId w:val="1"/>
              </w:numPr>
              <w:tabs>
                <w:tab w:val="left" w:pos="352"/>
              </w:tabs>
              <w:jc w:val="center"/>
              <w:rPr>
                <w:lang w:val="ro-RO"/>
              </w:rPr>
            </w:pPr>
          </w:p>
        </w:tc>
        <w:tc>
          <w:tcPr>
            <w:tcW w:w="1336" w:type="dxa"/>
          </w:tcPr>
          <w:p w:rsidR="009E43D9" w:rsidRPr="009E43D9" w:rsidRDefault="009E43D9" w:rsidP="00C85242">
            <w:pPr>
              <w:pStyle w:val="a6"/>
              <w:tabs>
                <w:tab w:val="center" w:pos="4844"/>
                <w:tab w:val="right" w:pos="9689"/>
              </w:tabs>
              <w:ind w:left="0"/>
              <w:jc w:val="center"/>
              <w:rPr>
                <w:szCs w:val="24"/>
                <w:lang w:val="ro-RO" w:eastAsia="en-US"/>
              </w:rPr>
            </w:pPr>
            <w:r w:rsidRPr="009E43D9">
              <w:rPr>
                <w:szCs w:val="24"/>
                <w:lang w:val="ro-RO" w:eastAsia="en-US"/>
              </w:rPr>
              <w:t>Art. I</w:t>
            </w:r>
          </w:p>
          <w:p w:rsidR="009E43D9" w:rsidRPr="009E43D9" w:rsidRDefault="009E43D9" w:rsidP="00C85242">
            <w:pPr>
              <w:pStyle w:val="a6"/>
              <w:tabs>
                <w:tab w:val="center" w:pos="4844"/>
                <w:tab w:val="right" w:pos="9689"/>
              </w:tabs>
              <w:ind w:left="0"/>
              <w:jc w:val="center"/>
              <w:rPr>
                <w:szCs w:val="24"/>
                <w:lang w:val="ro-RO" w:eastAsia="en-US"/>
              </w:rPr>
            </w:pPr>
          </w:p>
        </w:tc>
        <w:tc>
          <w:tcPr>
            <w:tcW w:w="1789" w:type="dxa"/>
          </w:tcPr>
          <w:p w:rsidR="009E43D9" w:rsidRPr="009E43D9" w:rsidRDefault="009E43D9" w:rsidP="00C85242">
            <w:pPr>
              <w:pStyle w:val="a6"/>
              <w:tabs>
                <w:tab w:val="center" w:pos="4844"/>
                <w:tab w:val="right" w:pos="9689"/>
              </w:tabs>
              <w:ind w:left="0"/>
              <w:rPr>
                <w:szCs w:val="24"/>
                <w:lang w:val="ro-RO" w:eastAsia="en-US"/>
              </w:rPr>
            </w:pPr>
            <w:r w:rsidRPr="009E43D9">
              <w:rPr>
                <w:szCs w:val="24"/>
                <w:lang w:val="ro-RO" w:eastAsia="en-US"/>
              </w:rPr>
              <w:t>Ministerul Justiției</w:t>
            </w:r>
          </w:p>
        </w:tc>
        <w:tc>
          <w:tcPr>
            <w:tcW w:w="5261" w:type="dxa"/>
          </w:tcPr>
          <w:p w:rsidR="009E43D9" w:rsidRPr="009E43D9" w:rsidRDefault="009E43D9" w:rsidP="009E43D9">
            <w:pPr>
              <w:jc w:val="both"/>
              <w:rPr>
                <w:color w:val="000000"/>
                <w:lang w:val="ro-RO" w:eastAsia="ru-RU"/>
              </w:rPr>
            </w:pPr>
            <w:r w:rsidRPr="009E43D9">
              <w:rPr>
                <w:lang w:val="ro-RO"/>
              </w:rPr>
              <w:t xml:space="preserve">1. La </w:t>
            </w:r>
            <w:r w:rsidRPr="009E43D9">
              <w:rPr>
                <w:color w:val="000000"/>
                <w:lang w:val="ro-RO"/>
              </w:rPr>
              <w:t xml:space="preserve">articolul III din </w:t>
            </w:r>
            <w:r w:rsidRPr="009E43D9">
              <w:rPr>
                <w:lang w:val="ro-RO"/>
              </w:rPr>
              <w:t>proiectul Legii, pr</w:t>
            </w:r>
            <w:r w:rsidRPr="009E43D9">
              <w:rPr>
                <w:color w:val="000000"/>
                <w:lang w:val="ro-RO" w:eastAsia="ru-RU"/>
              </w:rPr>
              <w:t>opunem reformularea art. 1 alin. (4) (sau expunerea unui nou alineat) astfel încît Legea nr. 422-XVI din 22 decembrie 2006 privind securitatea generală a produselor să se aplice subsidiar actelor legislative speciale care se referă la stupefiante, substanțe psihotrope, precursorii drogurilor, aparatura medicală, produse medicamentoase de uz uman și veterinar, autovehicule și avioane (în ipoteza în care actul legislativ special nu reglementează anumite relații sociale), în temeiul următoarelor argumente:</w:t>
            </w:r>
          </w:p>
          <w:p w:rsidR="009E43D9" w:rsidRPr="009E43D9" w:rsidRDefault="009E43D9" w:rsidP="009E43D9">
            <w:pPr>
              <w:jc w:val="both"/>
              <w:rPr>
                <w:color w:val="000000"/>
                <w:lang w:val="ro-RO" w:eastAsia="ru-RU"/>
              </w:rPr>
            </w:pPr>
            <w:r w:rsidRPr="009E43D9">
              <w:rPr>
                <w:lang w:val="ro-RO"/>
              </w:rPr>
              <w:tab/>
              <w:t xml:space="preserve">a) </w:t>
            </w:r>
            <w:r w:rsidRPr="009E43D9">
              <w:rPr>
                <w:color w:val="000000"/>
                <w:lang w:val="ro-RO" w:eastAsia="ru-RU"/>
              </w:rPr>
              <w:t>Legea nr. 422-XVI din 22 decembrie 2006 privind securitatea generală a produselor instituie reglementări cu caracter de principiu și reprezintă un act legislativ cu caracter general în raport cu actele legislative care se aplică față de fiecare din categoriile de produse enumerate supra.</w:t>
            </w:r>
          </w:p>
          <w:p w:rsidR="009E43D9" w:rsidRPr="009E43D9" w:rsidRDefault="009E43D9" w:rsidP="009E43D9">
            <w:pPr>
              <w:autoSpaceDE w:val="0"/>
              <w:autoSpaceDN w:val="0"/>
              <w:adjustRightInd w:val="0"/>
              <w:jc w:val="both"/>
              <w:rPr>
                <w:lang w:val="ro-RO"/>
              </w:rPr>
            </w:pPr>
            <w:r w:rsidRPr="009E43D9">
              <w:rPr>
                <w:lang w:val="ro-RO" w:eastAsia="ru-RU"/>
              </w:rPr>
              <w:tab/>
            </w:r>
            <w:r w:rsidRPr="009E43D9">
              <w:t xml:space="preserve">b) </w:t>
            </w:r>
            <w:proofErr w:type="spellStart"/>
            <w:r w:rsidRPr="009E43D9">
              <w:t>Regulamentul</w:t>
            </w:r>
            <w:proofErr w:type="spellEnd"/>
            <w:r w:rsidRPr="009E43D9">
              <w:t xml:space="preserve"> (CE) nr. 765 din 9 </w:t>
            </w:r>
            <w:proofErr w:type="spellStart"/>
            <w:r w:rsidRPr="009E43D9">
              <w:t>iulie</w:t>
            </w:r>
            <w:proofErr w:type="spellEnd"/>
            <w:r w:rsidRPr="009E43D9">
              <w:t xml:space="preserve"> 2008</w:t>
            </w:r>
            <w:r w:rsidRPr="009E43D9">
              <w:rPr>
                <w:lang w:val="ro-RO"/>
              </w:rPr>
              <w:t xml:space="preserve"> </w:t>
            </w:r>
            <w:r w:rsidRPr="009E43D9">
              <w:rPr>
                <w:bCs/>
                <w:lang w:eastAsia="ru-RU"/>
              </w:rPr>
              <w:t xml:space="preserve">de </w:t>
            </w:r>
            <w:proofErr w:type="spellStart"/>
            <w:r w:rsidRPr="009E43D9">
              <w:rPr>
                <w:bCs/>
                <w:lang w:eastAsia="ru-RU"/>
              </w:rPr>
              <w:t>stabilire</w:t>
            </w:r>
            <w:proofErr w:type="spellEnd"/>
            <w:r w:rsidRPr="009E43D9">
              <w:rPr>
                <w:bCs/>
                <w:lang w:eastAsia="ru-RU"/>
              </w:rPr>
              <w:t xml:space="preserve"> a </w:t>
            </w:r>
            <w:proofErr w:type="spellStart"/>
            <w:r w:rsidRPr="009E43D9">
              <w:rPr>
                <w:bCs/>
                <w:lang w:eastAsia="ru-RU"/>
              </w:rPr>
              <w:t>cerin</w:t>
            </w:r>
            <w:r w:rsidRPr="009E43D9">
              <w:rPr>
                <w:rFonts w:eastAsia="EUAlbertina_Bold+02"/>
                <w:bCs/>
                <w:lang w:eastAsia="ru-RU"/>
              </w:rPr>
              <w:t>ț</w:t>
            </w:r>
            <w:r w:rsidRPr="009E43D9">
              <w:rPr>
                <w:bCs/>
                <w:lang w:eastAsia="ru-RU"/>
              </w:rPr>
              <w:t>elor</w:t>
            </w:r>
            <w:proofErr w:type="spellEnd"/>
            <w:r w:rsidRPr="009E43D9">
              <w:rPr>
                <w:bCs/>
                <w:lang w:eastAsia="ru-RU"/>
              </w:rPr>
              <w:t xml:space="preserve"> de </w:t>
            </w:r>
            <w:proofErr w:type="spellStart"/>
            <w:r w:rsidRPr="009E43D9">
              <w:rPr>
                <w:bCs/>
                <w:lang w:eastAsia="ru-RU"/>
              </w:rPr>
              <w:t>acreditare</w:t>
            </w:r>
            <w:proofErr w:type="spellEnd"/>
            <w:r w:rsidRPr="009E43D9">
              <w:rPr>
                <w:bCs/>
                <w:lang w:eastAsia="ru-RU"/>
              </w:rPr>
              <w:t xml:space="preserve"> </w:t>
            </w:r>
            <w:proofErr w:type="spellStart"/>
            <w:r w:rsidRPr="009E43D9">
              <w:rPr>
                <w:rFonts w:eastAsia="EUAlbertina_Bold+02"/>
                <w:bCs/>
                <w:lang w:eastAsia="ru-RU"/>
              </w:rPr>
              <w:t>ș</w:t>
            </w:r>
            <w:r w:rsidRPr="009E43D9">
              <w:rPr>
                <w:bCs/>
                <w:lang w:eastAsia="ru-RU"/>
              </w:rPr>
              <w:t>i</w:t>
            </w:r>
            <w:proofErr w:type="spellEnd"/>
            <w:r w:rsidRPr="009E43D9">
              <w:rPr>
                <w:bCs/>
                <w:lang w:eastAsia="ru-RU"/>
              </w:rPr>
              <w:t xml:space="preserve"> de </w:t>
            </w:r>
            <w:proofErr w:type="spellStart"/>
            <w:r w:rsidRPr="009E43D9">
              <w:rPr>
                <w:bCs/>
                <w:lang w:eastAsia="ru-RU"/>
              </w:rPr>
              <w:t>supraveghere</w:t>
            </w:r>
            <w:proofErr w:type="spellEnd"/>
            <w:r w:rsidRPr="009E43D9">
              <w:rPr>
                <w:bCs/>
                <w:lang w:eastAsia="ru-RU"/>
              </w:rPr>
              <w:t xml:space="preserve"> a </w:t>
            </w:r>
            <w:proofErr w:type="spellStart"/>
            <w:r w:rsidRPr="009E43D9">
              <w:rPr>
                <w:bCs/>
                <w:lang w:eastAsia="ru-RU"/>
              </w:rPr>
              <w:t>pie</w:t>
            </w:r>
            <w:r w:rsidRPr="009E43D9">
              <w:rPr>
                <w:rFonts w:eastAsia="EUAlbertina_Bold+02"/>
                <w:bCs/>
                <w:lang w:eastAsia="ru-RU"/>
              </w:rPr>
              <w:t>ț</w:t>
            </w:r>
            <w:r w:rsidRPr="009E43D9">
              <w:rPr>
                <w:bCs/>
                <w:lang w:eastAsia="ru-RU"/>
              </w:rPr>
              <w:t>ei</w:t>
            </w:r>
            <w:proofErr w:type="spellEnd"/>
            <w:r w:rsidRPr="009E43D9">
              <w:rPr>
                <w:bCs/>
                <w:lang w:eastAsia="ru-RU"/>
              </w:rPr>
              <w:t xml:space="preserve"> </w:t>
            </w:r>
            <w:r w:rsidRPr="009E43D9">
              <w:rPr>
                <w:bCs/>
                <w:lang w:val="ro-RO" w:eastAsia="ru-RU"/>
              </w:rPr>
              <w:t>î</w:t>
            </w:r>
            <w:r w:rsidRPr="009E43D9">
              <w:rPr>
                <w:bCs/>
                <w:lang w:eastAsia="ru-RU"/>
              </w:rPr>
              <w:t xml:space="preserve">n </w:t>
            </w:r>
            <w:proofErr w:type="spellStart"/>
            <w:r w:rsidRPr="009E43D9">
              <w:rPr>
                <w:bCs/>
                <w:lang w:eastAsia="ru-RU"/>
              </w:rPr>
              <w:t>ceea</w:t>
            </w:r>
            <w:proofErr w:type="spellEnd"/>
            <w:r w:rsidRPr="009E43D9">
              <w:rPr>
                <w:bCs/>
                <w:lang w:eastAsia="ru-RU"/>
              </w:rPr>
              <w:t xml:space="preserve"> </w:t>
            </w:r>
            <w:proofErr w:type="spellStart"/>
            <w:r w:rsidRPr="009E43D9">
              <w:rPr>
                <w:bCs/>
                <w:lang w:eastAsia="ru-RU"/>
              </w:rPr>
              <w:t>ce</w:t>
            </w:r>
            <w:proofErr w:type="spellEnd"/>
            <w:r w:rsidRPr="009E43D9">
              <w:rPr>
                <w:bCs/>
                <w:lang w:eastAsia="ru-RU"/>
              </w:rPr>
              <w:t xml:space="preserve"> </w:t>
            </w:r>
            <w:proofErr w:type="spellStart"/>
            <w:r w:rsidRPr="009E43D9">
              <w:rPr>
                <w:bCs/>
                <w:lang w:eastAsia="ru-RU"/>
              </w:rPr>
              <w:t>prive</w:t>
            </w:r>
            <w:r w:rsidRPr="009E43D9">
              <w:rPr>
                <w:rFonts w:eastAsia="EUAlbertina_Bold+02"/>
                <w:bCs/>
                <w:lang w:eastAsia="ru-RU"/>
              </w:rPr>
              <w:t>ș</w:t>
            </w:r>
            <w:r w:rsidRPr="009E43D9">
              <w:rPr>
                <w:bCs/>
                <w:lang w:eastAsia="ru-RU"/>
              </w:rPr>
              <w:t>te</w:t>
            </w:r>
            <w:proofErr w:type="spellEnd"/>
            <w:r w:rsidRPr="009E43D9">
              <w:rPr>
                <w:bCs/>
                <w:lang w:eastAsia="ru-RU"/>
              </w:rPr>
              <w:t xml:space="preserve"> </w:t>
            </w:r>
            <w:proofErr w:type="spellStart"/>
            <w:r w:rsidRPr="009E43D9">
              <w:rPr>
                <w:bCs/>
                <w:lang w:eastAsia="ru-RU"/>
              </w:rPr>
              <w:t>comercializarea</w:t>
            </w:r>
            <w:proofErr w:type="spellEnd"/>
            <w:r w:rsidRPr="009E43D9">
              <w:rPr>
                <w:bCs/>
                <w:lang w:val="ro-RO" w:eastAsia="ru-RU"/>
              </w:rPr>
              <w:t xml:space="preserve"> </w:t>
            </w:r>
            <w:proofErr w:type="spellStart"/>
            <w:r w:rsidRPr="009E43D9">
              <w:rPr>
                <w:bCs/>
                <w:lang w:eastAsia="ru-RU"/>
              </w:rPr>
              <w:t>produselor</w:t>
            </w:r>
            <w:proofErr w:type="spellEnd"/>
            <w:r w:rsidRPr="009E43D9">
              <w:t xml:space="preserve">, care se </w:t>
            </w:r>
            <w:proofErr w:type="spellStart"/>
            <w:r w:rsidRPr="009E43D9">
              <w:t>transpune</w:t>
            </w:r>
            <w:proofErr w:type="spellEnd"/>
            <w:r w:rsidRPr="009E43D9">
              <w:t xml:space="preserve"> </w:t>
            </w:r>
            <w:proofErr w:type="spellStart"/>
            <w:r w:rsidRPr="009E43D9">
              <w:t>prin</w:t>
            </w:r>
            <w:proofErr w:type="spellEnd"/>
            <w:r w:rsidRPr="009E43D9">
              <w:t xml:space="preserve"> </w:t>
            </w:r>
            <w:proofErr w:type="spellStart"/>
            <w:r w:rsidRPr="009E43D9">
              <w:t>prezentul</w:t>
            </w:r>
            <w:proofErr w:type="spellEnd"/>
            <w:r w:rsidRPr="009E43D9">
              <w:t xml:space="preserve"> </w:t>
            </w:r>
            <w:proofErr w:type="spellStart"/>
            <w:r w:rsidRPr="009E43D9">
              <w:t>proiect</w:t>
            </w:r>
            <w:proofErr w:type="spellEnd"/>
            <w:r w:rsidRPr="009E43D9">
              <w:t xml:space="preserve"> de </w:t>
            </w:r>
            <w:proofErr w:type="spellStart"/>
            <w:r w:rsidRPr="009E43D9">
              <w:t>lege</w:t>
            </w:r>
            <w:proofErr w:type="spellEnd"/>
            <w:r w:rsidRPr="009E43D9">
              <w:t>,</w:t>
            </w:r>
            <w:r w:rsidRPr="009E43D9">
              <w:rPr>
                <w:lang w:val="ro-RO"/>
              </w:rPr>
              <w:t xml:space="preserve"> </w:t>
            </w:r>
            <w:r w:rsidRPr="009E43D9">
              <w:t xml:space="preserve">la </w:t>
            </w:r>
            <w:proofErr w:type="spellStart"/>
            <w:r w:rsidRPr="009E43D9">
              <w:t>alin</w:t>
            </w:r>
            <w:proofErr w:type="spellEnd"/>
            <w:r w:rsidRPr="009E43D9">
              <w:t xml:space="preserve">. (5) </w:t>
            </w:r>
            <w:proofErr w:type="gramStart"/>
            <w:r w:rsidRPr="009E43D9">
              <w:t>din</w:t>
            </w:r>
            <w:proofErr w:type="gramEnd"/>
            <w:r w:rsidRPr="009E43D9">
              <w:t xml:space="preserve"> </w:t>
            </w:r>
            <w:proofErr w:type="spellStart"/>
            <w:r w:rsidRPr="009E43D9">
              <w:t>preambul</w:t>
            </w:r>
            <w:proofErr w:type="spellEnd"/>
            <w:r w:rsidRPr="009E43D9">
              <w:t xml:space="preserve"> </w:t>
            </w:r>
            <w:proofErr w:type="spellStart"/>
            <w:r w:rsidRPr="009E43D9">
              <w:t>stabilește</w:t>
            </w:r>
            <w:proofErr w:type="spellEnd"/>
            <w:r w:rsidRPr="009E43D9">
              <w:rPr>
                <w:lang w:val="ro-RO"/>
              </w:rPr>
              <w:t xml:space="preserve">: </w:t>
            </w:r>
            <w:r w:rsidRPr="009E43D9">
              <w:t>„</w:t>
            </w:r>
            <w:r w:rsidRPr="009E43D9">
              <w:rPr>
                <w:lang w:val="ro-RO"/>
              </w:rPr>
              <w:t>c</w:t>
            </w:r>
            <w:proofErr w:type="spellStart"/>
            <w:r w:rsidRPr="009E43D9">
              <w:t>adrul</w:t>
            </w:r>
            <w:proofErr w:type="spellEnd"/>
            <w:r w:rsidRPr="009E43D9">
              <w:t xml:space="preserve"> </w:t>
            </w:r>
            <w:proofErr w:type="spellStart"/>
            <w:r w:rsidRPr="009E43D9">
              <w:t>pentru</w:t>
            </w:r>
            <w:proofErr w:type="spellEnd"/>
            <w:r w:rsidRPr="009E43D9">
              <w:t xml:space="preserve"> </w:t>
            </w:r>
            <w:proofErr w:type="spellStart"/>
            <w:r w:rsidRPr="009E43D9">
              <w:t>supravegherea</w:t>
            </w:r>
            <w:proofErr w:type="spellEnd"/>
            <w:r w:rsidRPr="009E43D9">
              <w:t xml:space="preserve"> </w:t>
            </w:r>
            <w:proofErr w:type="spellStart"/>
            <w:r w:rsidRPr="009E43D9">
              <w:t>pie</w:t>
            </w:r>
            <w:r w:rsidRPr="009E43D9">
              <w:rPr>
                <w:rFonts w:eastAsia="EUAlbertina+02"/>
              </w:rPr>
              <w:t>ț</w:t>
            </w:r>
            <w:r w:rsidRPr="009E43D9">
              <w:t>ei</w:t>
            </w:r>
            <w:proofErr w:type="spellEnd"/>
            <w:r w:rsidRPr="009E43D9">
              <w:t xml:space="preserve"> </w:t>
            </w:r>
            <w:proofErr w:type="spellStart"/>
            <w:r w:rsidRPr="009E43D9">
              <w:t>instituit</w:t>
            </w:r>
            <w:proofErr w:type="spellEnd"/>
            <w:r w:rsidRPr="009E43D9">
              <w:t xml:space="preserve"> </w:t>
            </w:r>
            <w:r w:rsidRPr="009E43D9">
              <w:rPr>
                <w:lang w:val="ro-RO"/>
              </w:rPr>
              <w:t>î</w:t>
            </w:r>
            <w:r w:rsidRPr="009E43D9">
              <w:t xml:space="preserve">n </w:t>
            </w:r>
            <w:proofErr w:type="spellStart"/>
            <w:r w:rsidRPr="009E43D9">
              <w:t>temeiul</w:t>
            </w:r>
            <w:proofErr w:type="spellEnd"/>
            <w:r w:rsidRPr="009E43D9">
              <w:rPr>
                <w:lang w:val="ro-RO"/>
              </w:rPr>
              <w:t xml:space="preserve"> </w:t>
            </w:r>
            <w:proofErr w:type="spellStart"/>
            <w:r w:rsidRPr="009E43D9">
              <w:t>prezentului</w:t>
            </w:r>
            <w:proofErr w:type="spellEnd"/>
            <w:r w:rsidRPr="009E43D9">
              <w:t xml:space="preserve"> </w:t>
            </w:r>
            <w:proofErr w:type="spellStart"/>
            <w:r w:rsidRPr="009E43D9">
              <w:t>regulament</w:t>
            </w:r>
            <w:proofErr w:type="spellEnd"/>
            <w:r w:rsidRPr="009E43D9">
              <w:t xml:space="preserve"> </w:t>
            </w:r>
            <w:proofErr w:type="spellStart"/>
            <w:r w:rsidRPr="009E43D9">
              <w:t>ar</w:t>
            </w:r>
            <w:proofErr w:type="spellEnd"/>
            <w:r w:rsidRPr="009E43D9">
              <w:t xml:space="preserve"> </w:t>
            </w:r>
            <w:proofErr w:type="spellStart"/>
            <w:r w:rsidRPr="009E43D9">
              <w:t>trebui</w:t>
            </w:r>
            <w:proofErr w:type="spellEnd"/>
            <w:r w:rsidRPr="009E43D9">
              <w:t xml:space="preserve"> </w:t>
            </w:r>
            <w:proofErr w:type="spellStart"/>
            <w:r w:rsidRPr="009E43D9">
              <w:t>să</w:t>
            </w:r>
            <w:proofErr w:type="spellEnd"/>
            <w:r w:rsidRPr="009E43D9">
              <w:t xml:space="preserve"> </w:t>
            </w:r>
            <w:proofErr w:type="spellStart"/>
            <w:r w:rsidRPr="009E43D9">
              <w:t>completeze</w:t>
            </w:r>
            <w:proofErr w:type="spellEnd"/>
            <w:r w:rsidRPr="009E43D9">
              <w:t xml:space="preserve"> </w:t>
            </w:r>
            <w:proofErr w:type="spellStart"/>
            <w:r w:rsidRPr="009E43D9">
              <w:rPr>
                <w:rFonts w:eastAsia="EUAlbertina+02"/>
              </w:rPr>
              <w:t>ș</w:t>
            </w:r>
            <w:r w:rsidRPr="009E43D9">
              <w:t>i</w:t>
            </w:r>
            <w:proofErr w:type="spellEnd"/>
            <w:r w:rsidRPr="009E43D9">
              <w:t xml:space="preserve"> </w:t>
            </w:r>
            <w:proofErr w:type="spellStart"/>
            <w:r w:rsidRPr="009E43D9">
              <w:t>să</w:t>
            </w:r>
            <w:proofErr w:type="spellEnd"/>
            <w:r w:rsidRPr="009E43D9">
              <w:rPr>
                <w:lang w:val="ro-RO"/>
              </w:rPr>
              <w:t xml:space="preserve"> </w:t>
            </w:r>
            <w:proofErr w:type="spellStart"/>
            <w:r w:rsidRPr="009E43D9">
              <w:t>consolideze</w:t>
            </w:r>
            <w:proofErr w:type="spellEnd"/>
            <w:r w:rsidRPr="009E43D9">
              <w:t xml:space="preserve"> </w:t>
            </w:r>
            <w:proofErr w:type="spellStart"/>
            <w:r w:rsidRPr="009E43D9">
              <w:t>dispozi</w:t>
            </w:r>
            <w:r w:rsidRPr="009E43D9">
              <w:rPr>
                <w:rFonts w:eastAsia="EUAlbertina+02"/>
              </w:rPr>
              <w:t>ț</w:t>
            </w:r>
            <w:r w:rsidRPr="009E43D9">
              <w:t>iile</w:t>
            </w:r>
            <w:proofErr w:type="spellEnd"/>
            <w:r w:rsidRPr="009E43D9">
              <w:t xml:space="preserve"> </w:t>
            </w:r>
            <w:proofErr w:type="spellStart"/>
            <w:r w:rsidRPr="009E43D9">
              <w:t>existente</w:t>
            </w:r>
            <w:proofErr w:type="spellEnd"/>
            <w:r w:rsidRPr="009E43D9">
              <w:t xml:space="preserve"> </w:t>
            </w:r>
            <w:r w:rsidRPr="009E43D9">
              <w:rPr>
                <w:lang w:val="ro-RO"/>
              </w:rPr>
              <w:t>î</w:t>
            </w:r>
            <w:r w:rsidRPr="009E43D9">
              <w:t xml:space="preserve">n </w:t>
            </w:r>
            <w:proofErr w:type="spellStart"/>
            <w:r w:rsidRPr="009E43D9">
              <w:t>legisla</w:t>
            </w:r>
            <w:r w:rsidRPr="009E43D9">
              <w:rPr>
                <w:rFonts w:eastAsia="EUAlbertina+02"/>
              </w:rPr>
              <w:t>ț</w:t>
            </w:r>
            <w:r w:rsidRPr="009E43D9">
              <w:t>ia</w:t>
            </w:r>
            <w:proofErr w:type="spellEnd"/>
            <w:r w:rsidRPr="009E43D9">
              <w:t xml:space="preserve"> </w:t>
            </w:r>
            <w:proofErr w:type="spellStart"/>
            <w:r w:rsidRPr="009E43D9">
              <w:t>comunitară</w:t>
            </w:r>
            <w:proofErr w:type="spellEnd"/>
            <w:r w:rsidRPr="009E43D9">
              <w:rPr>
                <w:lang w:val="ro-RO"/>
              </w:rPr>
              <w:t xml:space="preserve"> </w:t>
            </w:r>
            <w:r w:rsidRPr="009E43D9">
              <w:t xml:space="preserve">de </w:t>
            </w:r>
            <w:proofErr w:type="spellStart"/>
            <w:r w:rsidRPr="009E43D9">
              <w:t>armonizare</w:t>
            </w:r>
            <w:proofErr w:type="spellEnd"/>
            <w:r w:rsidRPr="009E43D9">
              <w:t xml:space="preserve"> </w:t>
            </w:r>
            <w:r w:rsidRPr="009E43D9">
              <w:lastRenderedPageBreak/>
              <w:t xml:space="preserve">care se </w:t>
            </w:r>
            <w:proofErr w:type="spellStart"/>
            <w:r w:rsidRPr="009E43D9">
              <w:t>referă</w:t>
            </w:r>
            <w:proofErr w:type="spellEnd"/>
            <w:r w:rsidRPr="009E43D9">
              <w:t xml:space="preserve"> la </w:t>
            </w:r>
            <w:proofErr w:type="spellStart"/>
            <w:r w:rsidRPr="009E43D9">
              <w:t>supravegherea</w:t>
            </w:r>
            <w:proofErr w:type="spellEnd"/>
            <w:r w:rsidRPr="009E43D9">
              <w:t xml:space="preserve"> </w:t>
            </w:r>
            <w:proofErr w:type="spellStart"/>
            <w:r w:rsidRPr="009E43D9">
              <w:t>pie</w:t>
            </w:r>
            <w:r w:rsidRPr="009E43D9">
              <w:rPr>
                <w:rFonts w:eastAsia="EUAlbertina+02"/>
              </w:rPr>
              <w:t>ț</w:t>
            </w:r>
            <w:r w:rsidRPr="009E43D9">
              <w:t>ei</w:t>
            </w:r>
            <w:proofErr w:type="spellEnd"/>
            <w:r w:rsidRPr="009E43D9">
              <w:t xml:space="preserve"> </w:t>
            </w:r>
            <w:proofErr w:type="spellStart"/>
            <w:r w:rsidRPr="009E43D9">
              <w:rPr>
                <w:rFonts w:eastAsia="EUAlbertina+02"/>
              </w:rPr>
              <w:t>ș</w:t>
            </w:r>
            <w:r w:rsidRPr="009E43D9">
              <w:t>i</w:t>
            </w:r>
            <w:proofErr w:type="spellEnd"/>
            <w:r w:rsidRPr="009E43D9">
              <w:rPr>
                <w:lang w:val="ro-RO"/>
              </w:rPr>
              <w:t xml:space="preserve"> </w:t>
            </w:r>
            <w:proofErr w:type="spellStart"/>
            <w:r w:rsidRPr="009E43D9">
              <w:t>aplicarea</w:t>
            </w:r>
            <w:proofErr w:type="spellEnd"/>
            <w:r w:rsidRPr="009E43D9">
              <w:t xml:space="preserve"> </w:t>
            </w:r>
            <w:proofErr w:type="spellStart"/>
            <w:r w:rsidRPr="009E43D9">
              <w:t>unor</w:t>
            </w:r>
            <w:proofErr w:type="spellEnd"/>
            <w:r w:rsidRPr="009E43D9">
              <w:t xml:space="preserve"> </w:t>
            </w:r>
            <w:proofErr w:type="spellStart"/>
            <w:r w:rsidRPr="009E43D9">
              <w:t>astfel</w:t>
            </w:r>
            <w:proofErr w:type="spellEnd"/>
            <w:r w:rsidRPr="009E43D9">
              <w:t xml:space="preserve"> de </w:t>
            </w:r>
            <w:proofErr w:type="spellStart"/>
            <w:r w:rsidRPr="009E43D9">
              <w:t>dispozi</w:t>
            </w:r>
            <w:r w:rsidRPr="009E43D9">
              <w:rPr>
                <w:rFonts w:eastAsia="EUAlbertina+02"/>
              </w:rPr>
              <w:t>ț</w:t>
            </w:r>
            <w:r w:rsidRPr="009E43D9">
              <w:t>ii</w:t>
            </w:r>
            <w:proofErr w:type="spellEnd"/>
            <w:r w:rsidRPr="009E43D9">
              <w:t xml:space="preserve">. Cu </w:t>
            </w:r>
            <w:proofErr w:type="spellStart"/>
            <w:r w:rsidRPr="009E43D9">
              <w:t>toate</w:t>
            </w:r>
            <w:proofErr w:type="spellEnd"/>
            <w:r w:rsidRPr="009E43D9">
              <w:t xml:space="preserve"> </w:t>
            </w:r>
            <w:proofErr w:type="spellStart"/>
            <w:r w:rsidRPr="009E43D9">
              <w:t>acestea</w:t>
            </w:r>
            <w:proofErr w:type="spellEnd"/>
            <w:r w:rsidRPr="009E43D9">
              <w:t xml:space="preserve">, </w:t>
            </w:r>
            <w:r w:rsidRPr="009E43D9">
              <w:rPr>
                <w:lang w:val="ro-RO"/>
              </w:rPr>
              <w:t>î</w:t>
            </w:r>
            <w:r w:rsidRPr="009E43D9">
              <w:t>n</w:t>
            </w:r>
            <w:r w:rsidRPr="009E43D9">
              <w:rPr>
                <w:lang w:val="ro-RO"/>
              </w:rPr>
              <w:t xml:space="preserve"> </w:t>
            </w:r>
            <w:proofErr w:type="spellStart"/>
            <w:r w:rsidRPr="009E43D9">
              <w:t>conformitate</w:t>
            </w:r>
            <w:proofErr w:type="spellEnd"/>
            <w:r w:rsidRPr="009E43D9">
              <w:t xml:space="preserve"> cu </w:t>
            </w:r>
            <w:proofErr w:type="spellStart"/>
            <w:r w:rsidRPr="009E43D9">
              <w:t>principiul</w:t>
            </w:r>
            <w:proofErr w:type="spellEnd"/>
            <w:r w:rsidRPr="009E43D9">
              <w:t xml:space="preserve"> </w:t>
            </w:r>
            <w:proofErr w:type="spellStart"/>
            <w:r w:rsidRPr="009E43D9">
              <w:rPr>
                <w:i/>
              </w:rPr>
              <w:t>lex</w:t>
            </w:r>
            <w:proofErr w:type="spellEnd"/>
            <w:r w:rsidRPr="009E43D9">
              <w:rPr>
                <w:i/>
              </w:rPr>
              <w:t xml:space="preserve"> </w:t>
            </w:r>
            <w:proofErr w:type="spellStart"/>
            <w:r w:rsidRPr="009E43D9">
              <w:rPr>
                <w:i/>
              </w:rPr>
              <w:t>specialis</w:t>
            </w:r>
            <w:proofErr w:type="spellEnd"/>
            <w:r w:rsidRPr="009E43D9">
              <w:t xml:space="preserve">, </w:t>
            </w:r>
            <w:proofErr w:type="spellStart"/>
            <w:r w:rsidRPr="009E43D9">
              <w:t>prezentul</w:t>
            </w:r>
            <w:proofErr w:type="spellEnd"/>
            <w:r w:rsidRPr="009E43D9">
              <w:t xml:space="preserve"> </w:t>
            </w:r>
            <w:proofErr w:type="spellStart"/>
            <w:r w:rsidRPr="009E43D9">
              <w:t>regulament</w:t>
            </w:r>
            <w:proofErr w:type="spellEnd"/>
            <w:r w:rsidRPr="009E43D9">
              <w:rPr>
                <w:lang w:val="ro-RO"/>
              </w:rPr>
              <w:t xml:space="preserve"> </w:t>
            </w:r>
            <w:proofErr w:type="spellStart"/>
            <w:r w:rsidRPr="009E43D9">
              <w:t>ar</w:t>
            </w:r>
            <w:proofErr w:type="spellEnd"/>
            <w:r w:rsidRPr="009E43D9">
              <w:t xml:space="preserve"> </w:t>
            </w:r>
            <w:proofErr w:type="spellStart"/>
            <w:r w:rsidRPr="009E43D9">
              <w:t>trebui</w:t>
            </w:r>
            <w:proofErr w:type="spellEnd"/>
            <w:r w:rsidRPr="009E43D9">
              <w:t xml:space="preserve"> </w:t>
            </w:r>
            <w:proofErr w:type="spellStart"/>
            <w:r w:rsidRPr="009E43D9">
              <w:t>să</w:t>
            </w:r>
            <w:proofErr w:type="spellEnd"/>
            <w:r w:rsidRPr="009E43D9">
              <w:t xml:space="preserve"> se </w:t>
            </w:r>
            <w:proofErr w:type="spellStart"/>
            <w:r w:rsidRPr="009E43D9">
              <w:t>aplice</w:t>
            </w:r>
            <w:proofErr w:type="spellEnd"/>
            <w:r w:rsidRPr="009E43D9">
              <w:t xml:space="preserve"> </w:t>
            </w:r>
            <w:proofErr w:type="spellStart"/>
            <w:r w:rsidRPr="009E43D9">
              <w:t>numai</w:t>
            </w:r>
            <w:proofErr w:type="spellEnd"/>
            <w:r w:rsidRPr="009E43D9">
              <w:t xml:space="preserve"> </w:t>
            </w:r>
            <w:r w:rsidRPr="009E43D9">
              <w:rPr>
                <w:lang w:val="ro-RO"/>
              </w:rPr>
              <w:t>î</w:t>
            </w:r>
            <w:r w:rsidRPr="009E43D9">
              <w:t xml:space="preserve">n </w:t>
            </w:r>
            <w:proofErr w:type="spellStart"/>
            <w:r w:rsidRPr="009E43D9">
              <w:t>măsura</w:t>
            </w:r>
            <w:proofErr w:type="spellEnd"/>
            <w:r w:rsidRPr="009E43D9">
              <w:t xml:space="preserve"> </w:t>
            </w:r>
            <w:r w:rsidRPr="009E43D9">
              <w:rPr>
                <w:lang w:val="ro-RO"/>
              </w:rPr>
              <w:t>î</w:t>
            </w:r>
            <w:r w:rsidRPr="009E43D9">
              <w:t>n care nu</w:t>
            </w:r>
            <w:r w:rsidRPr="009E43D9">
              <w:rPr>
                <w:lang w:val="ro-RO"/>
              </w:rPr>
              <w:t xml:space="preserve"> </w:t>
            </w:r>
            <w:proofErr w:type="spellStart"/>
            <w:r w:rsidRPr="009E43D9">
              <w:t>există</w:t>
            </w:r>
            <w:proofErr w:type="spellEnd"/>
            <w:r w:rsidRPr="009E43D9">
              <w:t xml:space="preserve"> </w:t>
            </w:r>
            <w:proofErr w:type="spellStart"/>
            <w:r w:rsidRPr="009E43D9">
              <w:t>dispozi</w:t>
            </w:r>
            <w:r w:rsidRPr="009E43D9">
              <w:rPr>
                <w:rFonts w:eastAsia="EUAlbertina+02"/>
              </w:rPr>
              <w:t>ț</w:t>
            </w:r>
            <w:r w:rsidRPr="009E43D9">
              <w:t>ii</w:t>
            </w:r>
            <w:proofErr w:type="spellEnd"/>
            <w:r w:rsidRPr="009E43D9">
              <w:t xml:space="preserve"> </w:t>
            </w:r>
            <w:proofErr w:type="spellStart"/>
            <w:r w:rsidRPr="009E43D9">
              <w:t>specifice</w:t>
            </w:r>
            <w:proofErr w:type="spellEnd"/>
            <w:r w:rsidRPr="009E43D9">
              <w:t xml:space="preserve"> cu </w:t>
            </w:r>
            <w:proofErr w:type="spellStart"/>
            <w:r w:rsidRPr="009E43D9">
              <w:t>acela</w:t>
            </w:r>
            <w:r w:rsidRPr="009E43D9">
              <w:rPr>
                <w:rFonts w:eastAsia="EUAlbertina+02"/>
              </w:rPr>
              <w:t>ș</w:t>
            </w:r>
            <w:r w:rsidRPr="009E43D9">
              <w:t>i</w:t>
            </w:r>
            <w:proofErr w:type="spellEnd"/>
            <w:r w:rsidRPr="009E43D9">
              <w:t xml:space="preserve"> </w:t>
            </w:r>
            <w:proofErr w:type="spellStart"/>
            <w:r w:rsidRPr="009E43D9">
              <w:t>obiectiv</w:t>
            </w:r>
            <w:proofErr w:type="spellEnd"/>
            <w:r w:rsidRPr="009E43D9">
              <w:t xml:space="preserve">, de </w:t>
            </w:r>
            <w:proofErr w:type="spellStart"/>
            <w:r w:rsidRPr="009E43D9">
              <w:t>aceea</w:t>
            </w:r>
            <w:r w:rsidRPr="009E43D9">
              <w:rPr>
                <w:rFonts w:eastAsia="EUAlbertina+02"/>
              </w:rPr>
              <w:t>ș</w:t>
            </w:r>
            <w:r w:rsidRPr="009E43D9">
              <w:t>i</w:t>
            </w:r>
            <w:proofErr w:type="spellEnd"/>
            <w:r w:rsidRPr="009E43D9">
              <w:rPr>
                <w:lang w:val="ro-RO"/>
              </w:rPr>
              <w:t xml:space="preserve"> </w:t>
            </w:r>
            <w:proofErr w:type="spellStart"/>
            <w:r w:rsidRPr="009E43D9">
              <w:t>natură</w:t>
            </w:r>
            <w:proofErr w:type="spellEnd"/>
            <w:r w:rsidRPr="009E43D9">
              <w:t xml:space="preserve"> </w:t>
            </w:r>
            <w:proofErr w:type="spellStart"/>
            <w:r w:rsidRPr="009E43D9">
              <w:t>sau</w:t>
            </w:r>
            <w:proofErr w:type="spellEnd"/>
            <w:r w:rsidRPr="009E43D9">
              <w:t xml:space="preserve"> cu </w:t>
            </w:r>
            <w:proofErr w:type="spellStart"/>
            <w:r w:rsidRPr="009E43D9">
              <w:t>acelea</w:t>
            </w:r>
            <w:r w:rsidRPr="009E43D9">
              <w:rPr>
                <w:rFonts w:eastAsia="EUAlbertina+02"/>
              </w:rPr>
              <w:t>ș</w:t>
            </w:r>
            <w:r w:rsidRPr="009E43D9">
              <w:t>i</w:t>
            </w:r>
            <w:proofErr w:type="spellEnd"/>
            <w:r w:rsidRPr="009E43D9">
              <w:t xml:space="preserve"> </w:t>
            </w:r>
            <w:proofErr w:type="spellStart"/>
            <w:r w:rsidRPr="009E43D9">
              <w:t>efecte</w:t>
            </w:r>
            <w:proofErr w:type="spellEnd"/>
            <w:r w:rsidRPr="009E43D9">
              <w:t xml:space="preserve"> </w:t>
            </w:r>
            <w:r w:rsidRPr="009E43D9">
              <w:rPr>
                <w:lang w:val="ro-RO"/>
              </w:rPr>
              <w:t>î</w:t>
            </w:r>
            <w:r w:rsidRPr="009E43D9">
              <w:t xml:space="preserve">n </w:t>
            </w:r>
            <w:proofErr w:type="spellStart"/>
            <w:r w:rsidRPr="009E43D9">
              <w:t>alte</w:t>
            </w:r>
            <w:proofErr w:type="spellEnd"/>
            <w:r w:rsidRPr="009E43D9">
              <w:t xml:space="preserve"> </w:t>
            </w:r>
            <w:proofErr w:type="spellStart"/>
            <w:r w:rsidRPr="009E43D9">
              <w:t>norme</w:t>
            </w:r>
            <w:proofErr w:type="spellEnd"/>
            <w:r w:rsidRPr="009E43D9">
              <w:t xml:space="preserve">, </w:t>
            </w:r>
            <w:proofErr w:type="spellStart"/>
            <w:r w:rsidRPr="009E43D9">
              <w:t>existente</w:t>
            </w:r>
            <w:proofErr w:type="spellEnd"/>
            <w:r w:rsidRPr="009E43D9">
              <w:t xml:space="preserve"> </w:t>
            </w:r>
            <w:proofErr w:type="spellStart"/>
            <w:r w:rsidRPr="009E43D9">
              <w:t>sau</w:t>
            </w:r>
            <w:proofErr w:type="spellEnd"/>
            <w:r w:rsidRPr="009E43D9">
              <w:rPr>
                <w:lang w:val="ro-RO"/>
              </w:rPr>
              <w:t xml:space="preserve"> </w:t>
            </w:r>
            <w:proofErr w:type="spellStart"/>
            <w:r w:rsidRPr="009E43D9">
              <w:t>viitoare</w:t>
            </w:r>
            <w:proofErr w:type="spellEnd"/>
            <w:r w:rsidRPr="009E43D9">
              <w:t xml:space="preserve">, din </w:t>
            </w:r>
            <w:proofErr w:type="spellStart"/>
            <w:r w:rsidRPr="009E43D9">
              <w:t>legisla</w:t>
            </w:r>
            <w:r w:rsidRPr="009E43D9">
              <w:rPr>
                <w:rFonts w:eastAsia="EUAlbertina+02"/>
              </w:rPr>
              <w:t>ț</w:t>
            </w:r>
            <w:r w:rsidRPr="009E43D9">
              <w:t>ia</w:t>
            </w:r>
            <w:proofErr w:type="spellEnd"/>
            <w:r w:rsidRPr="009E43D9">
              <w:t xml:space="preserve"> </w:t>
            </w:r>
            <w:proofErr w:type="spellStart"/>
            <w:r w:rsidRPr="009E43D9">
              <w:t>comunitară</w:t>
            </w:r>
            <w:proofErr w:type="spellEnd"/>
            <w:r w:rsidRPr="009E43D9">
              <w:t xml:space="preserve"> de </w:t>
            </w:r>
            <w:proofErr w:type="spellStart"/>
            <w:r w:rsidRPr="009E43D9">
              <w:t>armonizare</w:t>
            </w:r>
            <w:proofErr w:type="spellEnd"/>
            <w:r w:rsidRPr="009E43D9">
              <w:t>. Se pot</w:t>
            </w:r>
            <w:r w:rsidRPr="009E43D9">
              <w:rPr>
                <w:lang w:val="ro-RO"/>
              </w:rPr>
              <w:t xml:space="preserve"> </w:t>
            </w:r>
            <w:proofErr w:type="spellStart"/>
            <w:r w:rsidRPr="009E43D9">
              <w:t>constata</w:t>
            </w:r>
            <w:proofErr w:type="spellEnd"/>
            <w:r w:rsidRPr="009E43D9">
              <w:t xml:space="preserve"> </w:t>
            </w:r>
            <w:proofErr w:type="spellStart"/>
            <w:r w:rsidRPr="009E43D9">
              <w:t>exemple</w:t>
            </w:r>
            <w:proofErr w:type="spellEnd"/>
            <w:r w:rsidRPr="009E43D9">
              <w:t xml:space="preserve"> </w:t>
            </w:r>
            <w:r w:rsidRPr="009E43D9">
              <w:rPr>
                <w:lang w:val="ro-RO"/>
              </w:rPr>
              <w:t>î</w:t>
            </w:r>
            <w:r w:rsidRPr="009E43D9">
              <w:t xml:space="preserve">n </w:t>
            </w:r>
            <w:proofErr w:type="spellStart"/>
            <w:r w:rsidRPr="009E43D9">
              <w:t>următoarele</w:t>
            </w:r>
            <w:proofErr w:type="spellEnd"/>
            <w:r w:rsidRPr="009E43D9">
              <w:t xml:space="preserve"> </w:t>
            </w:r>
            <w:proofErr w:type="spellStart"/>
            <w:r w:rsidRPr="009E43D9">
              <w:t>sectoare</w:t>
            </w:r>
            <w:proofErr w:type="spellEnd"/>
            <w:r w:rsidRPr="009E43D9">
              <w:t>:</w:t>
            </w:r>
            <w:r w:rsidRPr="009E43D9">
              <w:rPr>
                <w:lang w:val="ro-RO"/>
              </w:rPr>
              <w:t xml:space="preserve"> </w:t>
            </w:r>
            <w:proofErr w:type="spellStart"/>
            <w:r w:rsidRPr="009E43D9">
              <w:t>precursorii</w:t>
            </w:r>
            <w:proofErr w:type="spellEnd"/>
            <w:r w:rsidRPr="009E43D9">
              <w:rPr>
                <w:lang w:val="ro-RO"/>
              </w:rPr>
              <w:t xml:space="preserve"> </w:t>
            </w:r>
            <w:proofErr w:type="spellStart"/>
            <w:r w:rsidRPr="009E43D9">
              <w:t>drogurilor</w:t>
            </w:r>
            <w:proofErr w:type="spellEnd"/>
            <w:r w:rsidRPr="009E43D9">
              <w:t xml:space="preserve">, </w:t>
            </w:r>
            <w:proofErr w:type="spellStart"/>
            <w:r w:rsidRPr="009E43D9">
              <w:t>aparatura</w:t>
            </w:r>
            <w:proofErr w:type="spellEnd"/>
            <w:r w:rsidRPr="009E43D9">
              <w:t xml:space="preserve"> </w:t>
            </w:r>
            <w:proofErr w:type="spellStart"/>
            <w:r w:rsidRPr="009E43D9">
              <w:t>medicală</w:t>
            </w:r>
            <w:proofErr w:type="spellEnd"/>
            <w:r w:rsidRPr="009E43D9">
              <w:t xml:space="preserve">, </w:t>
            </w:r>
            <w:proofErr w:type="spellStart"/>
            <w:r w:rsidRPr="009E43D9">
              <w:t>produsele</w:t>
            </w:r>
            <w:proofErr w:type="spellEnd"/>
            <w:r w:rsidRPr="009E43D9">
              <w:t xml:space="preserve"> </w:t>
            </w:r>
            <w:proofErr w:type="spellStart"/>
            <w:r w:rsidRPr="009E43D9">
              <w:t>medicamentoase</w:t>
            </w:r>
            <w:proofErr w:type="spellEnd"/>
            <w:r w:rsidRPr="009E43D9">
              <w:rPr>
                <w:lang w:val="ro-RO"/>
              </w:rPr>
              <w:t xml:space="preserve"> </w:t>
            </w:r>
            <w:r w:rsidRPr="009E43D9">
              <w:t xml:space="preserve">de </w:t>
            </w:r>
            <w:proofErr w:type="spellStart"/>
            <w:r w:rsidRPr="009E43D9">
              <w:t>uz</w:t>
            </w:r>
            <w:proofErr w:type="spellEnd"/>
            <w:r w:rsidRPr="009E43D9">
              <w:t xml:space="preserve"> </w:t>
            </w:r>
            <w:proofErr w:type="spellStart"/>
            <w:r w:rsidRPr="009E43D9">
              <w:t>uman</w:t>
            </w:r>
            <w:proofErr w:type="spellEnd"/>
            <w:r w:rsidRPr="009E43D9">
              <w:t xml:space="preserve"> </w:t>
            </w:r>
            <w:proofErr w:type="spellStart"/>
            <w:r w:rsidRPr="009E43D9">
              <w:rPr>
                <w:rFonts w:eastAsia="EUAlbertina+02"/>
              </w:rPr>
              <w:t>ș</w:t>
            </w:r>
            <w:r w:rsidRPr="009E43D9">
              <w:t>i</w:t>
            </w:r>
            <w:proofErr w:type="spellEnd"/>
            <w:r w:rsidRPr="009E43D9">
              <w:t xml:space="preserve"> </w:t>
            </w:r>
            <w:proofErr w:type="spellStart"/>
            <w:r w:rsidRPr="009E43D9">
              <w:t>veterinar</w:t>
            </w:r>
            <w:proofErr w:type="spellEnd"/>
            <w:r w:rsidRPr="009E43D9">
              <w:t xml:space="preserve">, </w:t>
            </w:r>
            <w:proofErr w:type="spellStart"/>
            <w:r w:rsidRPr="009E43D9">
              <w:t>autovehiculele</w:t>
            </w:r>
            <w:proofErr w:type="spellEnd"/>
            <w:r w:rsidRPr="009E43D9">
              <w:t xml:space="preserve"> </w:t>
            </w:r>
            <w:proofErr w:type="spellStart"/>
            <w:r w:rsidRPr="009E43D9">
              <w:rPr>
                <w:rFonts w:eastAsia="EUAlbertina+02"/>
              </w:rPr>
              <w:t>ș</w:t>
            </w:r>
            <w:r w:rsidRPr="009E43D9">
              <w:t>i</w:t>
            </w:r>
            <w:proofErr w:type="spellEnd"/>
            <w:r w:rsidRPr="009E43D9">
              <w:t xml:space="preserve"> </w:t>
            </w:r>
            <w:proofErr w:type="spellStart"/>
            <w:r w:rsidRPr="009E43D9">
              <w:t>avia</w:t>
            </w:r>
            <w:r w:rsidRPr="009E43D9">
              <w:rPr>
                <w:rFonts w:eastAsia="EUAlbertina+02"/>
              </w:rPr>
              <w:t>ț</w:t>
            </w:r>
            <w:r w:rsidRPr="009E43D9">
              <w:t>ia</w:t>
            </w:r>
            <w:proofErr w:type="spellEnd"/>
            <w:r w:rsidRPr="009E43D9">
              <w:t>.</w:t>
            </w:r>
            <w:proofErr w:type="gramStart"/>
            <w:r w:rsidRPr="009E43D9">
              <w:rPr>
                <w:lang w:val="ro-RO"/>
              </w:rPr>
              <w:t>”.</w:t>
            </w:r>
            <w:proofErr w:type="gramEnd"/>
          </w:p>
          <w:p w:rsidR="009E43D9" w:rsidRPr="009E43D9" w:rsidRDefault="009E43D9" w:rsidP="00C85242">
            <w:pPr>
              <w:jc w:val="both"/>
              <w:rPr>
                <w:lang w:val="ro-RO" w:eastAsia="ru-RU"/>
              </w:rPr>
            </w:pPr>
          </w:p>
        </w:tc>
        <w:tc>
          <w:tcPr>
            <w:tcW w:w="1768" w:type="dxa"/>
          </w:tcPr>
          <w:p w:rsidR="009E43D9" w:rsidRPr="009E43D9" w:rsidRDefault="009E43D9" w:rsidP="00C85242">
            <w:pPr>
              <w:pStyle w:val="a6"/>
              <w:tabs>
                <w:tab w:val="center" w:pos="4844"/>
                <w:tab w:val="right" w:pos="9689"/>
              </w:tabs>
              <w:ind w:left="0"/>
              <w:rPr>
                <w:szCs w:val="24"/>
                <w:lang w:val="ro-RO" w:eastAsia="en-US"/>
              </w:rPr>
            </w:pPr>
            <w:r w:rsidRPr="009E43D9">
              <w:rPr>
                <w:szCs w:val="24"/>
                <w:lang w:val="ro-RO" w:eastAsia="en-US"/>
              </w:rPr>
              <w:lastRenderedPageBreak/>
              <w:t>Se acceptă</w:t>
            </w:r>
          </w:p>
        </w:tc>
        <w:tc>
          <w:tcPr>
            <w:tcW w:w="3722" w:type="dxa"/>
            <w:gridSpan w:val="2"/>
          </w:tcPr>
          <w:p w:rsidR="003A5418" w:rsidRDefault="009E43D9" w:rsidP="003A5418">
            <w:pPr>
              <w:pStyle w:val="cb"/>
              <w:tabs>
                <w:tab w:val="left" w:pos="900"/>
              </w:tabs>
              <w:jc w:val="both"/>
              <w:rPr>
                <w:b w:val="0"/>
                <w:sz w:val="28"/>
                <w:szCs w:val="28"/>
                <w:lang w:val="ro-RO"/>
              </w:rPr>
            </w:pPr>
            <w:r w:rsidRPr="009E43D9">
              <w:rPr>
                <w:lang w:val="ro-RO" w:eastAsia="en-US"/>
              </w:rPr>
              <w:t xml:space="preserve">S-a </w:t>
            </w:r>
            <w:r w:rsidR="00D224A3">
              <w:rPr>
                <w:lang w:val="ro-RO" w:eastAsia="en-US"/>
              </w:rPr>
              <w:t>completat cu alineatul (5).</w:t>
            </w:r>
            <w:r w:rsidR="003A5418">
              <w:rPr>
                <w:b w:val="0"/>
                <w:sz w:val="28"/>
                <w:szCs w:val="28"/>
                <w:lang w:val="ro-RO"/>
              </w:rPr>
              <w:t xml:space="preserve"> </w:t>
            </w:r>
          </w:p>
          <w:p w:rsidR="003A5418" w:rsidRPr="003A5418" w:rsidRDefault="003A5418" w:rsidP="003A5418">
            <w:pPr>
              <w:pStyle w:val="cb"/>
              <w:numPr>
                <w:ilvl w:val="0"/>
                <w:numId w:val="2"/>
              </w:numPr>
              <w:tabs>
                <w:tab w:val="num" w:pos="0"/>
                <w:tab w:val="left" w:pos="900"/>
              </w:tabs>
              <w:ind w:left="0" w:firstLine="540"/>
              <w:jc w:val="both"/>
              <w:rPr>
                <w:b w:val="0"/>
                <w:lang w:val="ro-RO"/>
              </w:rPr>
            </w:pPr>
            <w:r w:rsidRPr="003A5418">
              <w:rPr>
                <w:b w:val="0"/>
                <w:lang w:val="ro-RO"/>
              </w:rPr>
              <w:t>Articolul 1:</w:t>
            </w:r>
          </w:p>
          <w:p w:rsidR="003A5418" w:rsidRPr="003A5418" w:rsidRDefault="003A5418" w:rsidP="003A5418">
            <w:pPr>
              <w:pStyle w:val="cb"/>
              <w:ind w:firstLine="540"/>
              <w:jc w:val="both"/>
              <w:rPr>
                <w:b w:val="0"/>
                <w:lang w:val="ro-RO"/>
              </w:rPr>
            </w:pPr>
            <w:r w:rsidRPr="003A5418">
              <w:rPr>
                <w:b w:val="0"/>
                <w:lang w:val="ro-RO"/>
              </w:rPr>
              <w:t>la alineatul (1) se substituie cuvîntul „plasate” se substituie cu cuvintele</w:t>
            </w:r>
            <w:r w:rsidRPr="003A5418">
              <w:rPr>
                <w:b w:val="0"/>
                <w:color w:val="FF0000"/>
                <w:lang w:val="ro-RO"/>
              </w:rPr>
              <w:t xml:space="preserve"> </w:t>
            </w:r>
            <w:r w:rsidRPr="003A5418">
              <w:rPr>
                <w:b w:val="0"/>
                <w:lang w:val="ro-RO"/>
              </w:rPr>
              <w:t>„</w:t>
            </w:r>
            <w:r w:rsidRPr="003A5418">
              <w:rPr>
                <w:b w:val="0"/>
                <w:iCs/>
                <w:lang w:val="ro-RO"/>
              </w:rPr>
              <w:t>puse la dispoziţie</w:t>
            </w:r>
            <w:r w:rsidRPr="003A5418">
              <w:rPr>
                <w:b w:val="0"/>
                <w:lang w:val="ro-RO"/>
              </w:rPr>
              <w:t>”;</w:t>
            </w:r>
          </w:p>
          <w:p w:rsidR="003A5418" w:rsidRPr="003A5418" w:rsidRDefault="003A5418" w:rsidP="003A5418">
            <w:pPr>
              <w:pStyle w:val="cb"/>
              <w:ind w:firstLine="540"/>
              <w:jc w:val="both"/>
              <w:rPr>
                <w:b w:val="0"/>
                <w:lang w:val="ro-RO"/>
              </w:rPr>
            </w:pPr>
            <w:r w:rsidRPr="003A5418">
              <w:rPr>
                <w:b w:val="0"/>
                <w:lang w:val="ro-RO"/>
              </w:rPr>
              <w:t>se completează cu alineat</w:t>
            </w:r>
            <w:r w:rsidRPr="003A5418">
              <w:rPr>
                <w:b w:val="0"/>
                <w:color w:val="FF0000"/>
                <w:lang w:val="ro-RO"/>
              </w:rPr>
              <w:t>ele</w:t>
            </w:r>
            <w:r w:rsidRPr="003A5418">
              <w:rPr>
                <w:b w:val="0"/>
                <w:lang w:val="ro-RO"/>
              </w:rPr>
              <w:t xml:space="preserve"> (4) </w:t>
            </w:r>
            <w:r w:rsidRPr="003A5418">
              <w:rPr>
                <w:b w:val="0"/>
                <w:color w:val="FF0000"/>
                <w:lang w:val="ro-RO"/>
              </w:rPr>
              <w:t>și (5)</w:t>
            </w:r>
            <w:r w:rsidRPr="003A5418">
              <w:rPr>
                <w:b w:val="0"/>
                <w:lang w:val="ro-RO"/>
              </w:rPr>
              <w:t xml:space="preserve"> cu următorul cuprins:</w:t>
            </w:r>
          </w:p>
          <w:p w:rsidR="003A5418" w:rsidRPr="003A5418" w:rsidRDefault="003A5418" w:rsidP="003A5418">
            <w:pPr>
              <w:autoSpaceDE w:val="0"/>
              <w:autoSpaceDN w:val="0"/>
              <w:adjustRightInd w:val="0"/>
              <w:ind w:firstLine="496"/>
              <w:jc w:val="both"/>
              <w:rPr>
                <w:lang w:val="ro-RO"/>
              </w:rPr>
            </w:pPr>
            <w:r w:rsidRPr="003A5418">
              <w:rPr>
                <w:lang w:val="ro-RO"/>
              </w:rPr>
              <w:t>„(4)Prezenta lege nu se aplică:</w:t>
            </w:r>
          </w:p>
          <w:p w:rsidR="003A5418" w:rsidRPr="003A5418" w:rsidRDefault="003A5418" w:rsidP="003A5418">
            <w:pPr>
              <w:autoSpaceDE w:val="0"/>
              <w:autoSpaceDN w:val="0"/>
              <w:adjustRightInd w:val="0"/>
              <w:ind w:firstLine="496"/>
              <w:jc w:val="both"/>
              <w:rPr>
                <w:lang w:val="ro-RO"/>
              </w:rPr>
            </w:pPr>
            <w:r w:rsidRPr="003A5418">
              <w:rPr>
                <w:lang w:val="ro-RO"/>
              </w:rPr>
              <w:t>a) produselor alimentare;</w:t>
            </w:r>
          </w:p>
          <w:p w:rsidR="003A5418" w:rsidRPr="003A5418" w:rsidRDefault="003A5418" w:rsidP="003A5418">
            <w:pPr>
              <w:autoSpaceDE w:val="0"/>
              <w:autoSpaceDN w:val="0"/>
              <w:adjustRightInd w:val="0"/>
              <w:ind w:firstLine="496"/>
              <w:jc w:val="both"/>
              <w:rPr>
                <w:lang w:val="ro-RO"/>
              </w:rPr>
            </w:pPr>
            <w:r w:rsidRPr="003A5418">
              <w:rPr>
                <w:lang w:val="ro-RO"/>
              </w:rPr>
              <w:t xml:space="preserve">b) hranei pentru animale, plantelor şi animalelor vii; </w:t>
            </w:r>
          </w:p>
          <w:p w:rsidR="003A5418" w:rsidRPr="003A5418" w:rsidRDefault="003A5418" w:rsidP="003A5418">
            <w:pPr>
              <w:autoSpaceDE w:val="0"/>
              <w:autoSpaceDN w:val="0"/>
              <w:adjustRightInd w:val="0"/>
              <w:ind w:firstLine="496"/>
              <w:jc w:val="both"/>
              <w:rPr>
                <w:lang w:val="ro-RO"/>
              </w:rPr>
            </w:pPr>
            <w:r w:rsidRPr="003A5418">
              <w:rPr>
                <w:lang w:val="ro-RO"/>
              </w:rPr>
              <w:t>c) produselor de origine umană şi produselor de origine vegetală şi animală care sînt direct legate de reproducerea lor viitoare;</w:t>
            </w:r>
          </w:p>
          <w:p w:rsidR="003A5418" w:rsidRPr="003A5418" w:rsidRDefault="003A5418" w:rsidP="003A5418">
            <w:pPr>
              <w:autoSpaceDE w:val="0"/>
              <w:autoSpaceDN w:val="0"/>
              <w:adjustRightInd w:val="0"/>
              <w:ind w:firstLine="496"/>
              <w:jc w:val="both"/>
              <w:rPr>
                <w:lang w:val="ro-RO"/>
              </w:rPr>
            </w:pPr>
            <w:r w:rsidRPr="003A5418">
              <w:rPr>
                <w:lang w:val="ro-RO"/>
              </w:rPr>
              <w:t xml:space="preserve">d) </w:t>
            </w:r>
            <w:r w:rsidRPr="003A5418">
              <w:rPr>
                <w:shd w:val="clear" w:color="auto" w:fill="FFFFFF"/>
                <w:lang w:val="ro-RO"/>
              </w:rPr>
              <w:t>stupefiantelor, substanţelor psihotrope, analogelor acestora şi precursorii</w:t>
            </w:r>
            <w:r w:rsidRPr="003A5418">
              <w:rPr>
                <w:lang w:val="ro-RO"/>
              </w:rPr>
              <w:t xml:space="preserve"> drogurilor;</w:t>
            </w:r>
          </w:p>
          <w:p w:rsidR="003A5418" w:rsidRPr="003A5418" w:rsidRDefault="003A5418" w:rsidP="003A5418">
            <w:pPr>
              <w:autoSpaceDE w:val="0"/>
              <w:autoSpaceDN w:val="0"/>
              <w:adjustRightInd w:val="0"/>
              <w:ind w:firstLine="496"/>
              <w:jc w:val="both"/>
              <w:rPr>
                <w:lang w:val="ro-RO"/>
              </w:rPr>
            </w:pPr>
            <w:r w:rsidRPr="003A5418">
              <w:rPr>
                <w:lang w:val="ro-RO"/>
              </w:rPr>
              <w:t xml:space="preserve">e) aparatura medicală; </w:t>
            </w:r>
          </w:p>
          <w:p w:rsidR="003A5418" w:rsidRPr="003A5418" w:rsidRDefault="003A5418" w:rsidP="003A5418">
            <w:pPr>
              <w:autoSpaceDE w:val="0"/>
              <w:autoSpaceDN w:val="0"/>
              <w:adjustRightInd w:val="0"/>
              <w:ind w:firstLine="496"/>
              <w:jc w:val="both"/>
              <w:rPr>
                <w:lang w:val="ro-RO"/>
              </w:rPr>
            </w:pPr>
            <w:r w:rsidRPr="003A5418">
              <w:rPr>
                <w:lang w:val="ro-RO"/>
              </w:rPr>
              <w:t>f) produselor medicamentoase de uz uman şi veterinar;</w:t>
            </w:r>
          </w:p>
          <w:p w:rsidR="003A5418" w:rsidRPr="003A5418" w:rsidRDefault="003A5418" w:rsidP="003A5418">
            <w:pPr>
              <w:autoSpaceDE w:val="0"/>
              <w:autoSpaceDN w:val="0"/>
              <w:adjustRightInd w:val="0"/>
              <w:ind w:firstLine="496"/>
              <w:jc w:val="both"/>
              <w:rPr>
                <w:lang w:val="ro-RO"/>
              </w:rPr>
            </w:pPr>
            <w:r w:rsidRPr="003A5418">
              <w:rPr>
                <w:lang w:val="ro-RO"/>
              </w:rPr>
              <w:t xml:space="preserve">g) </w:t>
            </w:r>
            <w:r w:rsidRPr="003A5418">
              <w:rPr>
                <w:color w:val="FF0000"/>
                <w:lang w:val="ro-RO"/>
              </w:rPr>
              <w:t xml:space="preserve">autovehicolelor </w:t>
            </w:r>
            <w:r w:rsidRPr="003A5418">
              <w:rPr>
                <w:lang w:val="ro-RO"/>
              </w:rPr>
              <w:t>şi avioanelor</w:t>
            </w:r>
            <w:r>
              <w:rPr>
                <w:color w:val="FF0000"/>
                <w:lang w:val="ro-RO"/>
              </w:rPr>
              <w:t>.</w:t>
            </w:r>
          </w:p>
          <w:p w:rsidR="003A5418" w:rsidRPr="003A5418" w:rsidRDefault="000A7DCC" w:rsidP="003A5418">
            <w:pPr>
              <w:autoSpaceDE w:val="0"/>
              <w:autoSpaceDN w:val="0"/>
              <w:adjustRightInd w:val="0"/>
              <w:ind w:firstLine="496"/>
              <w:jc w:val="both"/>
              <w:rPr>
                <w:color w:val="FF0000"/>
                <w:lang w:val="ro-RO"/>
              </w:rPr>
            </w:pPr>
            <w:r w:rsidRPr="003A5418">
              <w:rPr>
                <w:color w:val="FF0000"/>
                <w:lang w:val="ro-RO"/>
              </w:rPr>
              <w:t xml:space="preserve"> </w:t>
            </w:r>
            <w:r w:rsidR="003A5418" w:rsidRPr="003A5418">
              <w:rPr>
                <w:color w:val="FF0000"/>
                <w:lang w:val="ro-RO"/>
              </w:rPr>
              <w:t>(5) Produsele menţionate la alin.(4) a prezentului articol sunt reglementate prin lege.”</w:t>
            </w:r>
          </w:p>
          <w:p w:rsidR="003A5418" w:rsidRPr="000A7DCC" w:rsidRDefault="003A5418" w:rsidP="003A5418">
            <w:pPr>
              <w:pStyle w:val="cb"/>
              <w:numPr>
                <w:ilvl w:val="0"/>
                <w:numId w:val="2"/>
              </w:numPr>
              <w:tabs>
                <w:tab w:val="num" w:pos="0"/>
                <w:tab w:val="left" w:pos="540"/>
                <w:tab w:val="left" w:pos="900"/>
              </w:tabs>
              <w:ind w:left="0" w:right="-83" w:firstLine="540"/>
              <w:jc w:val="both"/>
              <w:rPr>
                <w:b w:val="0"/>
                <w:lang w:val="ro-RO"/>
              </w:rPr>
            </w:pPr>
            <w:r w:rsidRPr="000A7DCC">
              <w:rPr>
                <w:b w:val="0"/>
                <w:color w:val="FF0000"/>
                <w:lang w:val="ro-RO"/>
              </w:rPr>
              <w:lastRenderedPageBreak/>
              <w:t>La a</w:t>
            </w:r>
            <w:r w:rsidRPr="000A7DCC">
              <w:rPr>
                <w:b w:val="0"/>
                <w:lang w:val="ro-RO"/>
              </w:rPr>
              <w:t xml:space="preserve">rticolul </w:t>
            </w:r>
            <w:bookmarkStart w:id="0" w:name="_GoBack"/>
            <w:bookmarkEnd w:id="0"/>
            <w:r w:rsidRPr="000A7DCC">
              <w:rPr>
                <w:b w:val="0"/>
                <w:lang w:val="ro-RO"/>
              </w:rPr>
              <w:t>2</w:t>
            </w:r>
            <w:r w:rsidR="000A7DCC" w:rsidRPr="000A7DCC">
              <w:rPr>
                <w:lang w:val="ro-RO"/>
              </w:rPr>
              <w:t xml:space="preserve"> </w:t>
            </w:r>
            <w:r w:rsidRPr="000A7DCC">
              <w:rPr>
                <w:b w:val="0"/>
                <w:lang w:val="ro-RO"/>
              </w:rPr>
              <w:t>noţiunea „plasarea pe piaţă”se substituie cu noţiunea „</w:t>
            </w:r>
            <w:r w:rsidRPr="000A7DCC">
              <w:rPr>
                <w:b w:val="0"/>
                <w:i/>
                <w:iCs/>
                <w:lang w:val="ro-RO"/>
              </w:rPr>
              <w:t>punere la dispoziţie pe piaţă</w:t>
            </w:r>
            <w:r w:rsidRPr="000A7DCC">
              <w:rPr>
                <w:b w:val="0"/>
                <w:lang w:val="ro-RO"/>
              </w:rPr>
              <w:t>” cu următorul cuprins:</w:t>
            </w:r>
          </w:p>
          <w:p w:rsidR="009E43D9" w:rsidRPr="009E43D9" w:rsidRDefault="003A5418" w:rsidP="00D224A3">
            <w:pPr>
              <w:pStyle w:val="a6"/>
              <w:ind w:left="71"/>
              <w:rPr>
                <w:szCs w:val="24"/>
                <w:lang w:val="ro-RO"/>
              </w:rPr>
            </w:pPr>
            <w:r w:rsidRPr="003A5418">
              <w:rPr>
                <w:szCs w:val="24"/>
                <w:lang w:val="ro-RO"/>
              </w:rPr>
              <w:t>„</w:t>
            </w:r>
            <w:r w:rsidRPr="003A5418">
              <w:rPr>
                <w:i/>
                <w:szCs w:val="24"/>
                <w:lang w:val="ro-RO"/>
              </w:rPr>
              <w:tab/>
            </w:r>
            <w:r w:rsidRPr="003A5418">
              <w:rPr>
                <w:i/>
                <w:iCs/>
                <w:szCs w:val="24"/>
                <w:lang w:val="ro-RO"/>
              </w:rPr>
              <w:t xml:space="preserve">punere la dispoziţie pe piaţă </w:t>
            </w:r>
            <w:r w:rsidRPr="003A5418">
              <w:rPr>
                <w:szCs w:val="24"/>
                <w:lang w:val="ro-RO"/>
              </w:rPr>
              <w:t>– furnizare pe piaţă a unui produs pentru distribuţie, consum sau utilizare în cursul unei activităţi comerciale în schimbul unei plăţi sau în mod gratuit;”</w:t>
            </w:r>
          </w:p>
        </w:tc>
      </w:tr>
      <w:tr w:rsidR="009E43D9" w:rsidRPr="009E43D9" w:rsidTr="00C85242">
        <w:tc>
          <w:tcPr>
            <w:tcW w:w="1150" w:type="dxa"/>
          </w:tcPr>
          <w:p w:rsidR="009E43D9" w:rsidRPr="009E43D9" w:rsidRDefault="009E43D9" w:rsidP="00C85242">
            <w:pPr>
              <w:pStyle w:val="a3"/>
              <w:numPr>
                <w:ilvl w:val="0"/>
                <w:numId w:val="1"/>
              </w:numPr>
              <w:tabs>
                <w:tab w:val="left" w:pos="352"/>
              </w:tabs>
              <w:jc w:val="center"/>
              <w:rPr>
                <w:lang w:val="ro-RO"/>
              </w:rPr>
            </w:pPr>
          </w:p>
        </w:tc>
        <w:tc>
          <w:tcPr>
            <w:tcW w:w="1336" w:type="dxa"/>
          </w:tcPr>
          <w:p w:rsidR="009E43D9" w:rsidRPr="009E43D9" w:rsidRDefault="009E43D9" w:rsidP="00C85242">
            <w:pPr>
              <w:pStyle w:val="a6"/>
              <w:tabs>
                <w:tab w:val="center" w:pos="4844"/>
                <w:tab w:val="right" w:pos="9689"/>
              </w:tabs>
              <w:ind w:left="0"/>
              <w:jc w:val="center"/>
              <w:rPr>
                <w:szCs w:val="24"/>
                <w:lang w:val="ro-RO" w:eastAsia="en-US"/>
              </w:rPr>
            </w:pPr>
            <w:r w:rsidRPr="009E43D9">
              <w:rPr>
                <w:szCs w:val="24"/>
                <w:lang w:val="ro-RO" w:eastAsia="en-US"/>
              </w:rPr>
              <w:t>Art. I</w:t>
            </w:r>
          </w:p>
          <w:p w:rsidR="009E43D9" w:rsidRPr="009E43D9" w:rsidRDefault="009E43D9" w:rsidP="00C85242">
            <w:pPr>
              <w:pStyle w:val="a6"/>
              <w:tabs>
                <w:tab w:val="center" w:pos="4844"/>
                <w:tab w:val="right" w:pos="9689"/>
              </w:tabs>
              <w:ind w:left="0"/>
              <w:jc w:val="center"/>
              <w:rPr>
                <w:szCs w:val="24"/>
                <w:lang w:val="ro-RO" w:eastAsia="en-US"/>
              </w:rPr>
            </w:pPr>
          </w:p>
        </w:tc>
        <w:tc>
          <w:tcPr>
            <w:tcW w:w="1789" w:type="dxa"/>
          </w:tcPr>
          <w:p w:rsidR="009E43D9" w:rsidRPr="009E43D9" w:rsidRDefault="009E43D9" w:rsidP="00C85242">
            <w:pPr>
              <w:pStyle w:val="a6"/>
              <w:tabs>
                <w:tab w:val="center" w:pos="4844"/>
                <w:tab w:val="right" w:pos="9689"/>
              </w:tabs>
              <w:ind w:left="0"/>
              <w:rPr>
                <w:szCs w:val="24"/>
                <w:lang w:val="ro-RO" w:eastAsia="en-US"/>
              </w:rPr>
            </w:pPr>
            <w:r w:rsidRPr="009E43D9">
              <w:rPr>
                <w:szCs w:val="24"/>
                <w:lang w:val="ro-RO" w:eastAsia="en-US"/>
              </w:rPr>
              <w:t>Ministerul Justiției</w:t>
            </w:r>
          </w:p>
        </w:tc>
        <w:tc>
          <w:tcPr>
            <w:tcW w:w="5261" w:type="dxa"/>
          </w:tcPr>
          <w:p w:rsidR="009E43D9" w:rsidRPr="009E43D9" w:rsidRDefault="009E43D9" w:rsidP="009E43D9">
            <w:pPr>
              <w:autoSpaceDE w:val="0"/>
              <w:autoSpaceDN w:val="0"/>
              <w:adjustRightInd w:val="0"/>
              <w:jc w:val="both"/>
              <w:rPr>
                <w:color w:val="000000"/>
                <w:lang w:val="ro-RO"/>
              </w:rPr>
            </w:pPr>
            <w:r w:rsidRPr="009E43D9">
              <w:rPr>
                <w:lang w:val="ro-RO"/>
              </w:rPr>
              <w:t xml:space="preserve">2. La art. IV din proiectul Legii (modificări la Codul contravențional nr. 218-XVI din 24 octombrie 2008), relevăm, că în avizul nr. 03/4933 din 19 mai 2014 am notificat considerațiunea de </w:t>
            </w:r>
            <w:r w:rsidRPr="009E43D9">
              <w:rPr>
                <w:color w:val="000000"/>
                <w:lang w:val="ro-RO"/>
              </w:rPr>
              <w:t>inacceptabilitate a propunerile de completare a art. 39 din Codul contravențional cu alin. (3) și (4), care prevedeau ca sancțiune contravențională complementară, aplicabilă persoanei juridice, stabilirea interdicției de a pune la dispoziție pe piață a produselor periculoase, impunerea retragerii din circulație sau rechemării produselor de la consumatori. Obiecția respectivă a fost luată în considerație, propunerile de completare a art. 39 fiind excluse din proiect.</w:t>
            </w:r>
          </w:p>
          <w:p w:rsidR="009E43D9" w:rsidRPr="009E43D9" w:rsidRDefault="009E43D9" w:rsidP="009E43D9">
            <w:pPr>
              <w:autoSpaceDE w:val="0"/>
              <w:autoSpaceDN w:val="0"/>
              <w:adjustRightInd w:val="0"/>
              <w:jc w:val="both"/>
              <w:rPr>
                <w:color w:val="000000"/>
                <w:lang w:val="ro-RO"/>
              </w:rPr>
            </w:pPr>
            <w:r w:rsidRPr="009E43D9">
              <w:rPr>
                <w:color w:val="000000"/>
                <w:lang w:val="ro-RO"/>
              </w:rPr>
              <w:tab/>
              <w:t xml:space="preserve">Totuși, </w:t>
            </w:r>
            <w:r w:rsidRPr="009E43D9">
              <w:rPr>
                <w:lang w:val="ro-RO"/>
              </w:rPr>
              <w:t>în avizul nr. 03/4933 din 19 mai 2014 am menționat, că, c</w:t>
            </w:r>
            <w:r w:rsidRPr="009E43D9">
              <w:rPr>
                <w:color w:val="000000"/>
                <w:lang w:val="ro-RO"/>
              </w:rPr>
              <w:t xml:space="preserve">onsecvent, sunt inadmisibile și prevederile art. 344 din Codul contravențional, în redacția propusă spre adoptare, care stabilesc ca sancțiune contravențională complementară „interzicerea punerii la dispoziție pe piață a produselor periculoase sau retragerea </w:t>
            </w:r>
            <w:r w:rsidRPr="009E43D9">
              <w:rPr>
                <w:color w:val="000000"/>
                <w:lang w:val="ro-RO"/>
              </w:rPr>
              <w:lastRenderedPageBreak/>
              <w:t>produselor periculoase din circulație, sau rechemarea produselor periculoase de la consumatori.</w:t>
            </w:r>
          </w:p>
          <w:p w:rsidR="009E43D9" w:rsidRPr="009E43D9" w:rsidRDefault="009E43D9" w:rsidP="009E43D9">
            <w:pPr>
              <w:autoSpaceDE w:val="0"/>
              <w:autoSpaceDN w:val="0"/>
              <w:adjustRightInd w:val="0"/>
              <w:jc w:val="both"/>
              <w:rPr>
                <w:color w:val="000000"/>
                <w:lang w:val="ro-RO"/>
              </w:rPr>
            </w:pPr>
            <w:r w:rsidRPr="009E43D9">
              <w:rPr>
                <w:color w:val="000000"/>
                <w:lang w:val="ro-RO"/>
              </w:rPr>
              <w:tab/>
              <w:t>Astfel, relevăm că la art. 344 alin. (1) lit. a) și alin. (2) lit. b) din Codul contravențional, în redacția expusă în proiect, este reglementată, ca sancțiune contravențională complementară, interzicerea punerii la dispoziție pe piață a produselor periculoase (sau neconforme cerințelor esențiale) sau retragerea produselor periculoase din circulație sau rechemarea produselor periculoase de la consumatori.</w:t>
            </w:r>
          </w:p>
          <w:p w:rsidR="009E43D9" w:rsidRPr="00D224A3" w:rsidRDefault="009E43D9" w:rsidP="00D224A3">
            <w:pPr>
              <w:autoSpaceDE w:val="0"/>
              <w:autoSpaceDN w:val="0"/>
              <w:adjustRightInd w:val="0"/>
              <w:jc w:val="both"/>
              <w:rPr>
                <w:color w:val="000000"/>
              </w:rPr>
            </w:pPr>
            <w:r w:rsidRPr="009E43D9">
              <w:rPr>
                <w:color w:val="000000"/>
                <w:lang w:val="ro-RO"/>
              </w:rPr>
              <w:tab/>
              <w:t xml:space="preserve">Stabilirea la art. 344 din Codul contravențional a sancțiunii contravenționale complementare mneționate anterior este ilegală, întrucît art. 32 alin. (5) din Codul contravențional prevede exhaustiv și fără a admite posibilitatea unei interpretări extensive defavorabile (art. 5 alin. (2) din Codul contravențional) doar următoarele sancțiuni contravenționale aplicabile persoanei juridice: </w:t>
            </w:r>
            <w:r w:rsidRPr="009E43D9">
              <w:rPr>
                <w:color w:val="000000"/>
              </w:rPr>
              <w:t xml:space="preserve">a) </w:t>
            </w:r>
            <w:proofErr w:type="spellStart"/>
            <w:r w:rsidRPr="009E43D9">
              <w:rPr>
                <w:color w:val="000000"/>
              </w:rPr>
              <w:t>amenda</w:t>
            </w:r>
            <w:proofErr w:type="spellEnd"/>
            <w:r w:rsidRPr="009E43D9">
              <w:rPr>
                <w:color w:val="000000"/>
              </w:rPr>
              <w:t>;</w:t>
            </w:r>
            <w:r w:rsidRPr="009E43D9">
              <w:rPr>
                <w:color w:val="000000"/>
                <w:lang w:val="ro-RO"/>
              </w:rPr>
              <w:t xml:space="preserve"> </w:t>
            </w:r>
            <w:r w:rsidRPr="009E43D9">
              <w:rPr>
                <w:color w:val="000000"/>
              </w:rPr>
              <w:t>b)</w:t>
            </w:r>
            <w:r w:rsidRPr="009E43D9">
              <w:rPr>
                <w:color w:val="000000"/>
                <w:lang w:val="ro-RO"/>
              </w:rPr>
              <w:t xml:space="preserve"> </w:t>
            </w:r>
            <w:proofErr w:type="spellStart"/>
            <w:r w:rsidRPr="009E43D9">
              <w:rPr>
                <w:color w:val="000000"/>
              </w:rPr>
              <w:t>privarea</w:t>
            </w:r>
            <w:proofErr w:type="spellEnd"/>
            <w:r w:rsidRPr="009E43D9">
              <w:rPr>
                <w:color w:val="000000"/>
              </w:rPr>
              <w:t xml:space="preserve"> de </w:t>
            </w:r>
            <w:proofErr w:type="spellStart"/>
            <w:r w:rsidRPr="009E43D9">
              <w:rPr>
                <w:color w:val="000000"/>
              </w:rPr>
              <w:t>dreptul</w:t>
            </w:r>
            <w:proofErr w:type="spellEnd"/>
            <w:r w:rsidRPr="009E43D9">
              <w:rPr>
                <w:color w:val="000000"/>
              </w:rPr>
              <w:t xml:space="preserve"> de a </w:t>
            </w:r>
            <w:proofErr w:type="spellStart"/>
            <w:r w:rsidRPr="009E43D9">
              <w:rPr>
                <w:color w:val="000000"/>
              </w:rPr>
              <w:t>desfăşura</w:t>
            </w:r>
            <w:proofErr w:type="spellEnd"/>
            <w:r w:rsidRPr="009E43D9">
              <w:rPr>
                <w:color w:val="000000"/>
              </w:rPr>
              <w:t xml:space="preserve"> o </w:t>
            </w:r>
            <w:proofErr w:type="spellStart"/>
            <w:r w:rsidRPr="009E43D9">
              <w:rPr>
                <w:color w:val="000000"/>
              </w:rPr>
              <w:t>anumită</w:t>
            </w:r>
            <w:proofErr w:type="spellEnd"/>
            <w:r w:rsidRPr="009E43D9">
              <w:rPr>
                <w:color w:val="000000"/>
              </w:rPr>
              <w:t xml:space="preserve"> </w:t>
            </w:r>
            <w:proofErr w:type="spellStart"/>
            <w:r w:rsidRPr="009E43D9">
              <w:rPr>
                <w:color w:val="000000"/>
              </w:rPr>
              <w:t>activitate</w:t>
            </w:r>
            <w:proofErr w:type="spellEnd"/>
            <w:r w:rsidRPr="009E43D9">
              <w:rPr>
                <w:color w:val="000000"/>
              </w:rPr>
              <w:t>.</w:t>
            </w:r>
          </w:p>
        </w:tc>
        <w:tc>
          <w:tcPr>
            <w:tcW w:w="1768" w:type="dxa"/>
          </w:tcPr>
          <w:p w:rsidR="009E43D9" w:rsidRPr="009E43D9" w:rsidRDefault="009E43D9" w:rsidP="00C85242">
            <w:pPr>
              <w:pStyle w:val="a6"/>
              <w:tabs>
                <w:tab w:val="center" w:pos="4844"/>
                <w:tab w:val="right" w:pos="9689"/>
              </w:tabs>
              <w:ind w:left="0"/>
              <w:rPr>
                <w:szCs w:val="24"/>
                <w:lang w:val="ro-RO" w:eastAsia="en-US"/>
              </w:rPr>
            </w:pPr>
            <w:r w:rsidRPr="009E43D9">
              <w:rPr>
                <w:szCs w:val="24"/>
                <w:lang w:val="ro-RO" w:eastAsia="en-US"/>
              </w:rPr>
              <w:lastRenderedPageBreak/>
              <w:t>Se acceptă</w:t>
            </w:r>
          </w:p>
        </w:tc>
        <w:tc>
          <w:tcPr>
            <w:tcW w:w="3722" w:type="dxa"/>
            <w:gridSpan w:val="2"/>
          </w:tcPr>
          <w:p w:rsidR="009E43D9" w:rsidRPr="009E43D9" w:rsidRDefault="009E43D9" w:rsidP="00D224A3">
            <w:pPr>
              <w:pStyle w:val="a6"/>
              <w:tabs>
                <w:tab w:val="center" w:pos="4844"/>
                <w:tab w:val="right" w:pos="9689"/>
              </w:tabs>
              <w:ind w:left="0"/>
              <w:rPr>
                <w:szCs w:val="24"/>
                <w:lang w:val="ro-RO" w:eastAsia="en-US"/>
              </w:rPr>
            </w:pPr>
            <w:r w:rsidRPr="009E43D9">
              <w:rPr>
                <w:szCs w:val="24"/>
                <w:lang w:val="ro-RO" w:eastAsia="en-US"/>
              </w:rPr>
              <w:t xml:space="preserve">S-a </w:t>
            </w:r>
            <w:r>
              <w:rPr>
                <w:szCs w:val="24"/>
                <w:lang w:val="ro-RO" w:eastAsia="en-US"/>
              </w:rPr>
              <w:t xml:space="preserve">exclus conform </w:t>
            </w:r>
            <w:r w:rsidRPr="009E43D9">
              <w:rPr>
                <w:szCs w:val="24"/>
                <w:lang w:val="ro-RO" w:eastAsia="en-US"/>
              </w:rPr>
              <w:t xml:space="preserve"> </w:t>
            </w:r>
            <w:r>
              <w:rPr>
                <w:szCs w:val="24"/>
                <w:lang w:val="ro-RO" w:eastAsia="en-US"/>
              </w:rPr>
              <w:t xml:space="preserve">avizului propunerea de completare la </w:t>
            </w:r>
            <w:r>
              <w:rPr>
                <w:color w:val="000000"/>
                <w:lang w:val="ro-RO"/>
              </w:rPr>
              <w:t>art. 344 alin. (1) lit. a) și alin. (2) lit. b) din Codul contravențional referitor la sancțiunea complementară –</w:t>
            </w:r>
            <w:r w:rsidR="00D224A3">
              <w:rPr>
                <w:color w:val="000000"/>
                <w:lang w:val="ro-RO"/>
              </w:rPr>
              <w:t xml:space="preserve"> sau exclus cuvintele în ambele cazuri </w:t>
            </w:r>
            <w:r>
              <w:rPr>
                <w:color w:val="000000"/>
                <w:lang w:val="ro-RO"/>
              </w:rPr>
              <w:t xml:space="preserve"> </w:t>
            </w:r>
            <w:r w:rsidRPr="009E43D9">
              <w:rPr>
                <w:color w:val="000000"/>
                <w:szCs w:val="24"/>
                <w:lang w:val="ro-RO"/>
              </w:rPr>
              <w:t>„</w:t>
            </w:r>
            <w:r w:rsidRPr="009E43D9">
              <w:rPr>
                <w:szCs w:val="24"/>
                <w:lang w:val="ro-RO"/>
              </w:rPr>
              <w:t>cu sau fără, în ambele cazuri, interzicerea punerii la dispoziţie pe piaţă a produselor periculoase sau retragerea produselor periculoase din circulaţie sau rechemarea produselor periculoase de la consumatori;</w:t>
            </w:r>
            <w:r w:rsidRPr="009E43D9">
              <w:rPr>
                <w:color w:val="000000"/>
                <w:szCs w:val="24"/>
                <w:lang w:val="ro-RO"/>
              </w:rPr>
              <w:t>”,</w:t>
            </w:r>
            <w:r>
              <w:rPr>
                <w:szCs w:val="24"/>
                <w:lang w:val="ro-RO" w:eastAsia="en-US"/>
              </w:rPr>
              <w:t xml:space="preserve"> </w:t>
            </w:r>
          </w:p>
        </w:tc>
      </w:tr>
    </w:tbl>
    <w:p w:rsidR="007F680F" w:rsidRDefault="007F680F"/>
    <w:sectPr w:rsidR="007F680F" w:rsidSect="009E43D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_Bold+02">
    <w:altName w:val="MS Mincho"/>
    <w:panose1 w:val="00000000000000000000"/>
    <w:charset w:val="80"/>
    <w:family w:val="auto"/>
    <w:notTrueType/>
    <w:pitch w:val="default"/>
    <w:sig w:usb0="00000001" w:usb1="08070000" w:usb2="00000010" w:usb3="00000000" w:csb0="00020000" w:csb1="00000000"/>
  </w:font>
  <w:font w:name="EUAlbertina+0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03192"/>
    <w:multiLevelType w:val="hybridMultilevel"/>
    <w:tmpl w:val="7052862C"/>
    <w:lvl w:ilvl="0" w:tplc="69EC0A9C">
      <w:start w:val="3"/>
      <w:numFmt w:val="decimal"/>
      <w:lvlText w:val="%1."/>
      <w:lvlJc w:val="left"/>
      <w:pPr>
        <w:tabs>
          <w:tab w:val="num" w:pos="800"/>
        </w:tabs>
        <w:ind w:left="800" w:hanging="360"/>
      </w:pPr>
      <w:rPr>
        <w:rFonts w:cs="Times New Roman" w:hint="default"/>
        <w:color w:val="auto"/>
      </w:rPr>
    </w:lvl>
    <w:lvl w:ilvl="1" w:tplc="0419000F">
      <w:start w:val="1"/>
      <w:numFmt w:val="decimal"/>
      <w:lvlText w:val="%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EC02CBE"/>
    <w:multiLevelType w:val="hybridMultilevel"/>
    <w:tmpl w:val="FC96CA94"/>
    <w:lvl w:ilvl="0" w:tplc="38FA2DF2">
      <w:start w:val="1"/>
      <w:numFmt w:val="decimal"/>
      <w:lvlText w:val="%1."/>
      <w:lvlJc w:val="left"/>
      <w:pPr>
        <w:tabs>
          <w:tab w:val="num" w:pos="927"/>
        </w:tabs>
        <w:ind w:left="927" w:hanging="360"/>
      </w:pPr>
      <w:rPr>
        <w:b/>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6D4"/>
    <w:rsid w:val="000A7DCC"/>
    <w:rsid w:val="001B0293"/>
    <w:rsid w:val="001C6760"/>
    <w:rsid w:val="00225359"/>
    <w:rsid w:val="00227F93"/>
    <w:rsid w:val="002B7826"/>
    <w:rsid w:val="003A5418"/>
    <w:rsid w:val="003A6F80"/>
    <w:rsid w:val="004F7BFC"/>
    <w:rsid w:val="0066754F"/>
    <w:rsid w:val="00687959"/>
    <w:rsid w:val="007C36C5"/>
    <w:rsid w:val="007F680F"/>
    <w:rsid w:val="0083742F"/>
    <w:rsid w:val="00947491"/>
    <w:rsid w:val="009514B7"/>
    <w:rsid w:val="009E43D9"/>
    <w:rsid w:val="00B0636B"/>
    <w:rsid w:val="00CC16D4"/>
    <w:rsid w:val="00CC6926"/>
    <w:rsid w:val="00D224A3"/>
    <w:rsid w:val="00F72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D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3D9"/>
    <w:pPr>
      <w:tabs>
        <w:tab w:val="center" w:pos="4844"/>
        <w:tab w:val="right" w:pos="9689"/>
      </w:tabs>
    </w:pPr>
  </w:style>
  <w:style w:type="character" w:customStyle="1" w:styleId="a4">
    <w:name w:val="Верхний колонтитул Знак"/>
    <w:basedOn w:val="a0"/>
    <w:link w:val="a3"/>
    <w:uiPriority w:val="99"/>
    <w:rsid w:val="009E43D9"/>
    <w:rPr>
      <w:rFonts w:ascii="Times New Roman" w:eastAsia="Times New Roman" w:hAnsi="Times New Roman" w:cs="Times New Roman"/>
      <w:sz w:val="24"/>
      <w:szCs w:val="24"/>
      <w:lang w:val="en-US"/>
    </w:rPr>
  </w:style>
  <w:style w:type="character" w:customStyle="1" w:styleId="a5">
    <w:name w:val="Обычный (веб) Знак"/>
    <w:aliases w:val="Знак Знак, Знак Знак"/>
    <w:link w:val="a6"/>
    <w:uiPriority w:val="99"/>
    <w:locked/>
    <w:rsid w:val="009E43D9"/>
    <w:rPr>
      <w:rFonts w:ascii="Times New Roman" w:eastAsia="Times New Roman" w:hAnsi="Times New Roman" w:cs="Times New Roman"/>
      <w:sz w:val="24"/>
      <w:lang w:eastAsia="ru-RU"/>
    </w:rPr>
  </w:style>
  <w:style w:type="paragraph" w:styleId="a6">
    <w:name w:val="Normal (Web)"/>
    <w:aliases w:val="Знак, Знак"/>
    <w:basedOn w:val="a"/>
    <w:link w:val="a5"/>
    <w:uiPriority w:val="99"/>
    <w:unhideWhenUsed/>
    <w:qFormat/>
    <w:rsid w:val="009E43D9"/>
    <w:pPr>
      <w:ind w:left="720"/>
      <w:contextualSpacing/>
    </w:pPr>
    <w:rPr>
      <w:szCs w:val="22"/>
      <w:lang w:val="ru-RU" w:eastAsia="ru-RU"/>
    </w:rPr>
  </w:style>
  <w:style w:type="paragraph" w:styleId="a7">
    <w:name w:val="Body Text"/>
    <w:basedOn w:val="a"/>
    <w:link w:val="a8"/>
    <w:unhideWhenUsed/>
    <w:rsid w:val="009E43D9"/>
    <w:rPr>
      <w:szCs w:val="20"/>
    </w:rPr>
  </w:style>
  <w:style w:type="character" w:customStyle="1" w:styleId="a8">
    <w:name w:val="Основной текст Знак"/>
    <w:basedOn w:val="a0"/>
    <w:link w:val="a7"/>
    <w:rsid w:val="009E43D9"/>
    <w:rPr>
      <w:rFonts w:ascii="Times New Roman" w:eastAsia="Times New Roman" w:hAnsi="Times New Roman" w:cs="Times New Roman"/>
      <w:sz w:val="24"/>
      <w:szCs w:val="20"/>
      <w:lang w:val="en-US"/>
    </w:rPr>
  </w:style>
  <w:style w:type="paragraph" w:customStyle="1" w:styleId="cb">
    <w:name w:val="cb"/>
    <w:basedOn w:val="a"/>
    <w:uiPriority w:val="99"/>
    <w:qFormat/>
    <w:rsid w:val="003A5418"/>
    <w:pPr>
      <w:jc w:val="center"/>
    </w:pPr>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3D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3D9"/>
    <w:pPr>
      <w:tabs>
        <w:tab w:val="center" w:pos="4844"/>
        <w:tab w:val="right" w:pos="9689"/>
      </w:tabs>
    </w:pPr>
  </w:style>
  <w:style w:type="character" w:customStyle="1" w:styleId="a4">
    <w:name w:val="Верхний колонтитул Знак"/>
    <w:basedOn w:val="a0"/>
    <w:link w:val="a3"/>
    <w:uiPriority w:val="99"/>
    <w:rsid w:val="009E43D9"/>
    <w:rPr>
      <w:rFonts w:ascii="Times New Roman" w:eastAsia="Times New Roman" w:hAnsi="Times New Roman" w:cs="Times New Roman"/>
      <w:sz w:val="24"/>
      <w:szCs w:val="24"/>
      <w:lang w:val="en-US"/>
    </w:rPr>
  </w:style>
  <w:style w:type="character" w:customStyle="1" w:styleId="a5">
    <w:name w:val="Обычный (веб) Знак"/>
    <w:aliases w:val="Знак Знак, Знак Знак"/>
    <w:link w:val="a6"/>
    <w:uiPriority w:val="99"/>
    <w:locked/>
    <w:rsid w:val="009E43D9"/>
    <w:rPr>
      <w:rFonts w:ascii="Times New Roman" w:eastAsia="Times New Roman" w:hAnsi="Times New Roman" w:cs="Times New Roman"/>
      <w:sz w:val="24"/>
      <w:lang w:eastAsia="ru-RU"/>
    </w:rPr>
  </w:style>
  <w:style w:type="paragraph" w:styleId="a6">
    <w:name w:val="Normal (Web)"/>
    <w:aliases w:val="Знак, Знак"/>
    <w:basedOn w:val="a"/>
    <w:link w:val="a5"/>
    <w:uiPriority w:val="99"/>
    <w:unhideWhenUsed/>
    <w:qFormat/>
    <w:rsid w:val="009E43D9"/>
    <w:pPr>
      <w:ind w:left="720"/>
      <w:contextualSpacing/>
    </w:pPr>
    <w:rPr>
      <w:szCs w:val="22"/>
      <w:lang w:val="ru-RU" w:eastAsia="ru-RU"/>
    </w:rPr>
  </w:style>
  <w:style w:type="paragraph" w:styleId="a7">
    <w:name w:val="Body Text"/>
    <w:basedOn w:val="a"/>
    <w:link w:val="a8"/>
    <w:unhideWhenUsed/>
    <w:rsid w:val="009E43D9"/>
    <w:rPr>
      <w:szCs w:val="20"/>
    </w:rPr>
  </w:style>
  <w:style w:type="character" w:customStyle="1" w:styleId="a8">
    <w:name w:val="Основной текст Знак"/>
    <w:basedOn w:val="a0"/>
    <w:link w:val="a7"/>
    <w:rsid w:val="009E43D9"/>
    <w:rPr>
      <w:rFonts w:ascii="Times New Roman" w:eastAsia="Times New Roman" w:hAnsi="Times New Roman" w:cs="Times New Roman"/>
      <w:sz w:val="24"/>
      <w:szCs w:val="20"/>
      <w:lang w:val="en-US"/>
    </w:rPr>
  </w:style>
  <w:style w:type="paragraph" w:customStyle="1" w:styleId="cb">
    <w:name w:val="cb"/>
    <w:basedOn w:val="a"/>
    <w:uiPriority w:val="99"/>
    <w:qFormat/>
    <w:rsid w:val="003A5418"/>
    <w:pPr>
      <w:jc w:val="center"/>
    </w:pPr>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19086">
      <w:bodyDiv w:val="1"/>
      <w:marLeft w:val="0"/>
      <w:marRight w:val="0"/>
      <w:marTop w:val="0"/>
      <w:marBottom w:val="0"/>
      <w:divBdr>
        <w:top w:val="none" w:sz="0" w:space="0" w:color="auto"/>
        <w:left w:val="none" w:sz="0" w:space="0" w:color="auto"/>
        <w:bottom w:val="none" w:sz="0" w:space="0" w:color="auto"/>
        <w:right w:val="none" w:sz="0" w:space="0" w:color="auto"/>
      </w:divBdr>
    </w:div>
    <w:div w:id="1254120444">
      <w:bodyDiv w:val="1"/>
      <w:marLeft w:val="0"/>
      <w:marRight w:val="0"/>
      <w:marTop w:val="0"/>
      <w:marBottom w:val="0"/>
      <w:divBdr>
        <w:top w:val="none" w:sz="0" w:space="0" w:color="auto"/>
        <w:left w:val="none" w:sz="0" w:space="0" w:color="auto"/>
        <w:bottom w:val="none" w:sz="0" w:space="0" w:color="auto"/>
        <w:right w:val="none" w:sz="0" w:space="0" w:color="auto"/>
      </w:divBdr>
    </w:div>
    <w:div w:id="14093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851</Words>
  <Characters>4854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 Silitrari</dc:creator>
  <cp:keywords/>
  <dc:description/>
  <cp:lastModifiedBy>Anatolie Silitrari</cp:lastModifiedBy>
  <cp:revision>3</cp:revision>
  <dcterms:created xsi:type="dcterms:W3CDTF">2014-05-30T12:41:00Z</dcterms:created>
  <dcterms:modified xsi:type="dcterms:W3CDTF">2014-06-02T04:43:00Z</dcterms:modified>
</cp:coreProperties>
</file>