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54D" w:rsidRPr="00AD6F44" w:rsidRDefault="0003654D" w:rsidP="00AD6F44">
      <w:pPr>
        <w:jc w:val="center"/>
        <w:rPr>
          <w:b/>
          <w:color w:val="000000"/>
          <w:lang w:val="ro-RO"/>
        </w:rPr>
      </w:pPr>
      <w:r w:rsidRPr="00AD6F44">
        <w:rPr>
          <w:b/>
          <w:color w:val="000000"/>
          <w:lang w:val="ro-RO"/>
        </w:rPr>
        <w:t>SINTEZA AVIZELOR</w:t>
      </w:r>
    </w:p>
    <w:p w:rsidR="00AC2972" w:rsidRPr="00AD6F44" w:rsidRDefault="0003654D" w:rsidP="00AD6F44">
      <w:pPr>
        <w:jc w:val="center"/>
        <w:rPr>
          <w:b/>
          <w:color w:val="000000"/>
          <w:lang w:val="ro-RO"/>
        </w:rPr>
      </w:pPr>
      <w:r w:rsidRPr="00AD6F44">
        <w:rPr>
          <w:b/>
          <w:color w:val="000000"/>
          <w:lang w:val="ro-RO"/>
        </w:rPr>
        <w:t xml:space="preserve">la  proiectul Hotărîrii Guvernului „Cu privire la </w:t>
      </w:r>
      <w:r w:rsidR="00AC2972" w:rsidRPr="00AD6F44">
        <w:rPr>
          <w:b/>
          <w:color w:val="000000"/>
          <w:lang w:val="ro-RO"/>
        </w:rPr>
        <w:t xml:space="preserve">aprobarea </w:t>
      </w:r>
    </w:p>
    <w:p w:rsidR="001F382B" w:rsidRPr="00AD6F44" w:rsidRDefault="00AC2972" w:rsidP="00AD6F44">
      <w:pPr>
        <w:jc w:val="center"/>
        <w:rPr>
          <w:b/>
          <w:color w:val="000000"/>
          <w:lang w:val="ro-RO"/>
        </w:rPr>
      </w:pPr>
      <w:r w:rsidRPr="00AD6F44">
        <w:rPr>
          <w:b/>
          <w:color w:val="000000"/>
          <w:lang w:val="ro-RO"/>
        </w:rPr>
        <w:t xml:space="preserve">modificărilor şi completărilor  ce se operează în unele </w:t>
      </w:r>
      <w:proofErr w:type="spellStart"/>
      <w:r w:rsidRPr="00AD6F44">
        <w:rPr>
          <w:b/>
          <w:color w:val="000000"/>
          <w:lang w:val="ro-RO"/>
        </w:rPr>
        <w:t>hotărîri</w:t>
      </w:r>
      <w:proofErr w:type="spellEnd"/>
      <w:r w:rsidRPr="00AD6F44">
        <w:rPr>
          <w:b/>
          <w:color w:val="000000"/>
          <w:lang w:val="ro-RO"/>
        </w:rPr>
        <w:t xml:space="preserve"> </w:t>
      </w:r>
      <w:r w:rsidR="00AD6F44">
        <w:rPr>
          <w:b/>
          <w:color w:val="000000"/>
          <w:lang w:val="ro-RO"/>
        </w:rPr>
        <w:t>ale</w:t>
      </w:r>
      <w:r w:rsidRPr="00AD6F44">
        <w:rPr>
          <w:b/>
          <w:color w:val="000000"/>
          <w:lang w:val="ro-RO"/>
        </w:rPr>
        <w:t xml:space="preserve"> Guvern</w:t>
      </w:r>
      <w:r w:rsidR="00AD6F44">
        <w:rPr>
          <w:b/>
          <w:color w:val="000000"/>
          <w:lang w:val="ro-RO"/>
        </w:rPr>
        <w:t>ului</w:t>
      </w:r>
      <w:r w:rsidR="0003654D" w:rsidRPr="00AD6F44">
        <w:rPr>
          <w:b/>
          <w:color w:val="000000"/>
          <w:lang w:val="ro-RO"/>
        </w:rPr>
        <w:t>”</w:t>
      </w:r>
    </w:p>
    <w:p w:rsidR="00BF4021" w:rsidRPr="00AD6F44" w:rsidRDefault="00BF4021" w:rsidP="00AD6F44">
      <w:pPr>
        <w:jc w:val="center"/>
        <w:rPr>
          <w:b/>
          <w:color w:val="000000"/>
          <w:lang w:val="ro-RO"/>
        </w:rPr>
      </w:pPr>
    </w:p>
    <w:tbl>
      <w:tblPr>
        <w:tblW w:w="14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728"/>
        <w:gridCol w:w="1620"/>
        <w:gridCol w:w="5580"/>
        <w:gridCol w:w="1676"/>
        <w:gridCol w:w="3780"/>
      </w:tblGrid>
      <w:tr w:rsidR="003C092F" w:rsidRPr="00AD6F44" w:rsidTr="00BA3495">
        <w:tc>
          <w:tcPr>
            <w:tcW w:w="540" w:type="dxa"/>
            <w:shd w:val="clear" w:color="auto" w:fill="auto"/>
          </w:tcPr>
          <w:p w:rsidR="003C092F" w:rsidRPr="00AD6F44" w:rsidRDefault="003C092F" w:rsidP="00AD6F44">
            <w:pPr>
              <w:jc w:val="center"/>
              <w:rPr>
                <w:b/>
                <w:color w:val="000000"/>
                <w:lang w:val="ro-RO"/>
              </w:rPr>
            </w:pPr>
            <w:r w:rsidRPr="00AD6F44">
              <w:rPr>
                <w:b/>
                <w:color w:val="000000"/>
                <w:lang w:val="ro-RO"/>
              </w:rPr>
              <w:t>Nr/</w:t>
            </w:r>
            <w:proofErr w:type="spellStart"/>
            <w:r w:rsidRPr="00AD6F44">
              <w:rPr>
                <w:b/>
                <w:color w:val="000000"/>
                <w:lang w:val="ro-RO"/>
              </w:rPr>
              <w:t>cr</w:t>
            </w:r>
            <w:proofErr w:type="spellEnd"/>
          </w:p>
        </w:tc>
        <w:tc>
          <w:tcPr>
            <w:tcW w:w="1728" w:type="dxa"/>
            <w:shd w:val="clear" w:color="auto" w:fill="auto"/>
          </w:tcPr>
          <w:p w:rsidR="003C092F" w:rsidRPr="00AD6F44" w:rsidRDefault="003C092F" w:rsidP="00AD6F44">
            <w:pPr>
              <w:jc w:val="center"/>
              <w:rPr>
                <w:b/>
                <w:color w:val="000000"/>
                <w:lang w:val="ro-RO"/>
              </w:rPr>
            </w:pPr>
            <w:r w:rsidRPr="00AD6F44">
              <w:rPr>
                <w:b/>
                <w:color w:val="000000"/>
                <w:lang w:val="ro-RO"/>
              </w:rPr>
              <w:t xml:space="preserve">Denumirea </w:t>
            </w:r>
            <w:r w:rsidR="0003654D" w:rsidRPr="00AD6F44">
              <w:rPr>
                <w:b/>
                <w:color w:val="000000"/>
                <w:lang w:val="ro-RO"/>
              </w:rPr>
              <w:t>instituţiei</w:t>
            </w:r>
          </w:p>
        </w:tc>
        <w:tc>
          <w:tcPr>
            <w:tcW w:w="1620" w:type="dxa"/>
            <w:shd w:val="clear" w:color="auto" w:fill="auto"/>
          </w:tcPr>
          <w:p w:rsidR="00860097" w:rsidRPr="00AD6F44" w:rsidRDefault="003C092F" w:rsidP="00AD6F44">
            <w:pPr>
              <w:jc w:val="center"/>
              <w:rPr>
                <w:b/>
                <w:color w:val="000000"/>
                <w:lang w:val="ro-RO"/>
              </w:rPr>
            </w:pPr>
            <w:r w:rsidRPr="00AD6F44">
              <w:rPr>
                <w:b/>
                <w:color w:val="000000"/>
                <w:lang w:val="ro-RO"/>
              </w:rPr>
              <w:t xml:space="preserve">Articolul, </w:t>
            </w:r>
          </w:p>
          <w:p w:rsidR="003C092F" w:rsidRPr="00AD6F44" w:rsidRDefault="003C092F" w:rsidP="00AD6F44">
            <w:pPr>
              <w:jc w:val="center"/>
              <w:rPr>
                <w:b/>
                <w:color w:val="000000"/>
                <w:lang w:val="ro-RO"/>
              </w:rPr>
            </w:pPr>
            <w:r w:rsidRPr="00AD6F44">
              <w:rPr>
                <w:b/>
                <w:color w:val="000000"/>
                <w:lang w:val="ro-RO"/>
              </w:rPr>
              <w:t>punctul,</w:t>
            </w:r>
          </w:p>
          <w:p w:rsidR="003C092F" w:rsidRPr="00AD6F44" w:rsidRDefault="003C092F" w:rsidP="00AD6F44">
            <w:pPr>
              <w:jc w:val="center"/>
              <w:rPr>
                <w:b/>
                <w:color w:val="000000"/>
                <w:lang w:val="ro-RO"/>
              </w:rPr>
            </w:pPr>
            <w:r w:rsidRPr="00AD6F44">
              <w:rPr>
                <w:b/>
                <w:color w:val="000000"/>
                <w:lang w:val="ro-RO"/>
              </w:rPr>
              <w:t>aliniatul</w:t>
            </w:r>
          </w:p>
        </w:tc>
        <w:tc>
          <w:tcPr>
            <w:tcW w:w="5580" w:type="dxa"/>
            <w:shd w:val="clear" w:color="auto" w:fill="auto"/>
          </w:tcPr>
          <w:p w:rsidR="003C092F" w:rsidRPr="00AD6F44" w:rsidRDefault="0003654D" w:rsidP="00AD6F44">
            <w:pPr>
              <w:jc w:val="center"/>
              <w:rPr>
                <w:b/>
                <w:color w:val="000000"/>
                <w:lang w:val="ro-RO"/>
              </w:rPr>
            </w:pPr>
            <w:r w:rsidRPr="00AD6F44">
              <w:rPr>
                <w:b/>
                <w:color w:val="000000"/>
                <w:lang w:val="ro-RO"/>
              </w:rPr>
              <w:t>Obiecţii şi propuneri</w:t>
            </w:r>
          </w:p>
        </w:tc>
        <w:tc>
          <w:tcPr>
            <w:tcW w:w="1676" w:type="dxa"/>
            <w:shd w:val="clear" w:color="auto" w:fill="auto"/>
          </w:tcPr>
          <w:p w:rsidR="003C092F" w:rsidRPr="00AD6F44" w:rsidRDefault="003C092F" w:rsidP="00AD6F44">
            <w:pPr>
              <w:jc w:val="center"/>
              <w:rPr>
                <w:b/>
                <w:color w:val="000000"/>
                <w:lang w:val="ro-RO"/>
              </w:rPr>
            </w:pPr>
            <w:r w:rsidRPr="00AD6F44">
              <w:rPr>
                <w:b/>
                <w:color w:val="000000"/>
                <w:lang w:val="ro-RO"/>
              </w:rPr>
              <w:t>Rezultatul examinării</w:t>
            </w:r>
          </w:p>
        </w:tc>
        <w:tc>
          <w:tcPr>
            <w:tcW w:w="3780" w:type="dxa"/>
            <w:shd w:val="clear" w:color="auto" w:fill="auto"/>
          </w:tcPr>
          <w:p w:rsidR="003C092F" w:rsidRPr="00AD6F44" w:rsidRDefault="003C092F" w:rsidP="00AD6F44">
            <w:pPr>
              <w:jc w:val="center"/>
              <w:rPr>
                <w:b/>
                <w:color w:val="000000"/>
                <w:lang w:val="ro-RO"/>
              </w:rPr>
            </w:pPr>
            <w:r w:rsidRPr="00AD6F44">
              <w:rPr>
                <w:b/>
                <w:color w:val="000000"/>
                <w:lang w:val="ro-RO"/>
              </w:rPr>
              <w:t>Motivaţie</w:t>
            </w:r>
          </w:p>
        </w:tc>
      </w:tr>
      <w:tr w:rsidR="00AC2972" w:rsidRPr="004735E8" w:rsidTr="00BA3495">
        <w:tc>
          <w:tcPr>
            <w:tcW w:w="540" w:type="dxa"/>
            <w:shd w:val="clear" w:color="auto" w:fill="auto"/>
          </w:tcPr>
          <w:p w:rsidR="00AC2972" w:rsidRPr="00AD6F44" w:rsidRDefault="00AC2972" w:rsidP="00AD6F44">
            <w:pPr>
              <w:numPr>
                <w:ilvl w:val="0"/>
                <w:numId w:val="4"/>
              </w:numPr>
              <w:jc w:val="center"/>
              <w:rPr>
                <w:color w:val="000000"/>
                <w:lang w:val="ro-RO"/>
              </w:rPr>
            </w:pPr>
          </w:p>
        </w:tc>
        <w:tc>
          <w:tcPr>
            <w:tcW w:w="1728" w:type="dxa"/>
            <w:shd w:val="clear" w:color="auto" w:fill="auto"/>
          </w:tcPr>
          <w:p w:rsidR="00AC2972" w:rsidRPr="00AD6F44" w:rsidRDefault="00AC2972" w:rsidP="00AD6F44">
            <w:pPr>
              <w:jc w:val="center"/>
              <w:rPr>
                <w:color w:val="000000"/>
                <w:lang w:val="ro-RO"/>
              </w:rPr>
            </w:pPr>
            <w:r w:rsidRPr="00AD6F44">
              <w:rPr>
                <w:color w:val="000000"/>
                <w:lang w:val="ro-RO"/>
              </w:rPr>
              <w:t>Agenţia Naţională pentru Siguranţa Alimentelor</w:t>
            </w:r>
          </w:p>
        </w:tc>
        <w:tc>
          <w:tcPr>
            <w:tcW w:w="1620" w:type="dxa"/>
            <w:shd w:val="clear" w:color="auto" w:fill="auto"/>
          </w:tcPr>
          <w:p w:rsidR="00F8523D" w:rsidRPr="00AD6F44" w:rsidRDefault="00287D79" w:rsidP="00AD6F44">
            <w:pPr>
              <w:jc w:val="both"/>
              <w:rPr>
                <w:b/>
                <w:color w:val="000000"/>
                <w:lang w:val="ro-RO"/>
              </w:rPr>
            </w:pPr>
            <w:r w:rsidRPr="00AD6F44">
              <w:rPr>
                <w:b/>
                <w:color w:val="000000"/>
                <w:lang w:val="ro-RO"/>
              </w:rPr>
              <w:t>HG nr.1209</w:t>
            </w:r>
          </w:p>
          <w:p w:rsidR="00AC2972" w:rsidRPr="00AD6F44" w:rsidRDefault="00287D79" w:rsidP="00AD6F44">
            <w:pPr>
              <w:jc w:val="both"/>
              <w:rPr>
                <w:b/>
                <w:color w:val="000000"/>
                <w:lang w:val="ro-RO"/>
              </w:rPr>
            </w:pPr>
            <w:r w:rsidRPr="00AD6F44">
              <w:rPr>
                <w:b/>
                <w:color w:val="000000"/>
                <w:lang w:val="ro-RO"/>
              </w:rPr>
              <w:t>/2007</w:t>
            </w:r>
          </w:p>
          <w:p w:rsidR="00704950" w:rsidRPr="00AD6F44" w:rsidRDefault="00704950" w:rsidP="00AD6F44">
            <w:pPr>
              <w:jc w:val="both"/>
              <w:rPr>
                <w:b/>
                <w:color w:val="000000"/>
                <w:lang w:val="ro-RO"/>
              </w:rPr>
            </w:pPr>
          </w:p>
          <w:p w:rsidR="00704950" w:rsidRPr="00AD6F44" w:rsidRDefault="00704950" w:rsidP="00AD6F44">
            <w:pPr>
              <w:jc w:val="both"/>
              <w:rPr>
                <w:b/>
                <w:color w:val="000000"/>
                <w:lang w:val="ro-RO"/>
              </w:rPr>
            </w:pPr>
            <w:r w:rsidRPr="00AD6F44">
              <w:rPr>
                <w:b/>
                <w:color w:val="000000"/>
                <w:lang w:val="ro-RO"/>
              </w:rPr>
              <w:t>HG nr.931/</w:t>
            </w:r>
          </w:p>
          <w:p w:rsidR="00704950" w:rsidRPr="00AD6F44" w:rsidRDefault="00704950" w:rsidP="00AD6F44">
            <w:pPr>
              <w:jc w:val="both"/>
              <w:rPr>
                <w:b/>
                <w:color w:val="000000"/>
                <w:lang w:val="ro-RO"/>
              </w:rPr>
            </w:pPr>
            <w:r w:rsidRPr="00AD6F44">
              <w:rPr>
                <w:b/>
                <w:color w:val="000000"/>
                <w:lang w:val="ro-RO"/>
              </w:rPr>
              <w:t>2011</w:t>
            </w:r>
          </w:p>
        </w:tc>
        <w:tc>
          <w:tcPr>
            <w:tcW w:w="5580" w:type="dxa"/>
            <w:shd w:val="clear" w:color="auto" w:fill="auto"/>
          </w:tcPr>
          <w:p w:rsidR="00BA3495" w:rsidRPr="00AD6F44" w:rsidRDefault="00BA3495" w:rsidP="00AD6F44">
            <w:pPr>
              <w:tabs>
                <w:tab w:val="left" w:pos="1470"/>
              </w:tabs>
              <w:jc w:val="both"/>
              <w:rPr>
                <w:color w:val="000000"/>
                <w:lang w:val="ro-RO"/>
              </w:rPr>
            </w:pPr>
          </w:p>
          <w:p w:rsidR="00AC2972" w:rsidRPr="00AD6F44" w:rsidRDefault="00F95F5B" w:rsidP="00AD6F44">
            <w:pPr>
              <w:tabs>
                <w:tab w:val="left" w:pos="1470"/>
              </w:tabs>
              <w:jc w:val="both"/>
              <w:rPr>
                <w:color w:val="000000"/>
                <w:lang w:val="ro-RO"/>
              </w:rPr>
            </w:pPr>
            <w:r w:rsidRPr="00AD6F44">
              <w:rPr>
                <w:color w:val="000000"/>
                <w:lang w:val="ro-RO"/>
              </w:rPr>
              <w:t>D</w:t>
            </w:r>
            <w:r w:rsidR="00AC2972" w:rsidRPr="00AD6F44">
              <w:rPr>
                <w:color w:val="000000"/>
                <w:lang w:val="ro-RO"/>
              </w:rPr>
              <w:t xml:space="preserve">e acord cu </w:t>
            </w:r>
            <w:r w:rsidR="00287D79" w:rsidRPr="00AD6F44">
              <w:rPr>
                <w:color w:val="000000"/>
                <w:lang w:val="ro-RO"/>
              </w:rPr>
              <w:t>propunerile elaborate şi le consideră</w:t>
            </w:r>
            <w:r w:rsidR="00704950" w:rsidRPr="00AD6F44">
              <w:rPr>
                <w:color w:val="000000"/>
                <w:lang w:val="ro-RO"/>
              </w:rPr>
              <w:t xml:space="preserve"> oportune şi actuale</w:t>
            </w:r>
            <w:r w:rsidR="00AC2972" w:rsidRPr="00AD6F44">
              <w:rPr>
                <w:color w:val="000000"/>
                <w:lang w:val="ro-RO"/>
              </w:rPr>
              <w:t>.</w:t>
            </w:r>
          </w:p>
          <w:p w:rsidR="00AC2972" w:rsidRPr="00AD6F44" w:rsidRDefault="00AC2972" w:rsidP="00AD6F44">
            <w:pPr>
              <w:tabs>
                <w:tab w:val="left" w:pos="1470"/>
              </w:tabs>
              <w:jc w:val="both"/>
              <w:rPr>
                <w:color w:val="000000"/>
                <w:lang w:val="ro-RO"/>
              </w:rPr>
            </w:pPr>
          </w:p>
        </w:tc>
        <w:tc>
          <w:tcPr>
            <w:tcW w:w="1676" w:type="dxa"/>
            <w:shd w:val="clear" w:color="auto" w:fill="auto"/>
          </w:tcPr>
          <w:p w:rsidR="00AC2972" w:rsidRPr="00AD6F44" w:rsidRDefault="00AC2972" w:rsidP="00AD6F44">
            <w:pPr>
              <w:rPr>
                <w:color w:val="000000"/>
                <w:lang w:val="ro-RO"/>
              </w:rPr>
            </w:pPr>
          </w:p>
        </w:tc>
        <w:tc>
          <w:tcPr>
            <w:tcW w:w="3780" w:type="dxa"/>
            <w:shd w:val="clear" w:color="auto" w:fill="auto"/>
          </w:tcPr>
          <w:p w:rsidR="00AC2972" w:rsidRPr="00AD6F44" w:rsidRDefault="00AC2972" w:rsidP="00AD6F44">
            <w:pPr>
              <w:jc w:val="both"/>
              <w:rPr>
                <w:color w:val="000000"/>
                <w:lang w:val="ro-RO"/>
              </w:rPr>
            </w:pPr>
          </w:p>
        </w:tc>
      </w:tr>
      <w:tr w:rsidR="00F478FC" w:rsidRPr="004735E8" w:rsidTr="00BA3495">
        <w:tc>
          <w:tcPr>
            <w:tcW w:w="540" w:type="dxa"/>
            <w:shd w:val="clear" w:color="auto" w:fill="auto"/>
          </w:tcPr>
          <w:p w:rsidR="00F478FC" w:rsidRPr="00AD6F44" w:rsidRDefault="00F478FC" w:rsidP="00AD6F44">
            <w:pPr>
              <w:numPr>
                <w:ilvl w:val="0"/>
                <w:numId w:val="4"/>
              </w:numPr>
              <w:jc w:val="center"/>
              <w:rPr>
                <w:color w:val="000000"/>
                <w:lang w:val="ro-RO"/>
              </w:rPr>
            </w:pPr>
          </w:p>
        </w:tc>
        <w:tc>
          <w:tcPr>
            <w:tcW w:w="1728" w:type="dxa"/>
            <w:shd w:val="clear" w:color="auto" w:fill="auto"/>
          </w:tcPr>
          <w:p w:rsidR="00F478FC" w:rsidRDefault="00F478FC" w:rsidP="00317EA9">
            <w:pPr>
              <w:jc w:val="center"/>
              <w:rPr>
                <w:color w:val="000000"/>
                <w:lang w:val="ro-RO"/>
              </w:rPr>
            </w:pPr>
            <w:r w:rsidRPr="00AD6F44">
              <w:rPr>
                <w:color w:val="000000"/>
                <w:lang w:val="ro-RO"/>
              </w:rPr>
              <w:t>Centrul Naţional de Sănătate Publică</w:t>
            </w:r>
          </w:p>
          <w:p w:rsidR="00F478FC" w:rsidRPr="00AD6F44" w:rsidRDefault="00F478FC" w:rsidP="00317EA9">
            <w:pPr>
              <w:jc w:val="center"/>
              <w:rPr>
                <w:color w:val="000000"/>
                <w:lang w:val="ro-RO"/>
              </w:rPr>
            </w:pPr>
          </w:p>
        </w:tc>
        <w:tc>
          <w:tcPr>
            <w:tcW w:w="1620" w:type="dxa"/>
            <w:shd w:val="clear" w:color="auto" w:fill="auto"/>
          </w:tcPr>
          <w:p w:rsidR="00F478FC" w:rsidRPr="00AD6F44" w:rsidRDefault="00F478FC" w:rsidP="00317EA9">
            <w:pPr>
              <w:jc w:val="both"/>
              <w:rPr>
                <w:b/>
                <w:color w:val="000000"/>
                <w:lang w:val="ro-RO"/>
              </w:rPr>
            </w:pPr>
            <w:r w:rsidRPr="00AD6F44">
              <w:rPr>
                <w:b/>
                <w:color w:val="000000"/>
                <w:lang w:val="ro-RO"/>
              </w:rPr>
              <w:t>HG nr.1209/</w:t>
            </w:r>
          </w:p>
          <w:p w:rsidR="00F478FC" w:rsidRPr="00AD6F44" w:rsidRDefault="00F478FC" w:rsidP="00317EA9">
            <w:pPr>
              <w:jc w:val="both"/>
              <w:rPr>
                <w:color w:val="000000"/>
                <w:lang w:val="ro-RO"/>
              </w:rPr>
            </w:pPr>
            <w:r w:rsidRPr="00AD6F44">
              <w:rPr>
                <w:b/>
                <w:color w:val="000000"/>
                <w:lang w:val="ro-RO"/>
              </w:rPr>
              <w:t xml:space="preserve">2007, </w:t>
            </w:r>
            <w:r w:rsidRPr="00AD6F44">
              <w:rPr>
                <w:color w:val="000000"/>
                <w:lang w:val="ro-RO"/>
              </w:rPr>
              <w:t>Anexa nr.4, pct.7</w:t>
            </w:r>
          </w:p>
          <w:p w:rsidR="00F478FC" w:rsidRPr="00AD6F44" w:rsidRDefault="00F478FC" w:rsidP="00317EA9">
            <w:pPr>
              <w:jc w:val="both"/>
              <w:rPr>
                <w:b/>
                <w:color w:val="000000"/>
                <w:lang w:val="ro-RO"/>
              </w:rPr>
            </w:pPr>
          </w:p>
          <w:p w:rsidR="00F478FC" w:rsidRPr="00AD6F44" w:rsidRDefault="00F478FC" w:rsidP="00317EA9">
            <w:pPr>
              <w:jc w:val="both"/>
              <w:rPr>
                <w:b/>
                <w:color w:val="000000"/>
                <w:lang w:val="ro-RO"/>
              </w:rPr>
            </w:pPr>
          </w:p>
          <w:p w:rsidR="00F478FC" w:rsidRPr="00AD6F44" w:rsidRDefault="00F478FC" w:rsidP="00317EA9">
            <w:pPr>
              <w:jc w:val="both"/>
              <w:rPr>
                <w:b/>
                <w:color w:val="000000"/>
                <w:lang w:val="ro-RO"/>
              </w:rPr>
            </w:pPr>
          </w:p>
          <w:p w:rsidR="00F478FC" w:rsidRPr="00AD6F44" w:rsidRDefault="00F478FC" w:rsidP="00317EA9">
            <w:pPr>
              <w:jc w:val="both"/>
              <w:rPr>
                <w:b/>
                <w:color w:val="000000"/>
                <w:lang w:val="ro-RO"/>
              </w:rPr>
            </w:pPr>
          </w:p>
          <w:p w:rsidR="00F478FC" w:rsidRPr="00AD6F44" w:rsidRDefault="00F478FC" w:rsidP="00317EA9">
            <w:pPr>
              <w:jc w:val="both"/>
              <w:rPr>
                <w:color w:val="000000"/>
                <w:lang w:val="ro-RO"/>
              </w:rPr>
            </w:pPr>
            <w:r w:rsidRPr="00AD6F44">
              <w:rPr>
                <w:color w:val="000000"/>
                <w:lang w:val="ro-RO"/>
              </w:rPr>
              <w:t>Pct.191</w:t>
            </w:r>
          </w:p>
          <w:p w:rsidR="00F478FC" w:rsidRPr="00AD6F44" w:rsidRDefault="00F478FC" w:rsidP="00317EA9">
            <w:pPr>
              <w:jc w:val="both"/>
              <w:rPr>
                <w:b/>
                <w:color w:val="000000"/>
                <w:lang w:val="ro-RO"/>
              </w:rPr>
            </w:pPr>
          </w:p>
          <w:p w:rsidR="00F478FC" w:rsidRPr="00AD6F44" w:rsidRDefault="00F478FC" w:rsidP="00317EA9">
            <w:pPr>
              <w:jc w:val="both"/>
              <w:rPr>
                <w:b/>
                <w:color w:val="000000"/>
                <w:lang w:val="ro-RO"/>
              </w:rPr>
            </w:pPr>
          </w:p>
        </w:tc>
        <w:tc>
          <w:tcPr>
            <w:tcW w:w="5580" w:type="dxa"/>
            <w:shd w:val="clear" w:color="auto" w:fill="auto"/>
          </w:tcPr>
          <w:p w:rsidR="00F478FC" w:rsidRPr="00AD6F44" w:rsidRDefault="00F478FC" w:rsidP="00317EA9">
            <w:pPr>
              <w:tabs>
                <w:tab w:val="left" w:pos="1470"/>
              </w:tabs>
              <w:jc w:val="both"/>
              <w:rPr>
                <w:color w:val="000000"/>
                <w:lang w:val="ro-RO"/>
              </w:rPr>
            </w:pPr>
            <w:r w:rsidRPr="00AD6F44">
              <w:rPr>
                <w:color w:val="000000"/>
                <w:lang w:val="ro-RO"/>
              </w:rPr>
              <w:t>- de suplimentat după cuvintele „Agenţiei Naţionale pentru Siguranţa Alimentelor” cu sintagma „şi instituţiilor Serviciului de Supraveghere de Stat a Sănătăţii Publice”;</w:t>
            </w:r>
          </w:p>
          <w:p w:rsidR="00F478FC" w:rsidRPr="00AD6F44" w:rsidRDefault="00F478FC" w:rsidP="00317EA9">
            <w:pPr>
              <w:tabs>
                <w:tab w:val="left" w:pos="1470"/>
              </w:tabs>
              <w:jc w:val="both"/>
              <w:rPr>
                <w:color w:val="000000"/>
                <w:lang w:val="ro-RO"/>
              </w:rPr>
            </w:pPr>
          </w:p>
          <w:p w:rsidR="00F478FC" w:rsidRPr="00AD6F44" w:rsidRDefault="00F478FC" w:rsidP="00317EA9">
            <w:pPr>
              <w:tabs>
                <w:tab w:val="left" w:pos="1470"/>
              </w:tabs>
              <w:jc w:val="both"/>
              <w:rPr>
                <w:color w:val="000000"/>
                <w:lang w:val="ro-RO"/>
              </w:rPr>
            </w:pPr>
          </w:p>
          <w:p w:rsidR="00F478FC" w:rsidRPr="00AD6F44" w:rsidRDefault="00F478FC" w:rsidP="00317EA9">
            <w:pPr>
              <w:tabs>
                <w:tab w:val="left" w:pos="1470"/>
              </w:tabs>
              <w:jc w:val="both"/>
              <w:rPr>
                <w:color w:val="000000"/>
                <w:lang w:val="ro-RO"/>
              </w:rPr>
            </w:pPr>
          </w:p>
          <w:p w:rsidR="00F478FC" w:rsidRPr="00AD6F44" w:rsidRDefault="00F478FC" w:rsidP="00317EA9">
            <w:pPr>
              <w:tabs>
                <w:tab w:val="left" w:pos="1470"/>
              </w:tabs>
              <w:jc w:val="both"/>
              <w:rPr>
                <w:color w:val="000000"/>
                <w:lang w:val="ro-RO"/>
              </w:rPr>
            </w:pPr>
            <w:r w:rsidRPr="00AD6F44">
              <w:rPr>
                <w:color w:val="000000"/>
                <w:lang w:val="ro-RO"/>
              </w:rPr>
              <w:t>- de substituit cuvintele „ale Centrului Naţional de Sănătate Publică” cu cuvintele „instituţiile Serviciului de Supraveghere de Stat a Sănătăţii Publice” şi în continuare după text.</w:t>
            </w:r>
          </w:p>
        </w:tc>
        <w:tc>
          <w:tcPr>
            <w:tcW w:w="1676" w:type="dxa"/>
            <w:shd w:val="clear" w:color="auto" w:fill="auto"/>
          </w:tcPr>
          <w:p w:rsidR="00F478FC" w:rsidRPr="00AD6F44" w:rsidRDefault="00F478FC" w:rsidP="00317EA9">
            <w:pPr>
              <w:rPr>
                <w:color w:val="000000"/>
                <w:lang w:val="ro-RO"/>
              </w:rPr>
            </w:pPr>
            <w:r w:rsidRPr="00AD6F44">
              <w:rPr>
                <w:color w:val="000000"/>
                <w:lang w:val="ro-RO"/>
              </w:rPr>
              <w:t>Se acceptă</w:t>
            </w:r>
            <w:r>
              <w:rPr>
                <w:color w:val="000000"/>
                <w:lang w:val="ro-RO"/>
              </w:rPr>
              <w:t xml:space="preserve"> parţial</w:t>
            </w:r>
          </w:p>
          <w:p w:rsidR="00F478FC" w:rsidRPr="00AD6F44" w:rsidRDefault="00F478FC" w:rsidP="00317EA9">
            <w:pPr>
              <w:rPr>
                <w:color w:val="000000"/>
                <w:lang w:val="ro-RO"/>
              </w:rPr>
            </w:pPr>
          </w:p>
          <w:p w:rsidR="00F478FC" w:rsidRPr="00AD6F44" w:rsidRDefault="00F478FC" w:rsidP="00317EA9">
            <w:pPr>
              <w:rPr>
                <w:color w:val="000000"/>
                <w:lang w:val="ro-RO"/>
              </w:rPr>
            </w:pPr>
          </w:p>
          <w:p w:rsidR="00F478FC" w:rsidRPr="00AD6F44" w:rsidRDefault="00F478FC" w:rsidP="00317EA9">
            <w:pPr>
              <w:rPr>
                <w:color w:val="000000"/>
                <w:lang w:val="ro-RO"/>
              </w:rPr>
            </w:pPr>
          </w:p>
          <w:p w:rsidR="00F478FC" w:rsidRPr="00AD6F44" w:rsidRDefault="00F478FC" w:rsidP="00317EA9">
            <w:pPr>
              <w:rPr>
                <w:color w:val="000000"/>
                <w:lang w:val="ro-RO"/>
              </w:rPr>
            </w:pPr>
          </w:p>
          <w:p w:rsidR="00F478FC" w:rsidRPr="00AD6F44" w:rsidRDefault="00F478FC" w:rsidP="00317EA9">
            <w:pPr>
              <w:rPr>
                <w:color w:val="000000"/>
                <w:lang w:val="ro-RO"/>
              </w:rPr>
            </w:pPr>
          </w:p>
          <w:p w:rsidR="00F478FC" w:rsidRPr="00AD6F44" w:rsidRDefault="00F478FC" w:rsidP="00317EA9">
            <w:pPr>
              <w:rPr>
                <w:color w:val="000000"/>
                <w:lang w:val="ro-RO"/>
              </w:rPr>
            </w:pPr>
          </w:p>
          <w:p w:rsidR="00F478FC" w:rsidRPr="00AD6F44" w:rsidRDefault="00F478FC" w:rsidP="00317EA9">
            <w:pPr>
              <w:rPr>
                <w:color w:val="000000"/>
                <w:lang w:val="ro-RO"/>
              </w:rPr>
            </w:pPr>
            <w:r w:rsidRPr="00AD6F44">
              <w:rPr>
                <w:color w:val="000000"/>
                <w:lang w:val="ro-RO"/>
              </w:rPr>
              <w:t>Se acceptă</w:t>
            </w:r>
          </w:p>
          <w:p w:rsidR="00F478FC" w:rsidRPr="00AD6F44" w:rsidRDefault="00F478FC" w:rsidP="00317EA9">
            <w:pPr>
              <w:rPr>
                <w:color w:val="000000"/>
                <w:lang w:val="ro-RO"/>
              </w:rPr>
            </w:pPr>
          </w:p>
        </w:tc>
        <w:tc>
          <w:tcPr>
            <w:tcW w:w="3780" w:type="dxa"/>
            <w:shd w:val="clear" w:color="auto" w:fill="auto"/>
          </w:tcPr>
          <w:p w:rsidR="00F478FC" w:rsidRPr="00AD6F44" w:rsidRDefault="00F478FC" w:rsidP="00317EA9">
            <w:pPr>
              <w:jc w:val="both"/>
              <w:rPr>
                <w:color w:val="000000"/>
                <w:lang w:val="ro-RO"/>
              </w:rPr>
            </w:pPr>
            <w:r w:rsidRPr="00AD6F44">
              <w:rPr>
                <w:color w:val="000000"/>
                <w:lang w:val="ro-RO"/>
              </w:rPr>
              <w:t xml:space="preserve">Cu completarea în final cu sintagma „în limita competenţelor funcţionale conform Legii nr. 113 din 18 mai 2012 </w:t>
            </w:r>
            <w:r w:rsidRPr="00AD6F44">
              <w:rPr>
                <w:bCs/>
                <w:color w:val="000000"/>
                <w:lang w:val="ro-RO"/>
              </w:rPr>
              <w:t>cu privire la stabilirea principiilor şi a cerinţelor generale ale legislaţiei privind siguranţa alimentelor”.</w:t>
            </w:r>
          </w:p>
        </w:tc>
      </w:tr>
      <w:tr w:rsidR="004735E8" w:rsidRPr="004735E8" w:rsidTr="00BA3495">
        <w:tc>
          <w:tcPr>
            <w:tcW w:w="540" w:type="dxa"/>
            <w:shd w:val="clear" w:color="auto" w:fill="auto"/>
          </w:tcPr>
          <w:p w:rsidR="004735E8" w:rsidRPr="00AD6F44" w:rsidRDefault="004735E8" w:rsidP="00AD6F44">
            <w:pPr>
              <w:numPr>
                <w:ilvl w:val="0"/>
                <w:numId w:val="4"/>
              </w:numPr>
              <w:jc w:val="center"/>
              <w:rPr>
                <w:color w:val="000000"/>
                <w:lang w:val="ro-RO"/>
              </w:rPr>
            </w:pPr>
          </w:p>
        </w:tc>
        <w:tc>
          <w:tcPr>
            <w:tcW w:w="1728" w:type="dxa"/>
            <w:shd w:val="clear" w:color="auto" w:fill="auto"/>
          </w:tcPr>
          <w:p w:rsidR="004735E8" w:rsidRPr="00AD6F44" w:rsidRDefault="004735E8" w:rsidP="00AD6F44">
            <w:pPr>
              <w:jc w:val="center"/>
              <w:rPr>
                <w:color w:val="000000"/>
                <w:lang w:val="ro-RO"/>
              </w:rPr>
            </w:pPr>
            <w:r>
              <w:rPr>
                <w:color w:val="000000"/>
                <w:lang w:val="ro-RO"/>
              </w:rPr>
              <w:t>Agenţia pentru protecţia consumatorilor</w:t>
            </w:r>
          </w:p>
        </w:tc>
        <w:tc>
          <w:tcPr>
            <w:tcW w:w="1620" w:type="dxa"/>
            <w:shd w:val="clear" w:color="auto" w:fill="auto"/>
          </w:tcPr>
          <w:p w:rsidR="004735E8" w:rsidRDefault="004735E8" w:rsidP="009B20C4">
            <w:pPr>
              <w:jc w:val="both"/>
              <w:rPr>
                <w:b/>
                <w:color w:val="000000"/>
                <w:lang w:val="ro-RO"/>
              </w:rPr>
            </w:pPr>
            <w:r>
              <w:rPr>
                <w:b/>
                <w:color w:val="000000"/>
                <w:lang w:val="ro-RO"/>
              </w:rPr>
              <w:t>HG</w:t>
            </w:r>
            <w:r w:rsidRPr="00AD6F44">
              <w:rPr>
                <w:b/>
                <w:color w:val="000000"/>
                <w:lang w:val="ro-RO"/>
              </w:rPr>
              <w:t>1209/2007</w:t>
            </w:r>
          </w:p>
          <w:p w:rsidR="004735E8" w:rsidRPr="00AD6F44" w:rsidRDefault="004735E8" w:rsidP="009B20C4">
            <w:pPr>
              <w:jc w:val="both"/>
              <w:rPr>
                <w:b/>
                <w:color w:val="000000"/>
                <w:lang w:val="ro-RO"/>
              </w:rPr>
            </w:pPr>
          </w:p>
          <w:p w:rsidR="004735E8" w:rsidRPr="00AD6F44" w:rsidRDefault="004735E8" w:rsidP="004735E8">
            <w:pPr>
              <w:jc w:val="both"/>
              <w:rPr>
                <w:b/>
                <w:color w:val="000000"/>
                <w:lang w:val="ro-RO"/>
              </w:rPr>
            </w:pPr>
            <w:r>
              <w:rPr>
                <w:b/>
                <w:color w:val="000000"/>
                <w:lang w:val="ro-RO"/>
              </w:rPr>
              <w:t xml:space="preserve">HG  </w:t>
            </w:r>
            <w:r w:rsidRPr="00AD6F44">
              <w:rPr>
                <w:b/>
                <w:color w:val="000000"/>
                <w:lang w:val="ro-RO"/>
              </w:rPr>
              <w:t>931/2011</w:t>
            </w:r>
          </w:p>
        </w:tc>
        <w:tc>
          <w:tcPr>
            <w:tcW w:w="5580" w:type="dxa"/>
            <w:shd w:val="clear" w:color="auto" w:fill="auto"/>
          </w:tcPr>
          <w:p w:rsidR="004735E8" w:rsidRDefault="004735E8" w:rsidP="00AD6F44">
            <w:pPr>
              <w:tabs>
                <w:tab w:val="left" w:pos="1470"/>
              </w:tabs>
              <w:jc w:val="both"/>
              <w:rPr>
                <w:color w:val="000000"/>
                <w:lang w:val="ro-RO"/>
              </w:rPr>
            </w:pPr>
          </w:p>
          <w:p w:rsidR="00656184" w:rsidRPr="00AD6F44" w:rsidRDefault="00656184" w:rsidP="00AD6F44">
            <w:pPr>
              <w:tabs>
                <w:tab w:val="left" w:pos="1470"/>
              </w:tabs>
              <w:jc w:val="both"/>
              <w:rPr>
                <w:color w:val="000000"/>
                <w:lang w:val="ro-RO"/>
              </w:rPr>
            </w:pPr>
            <w:r>
              <w:rPr>
                <w:color w:val="000000"/>
                <w:lang w:val="ro-RO"/>
              </w:rPr>
              <w:t>Lipsa de propuneri sau obiecţii.</w:t>
            </w:r>
          </w:p>
        </w:tc>
        <w:tc>
          <w:tcPr>
            <w:tcW w:w="1676" w:type="dxa"/>
            <w:shd w:val="clear" w:color="auto" w:fill="auto"/>
          </w:tcPr>
          <w:p w:rsidR="004735E8" w:rsidRPr="00AD6F44" w:rsidRDefault="004735E8" w:rsidP="00AD6F44">
            <w:pPr>
              <w:rPr>
                <w:color w:val="000000"/>
                <w:lang w:val="ro-RO"/>
              </w:rPr>
            </w:pPr>
          </w:p>
        </w:tc>
        <w:tc>
          <w:tcPr>
            <w:tcW w:w="3780" w:type="dxa"/>
            <w:shd w:val="clear" w:color="auto" w:fill="auto"/>
          </w:tcPr>
          <w:p w:rsidR="004735E8" w:rsidRPr="00AD6F44" w:rsidRDefault="004735E8" w:rsidP="00AD6F44">
            <w:pPr>
              <w:jc w:val="both"/>
              <w:rPr>
                <w:color w:val="000000"/>
                <w:lang w:val="ro-RO"/>
              </w:rPr>
            </w:pPr>
          </w:p>
        </w:tc>
      </w:tr>
      <w:tr w:rsidR="004735E8" w:rsidRPr="004735E8" w:rsidTr="00BA3495">
        <w:tc>
          <w:tcPr>
            <w:tcW w:w="540" w:type="dxa"/>
            <w:shd w:val="clear" w:color="auto" w:fill="auto"/>
          </w:tcPr>
          <w:p w:rsidR="004735E8" w:rsidRPr="00AD6F44" w:rsidRDefault="004735E8" w:rsidP="00AD6F44">
            <w:pPr>
              <w:numPr>
                <w:ilvl w:val="0"/>
                <w:numId w:val="4"/>
              </w:numPr>
              <w:jc w:val="center"/>
              <w:rPr>
                <w:color w:val="000000"/>
                <w:lang w:val="ro-RO"/>
              </w:rPr>
            </w:pPr>
          </w:p>
        </w:tc>
        <w:tc>
          <w:tcPr>
            <w:tcW w:w="1728" w:type="dxa"/>
            <w:shd w:val="clear" w:color="auto" w:fill="auto"/>
          </w:tcPr>
          <w:p w:rsidR="004735E8" w:rsidRPr="00AD6F44" w:rsidRDefault="004735E8" w:rsidP="00AD6F44">
            <w:pPr>
              <w:jc w:val="center"/>
              <w:rPr>
                <w:color w:val="000000"/>
                <w:lang w:val="ro-RO"/>
              </w:rPr>
            </w:pPr>
            <w:r w:rsidRPr="00AD6F44">
              <w:rPr>
                <w:color w:val="000000"/>
                <w:lang w:val="ro-RO"/>
              </w:rPr>
              <w:t>Ministerul Finanțelor</w:t>
            </w:r>
          </w:p>
        </w:tc>
        <w:tc>
          <w:tcPr>
            <w:tcW w:w="1620" w:type="dxa"/>
            <w:shd w:val="clear" w:color="auto" w:fill="auto"/>
          </w:tcPr>
          <w:p w:rsidR="004735E8" w:rsidRPr="00AD6F44" w:rsidRDefault="004735E8" w:rsidP="00AD6F44">
            <w:pPr>
              <w:jc w:val="both"/>
              <w:rPr>
                <w:b/>
                <w:color w:val="000000"/>
                <w:lang w:val="ro-RO"/>
              </w:rPr>
            </w:pPr>
            <w:r w:rsidRPr="00AD6F44">
              <w:rPr>
                <w:b/>
                <w:color w:val="000000"/>
                <w:lang w:val="ro-RO"/>
              </w:rPr>
              <w:t>HG nr.1209</w:t>
            </w:r>
          </w:p>
          <w:p w:rsidR="004735E8" w:rsidRPr="00AD6F44" w:rsidRDefault="004735E8" w:rsidP="00AD6F44">
            <w:pPr>
              <w:jc w:val="both"/>
              <w:rPr>
                <w:color w:val="000000"/>
                <w:lang w:val="ro-RO"/>
              </w:rPr>
            </w:pPr>
            <w:r w:rsidRPr="00AD6F44">
              <w:rPr>
                <w:b/>
                <w:color w:val="000000"/>
                <w:lang w:val="ro-RO"/>
              </w:rPr>
              <w:t xml:space="preserve">/2007, </w:t>
            </w:r>
            <w:r w:rsidRPr="00AD6F44">
              <w:rPr>
                <w:color w:val="000000"/>
                <w:lang w:val="ro-RO"/>
              </w:rPr>
              <w:t>4)</w:t>
            </w:r>
          </w:p>
          <w:p w:rsidR="004735E8" w:rsidRPr="00AD6F44" w:rsidRDefault="004735E8" w:rsidP="00AD6F44">
            <w:pPr>
              <w:jc w:val="both"/>
              <w:rPr>
                <w:color w:val="000000"/>
                <w:lang w:val="ro-RO"/>
              </w:rPr>
            </w:pPr>
            <w:r w:rsidRPr="00AD6F44">
              <w:rPr>
                <w:color w:val="000000"/>
                <w:lang w:val="ro-RO"/>
              </w:rPr>
              <w:t>Anexa nr.1</w:t>
            </w:r>
          </w:p>
          <w:p w:rsidR="004735E8" w:rsidRPr="00AD6F44" w:rsidRDefault="004735E8" w:rsidP="00AD6F44">
            <w:pPr>
              <w:jc w:val="both"/>
              <w:rPr>
                <w:b/>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Default="004735E8" w:rsidP="00AD6F44">
            <w:pPr>
              <w:jc w:val="both"/>
              <w:rPr>
                <w:color w:val="000000"/>
                <w:lang w:val="ro-RO"/>
              </w:rPr>
            </w:pPr>
          </w:p>
          <w:p w:rsidR="004735E8" w:rsidRPr="00AD6F44" w:rsidRDefault="004735E8" w:rsidP="00AD6F44">
            <w:pPr>
              <w:jc w:val="both"/>
              <w:rPr>
                <w:color w:val="000000"/>
                <w:lang w:val="ro-RO"/>
              </w:rPr>
            </w:pPr>
            <w:r w:rsidRPr="00AD6F44">
              <w:rPr>
                <w:color w:val="000000"/>
                <w:lang w:val="ro-RO"/>
              </w:rPr>
              <w:t>punctul 39</w:t>
            </w: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r w:rsidRPr="00AD6F44">
              <w:rPr>
                <w:b/>
                <w:color w:val="000000"/>
                <w:lang w:val="ro-RO"/>
              </w:rPr>
              <w:t>HG nr.931/</w:t>
            </w:r>
          </w:p>
          <w:p w:rsidR="004735E8" w:rsidRPr="00AD6F44" w:rsidRDefault="004735E8" w:rsidP="00AD6F44">
            <w:pPr>
              <w:jc w:val="both"/>
              <w:rPr>
                <w:b/>
                <w:color w:val="000000"/>
                <w:lang w:val="ro-RO"/>
              </w:rPr>
            </w:pPr>
            <w:r w:rsidRPr="00AD6F44">
              <w:rPr>
                <w:b/>
                <w:color w:val="000000"/>
                <w:lang w:val="ro-RO"/>
              </w:rPr>
              <w:t xml:space="preserve">2011, </w:t>
            </w:r>
          </w:p>
          <w:p w:rsidR="004735E8" w:rsidRPr="00AD6F44" w:rsidRDefault="004735E8" w:rsidP="00AD6F44">
            <w:pPr>
              <w:jc w:val="both"/>
              <w:rPr>
                <w:color w:val="000000"/>
                <w:lang w:val="ro-RO"/>
              </w:rPr>
            </w:pPr>
            <w:r w:rsidRPr="00AD6F44">
              <w:rPr>
                <w:color w:val="000000"/>
                <w:lang w:val="ro-RO"/>
              </w:rPr>
              <w:t xml:space="preserve">anexa nr. 2, </w:t>
            </w:r>
          </w:p>
          <w:p w:rsidR="004735E8" w:rsidRPr="00AD6F44" w:rsidRDefault="004735E8" w:rsidP="00AD6F44">
            <w:pPr>
              <w:jc w:val="both"/>
              <w:rPr>
                <w:color w:val="000000"/>
                <w:lang w:val="ro-RO"/>
              </w:rPr>
            </w:pPr>
            <w:r w:rsidRPr="00AD6F44">
              <w:rPr>
                <w:lang w:val="ro-RO"/>
              </w:rPr>
              <w:t>capitolul I</w:t>
            </w: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r w:rsidRPr="00AD6F44">
              <w:rPr>
                <w:color w:val="000000"/>
                <w:lang w:val="ro-RO"/>
              </w:rPr>
              <w:t>capitolul II, pct. 1</w:t>
            </w: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r w:rsidRPr="00AD6F44">
              <w:rPr>
                <w:color w:val="000000"/>
                <w:lang w:val="ro-RO"/>
              </w:rPr>
              <w:t>pct. 3</w:t>
            </w:r>
          </w:p>
          <w:p w:rsidR="004735E8" w:rsidRPr="00AD6F44" w:rsidRDefault="004735E8" w:rsidP="00AD6F44">
            <w:pPr>
              <w:jc w:val="both"/>
              <w:rPr>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tc>
        <w:tc>
          <w:tcPr>
            <w:tcW w:w="5580" w:type="dxa"/>
            <w:shd w:val="clear" w:color="auto" w:fill="auto"/>
          </w:tcPr>
          <w:p w:rsidR="004735E8" w:rsidRPr="00AD6F44" w:rsidRDefault="004735E8" w:rsidP="00AD6F44">
            <w:pPr>
              <w:tabs>
                <w:tab w:val="left" w:pos="1470"/>
              </w:tabs>
              <w:jc w:val="both"/>
              <w:rPr>
                <w:color w:val="000000"/>
                <w:lang w:val="ro-RO"/>
              </w:rPr>
            </w:pPr>
            <w:r w:rsidRPr="00AD6F44">
              <w:rPr>
                <w:color w:val="000000"/>
                <w:lang w:val="ro-RO"/>
              </w:rPr>
              <w:t>- La punctul 20, se propune menţinerea sintagmei „ ,care anticipat trebuie să fie coordonate cu consiliile culinare locale (raionale, orăşeneşti, municipale)”.</w:t>
            </w:r>
          </w:p>
          <w:p w:rsidR="004735E8" w:rsidRPr="00AD6F44" w:rsidRDefault="004735E8" w:rsidP="00AD6F44">
            <w:pPr>
              <w:jc w:val="both"/>
              <w:rPr>
                <w:lang w:val="ro-RO"/>
              </w:rPr>
            </w:pPr>
          </w:p>
          <w:p w:rsidR="004735E8" w:rsidRPr="00AD6F44" w:rsidRDefault="004735E8" w:rsidP="00AD6F44">
            <w:pPr>
              <w:jc w:val="both"/>
              <w:rPr>
                <w:lang w:val="ro-RO"/>
              </w:rPr>
            </w:pPr>
          </w:p>
          <w:p w:rsidR="004735E8" w:rsidRPr="00AD6F44" w:rsidRDefault="004735E8" w:rsidP="00AD6F44">
            <w:pPr>
              <w:jc w:val="both"/>
              <w:rPr>
                <w:lang w:val="ro-RO"/>
              </w:rPr>
            </w:pPr>
          </w:p>
          <w:p w:rsidR="004735E8" w:rsidRDefault="004735E8" w:rsidP="00AD6F44">
            <w:pPr>
              <w:jc w:val="both"/>
              <w:rPr>
                <w:lang w:val="ro-RO"/>
              </w:rPr>
            </w:pPr>
          </w:p>
          <w:p w:rsidR="004735E8" w:rsidRDefault="004735E8" w:rsidP="00AD6F44">
            <w:pPr>
              <w:jc w:val="both"/>
              <w:rPr>
                <w:lang w:val="ro-RO"/>
              </w:rPr>
            </w:pPr>
          </w:p>
          <w:p w:rsidR="004735E8" w:rsidRPr="00AD6F44" w:rsidRDefault="004735E8" w:rsidP="00AD6F44">
            <w:pPr>
              <w:jc w:val="both"/>
              <w:rPr>
                <w:lang w:val="ro-RO"/>
              </w:rPr>
            </w:pPr>
            <w:r w:rsidRPr="00AD6F44">
              <w:rPr>
                <w:lang w:val="ro-RO"/>
              </w:rPr>
              <w:t>- sintagma „racordat la cheltuielile operaţionale suportate” se substituie cu sintagma „la totalul cheltuielilor activităţii operaţionale, cu excepţia cheltuielilor de servire a produselor”.</w:t>
            </w:r>
          </w:p>
          <w:p w:rsidR="004735E8" w:rsidRPr="00AD6F44" w:rsidRDefault="004735E8" w:rsidP="00AD6F44">
            <w:pPr>
              <w:jc w:val="both"/>
              <w:rPr>
                <w:lang w:val="ro-RO"/>
              </w:rPr>
            </w:pPr>
            <w:r w:rsidRPr="00AD6F44">
              <w:rPr>
                <w:lang w:val="ro-RO"/>
              </w:rPr>
              <w:t>propoziţia „Cheltuielile de servire a produselor se acoperă din contul adaosului comercial.” se exclude.</w:t>
            </w:r>
          </w:p>
          <w:p w:rsidR="004735E8" w:rsidRPr="00AD6F44" w:rsidRDefault="004735E8" w:rsidP="00AD6F44">
            <w:pPr>
              <w:jc w:val="both"/>
              <w:rPr>
                <w:lang w:val="ro-RO"/>
              </w:rPr>
            </w:pPr>
          </w:p>
          <w:p w:rsidR="004735E8" w:rsidRPr="00AD6F44" w:rsidRDefault="004735E8" w:rsidP="00AD6F44">
            <w:pPr>
              <w:jc w:val="both"/>
              <w:rPr>
                <w:lang w:val="ro-RO"/>
              </w:rPr>
            </w:pPr>
            <w:r w:rsidRPr="00AD6F44">
              <w:rPr>
                <w:lang w:val="ro-RO"/>
              </w:rPr>
              <w:t>- propoziţia „Mărimea adaosului comercial se aprobă prin ordinul conducătorului unităţii de alimentaţie publică” se completează cu textul</w:t>
            </w:r>
            <w:r w:rsidRPr="00AD6F44">
              <w:rPr>
                <w:color w:val="FF0000"/>
                <w:lang w:val="ro-RO"/>
              </w:rPr>
              <w:t xml:space="preserve"> </w:t>
            </w:r>
            <w:r w:rsidRPr="00AD6F44">
              <w:rPr>
                <w:lang w:val="ro-RO"/>
              </w:rPr>
              <w:t>„pentru întreprinderile de alimentaţie publică de tipul cantină ce deservesc invalizii, persoanele socialmente vulnerabile, elevii, studenţii, instituţiile curative mărimea adaosului comercial nu depăşeşte 30 la sută, iar pentru întreprinderile de alimentaţie publică de tipul cantină ce deservesc populaţia la locul de muncă nu depăşeşte 70 la sută faţă de preţul de achiziţie/livrare a produselor sau faţă de costul setului de materie primă la calcularea preţurilor pentru bucate şi produse.”</w:t>
            </w:r>
          </w:p>
          <w:p w:rsidR="004735E8" w:rsidRPr="00AD6F44" w:rsidRDefault="004735E8" w:rsidP="00AD6F44">
            <w:pPr>
              <w:jc w:val="both"/>
              <w:rPr>
                <w:lang w:val="ro-RO"/>
              </w:rPr>
            </w:pPr>
          </w:p>
          <w:p w:rsidR="004735E8" w:rsidRPr="00AD6F44" w:rsidRDefault="004735E8" w:rsidP="00AD6F44">
            <w:pPr>
              <w:jc w:val="both"/>
              <w:rPr>
                <w:lang w:val="ro-RO"/>
              </w:rPr>
            </w:pPr>
            <w:r w:rsidRPr="00AD6F44">
              <w:rPr>
                <w:lang w:val="ro-RO"/>
              </w:rPr>
              <w:t xml:space="preserve"> - la ultimul alineat textul „cărucior, automat pentru </w:t>
            </w:r>
            <w:proofErr w:type="spellStart"/>
            <w:r w:rsidRPr="00AD6F44">
              <w:rPr>
                <w:lang w:val="ro-RO"/>
              </w:rPr>
              <w:t>vînzări</w:t>
            </w:r>
            <w:proofErr w:type="spellEnd"/>
            <w:r w:rsidRPr="00AD6F44">
              <w:rPr>
                <w:lang w:val="ro-RO"/>
              </w:rPr>
              <w:t>” se substituie cu textul „tejghea, cărucior, aparat automat pentru vânzări”.</w:t>
            </w:r>
          </w:p>
          <w:p w:rsidR="004735E8" w:rsidRPr="00AD6F44" w:rsidRDefault="004735E8" w:rsidP="00AD6F44">
            <w:pPr>
              <w:rPr>
                <w:lang w:val="ro-RO"/>
              </w:rPr>
            </w:pPr>
          </w:p>
          <w:p w:rsidR="004735E8" w:rsidRPr="00AD6F44" w:rsidRDefault="004735E8" w:rsidP="00AD6F44">
            <w:pPr>
              <w:rPr>
                <w:lang w:val="ro-RO"/>
              </w:rPr>
            </w:pPr>
            <w:r w:rsidRPr="00AD6F44">
              <w:rPr>
                <w:lang w:val="ro-RO"/>
              </w:rPr>
              <w:t xml:space="preserve">- la poziţia „MAGAZIN SPECIALIZAT” se exclude numerotarea şi se expune în următoarea redacţie: </w:t>
            </w:r>
          </w:p>
          <w:p w:rsidR="004735E8" w:rsidRPr="00AD6F44" w:rsidRDefault="004735E8" w:rsidP="00AD6F44">
            <w:pPr>
              <w:jc w:val="both"/>
              <w:rPr>
                <w:lang w:val="ro-RO"/>
              </w:rPr>
            </w:pPr>
            <w:r w:rsidRPr="00AD6F44">
              <w:rPr>
                <w:lang w:val="ro-RO"/>
              </w:rPr>
              <w:t>«</w:t>
            </w:r>
            <w:r w:rsidRPr="00AD6F44">
              <w:rPr>
                <w:b/>
                <w:bCs/>
                <w:lang w:val="ro-RO"/>
              </w:rPr>
              <w:t>MAGAZIN SPECIALIZAT</w:t>
            </w:r>
            <w:r w:rsidRPr="00AD6F44">
              <w:rPr>
                <w:bCs/>
                <w:lang w:val="ro-RO"/>
              </w:rPr>
              <w:t>:</w:t>
            </w:r>
            <w:r w:rsidRPr="00AD6F44">
              <w:rPr>
                <w:lang w:val="ro-RO"/>
              </w:rPr>
              <w:t xml:space="preserve"> unitate comercială cu amănuntul care comercializează mărfuri dintr-o singură grupă de mărfuri cu un sortiment larg sau a unei părţi a acesteia (strict specializat), cum ar fi:</w:t>
            </w:r>
          </w:p>
          <w:p w:rsidR="004735E8" w:rsidRPr="00AD6F44" w:rsidRDefault="004735E8" w:rsidP="00AD6F44">
            <w:pPr>
              <w:jc w:val="both"/>
              <w:rPr>
                <w:lang w:val="ro-RO"/>
              </w:rPr>
            </w:pPr>
            <w:r w:rsidRPr="00AD6F44">
              <w:rPr>
                <w:lang w:val="ro-RO"/>
              </w:rPr>
              <w:t xml:space="preserve">“Staţie PECO”; </w:t>
            </w:r>
          </w:p>
          <w:p w:rsidR="004735E8" w:rsidRPr="00AD6F44" w:rsidRDefault="004735E8" w:rsidP="00AD6F44">
            <w:pPr>
              <w:jc w:val="both"/>
              <w:rPr>
                <w:lang w:val="ro-RO"/>
              </w:rPr>
            </w:pPr>
            <w:r w:rsidRPr="00AD6F44">
              <w:rPr>
                <w:lang w:val="ro-RO"/>
              </w:rPr>
              <w:t xml:space="preserve">“Farmacie”; </w:t>
            </w:r>
          </w:p>
          <w:p w:rsidR="004735E8" w:rsidRPr="00AD6F44" w:rsidRDefault="004735E8" w:rsidP="00AD6F44">
            <w:pPr>
              <w:jc w:val="both"/>
              <w:rPr>
                <w:lang w:val="ro-RO"/>
              </w:rPr>
            </w:pPr>
            <w:r w:rsidRPr="00AD6F44">
              <w:rPr>
                <w:lang w:val="ro-RO"/>
              </w:rPr>
              <w:t xml:space="preserve">“Librărie”; </w:t>
            </w:r>
          </w:p>
          <w:p w:rsidR="004735E8" w:rsidRPr="00AD6F44" w:rsidRDefault="004735E8" w:rsidP="00AD6F44">
            <w:pPr>
              <w:jc w:val="both"/>
              <w:rPr>
                <w:lang w:val="ro-RO"/>
              </w:rPr>
            </w:pPr>
            <w:r w:rsidRPr="00AD6F44">
              <w:rPr>
                <w:lang w:val="ro-RO"/>
              </w:rPr>
              <w:t>“</w:t>
            </w:r>
            <w:proofErr w:type="spellStart"/>
            <w:r w:rsidRPr="00AD6F44">
              <w:rPr>
                <w:lang w:val="ro-RO"/>
              </w:rPr>
              <w:t>Pîine</w:t>
            </w:r>
            <w:proofErr w:type="spellEnd"/>
            <w:r w:rsidRPr="00AD6F44">
              <w:rPr>
                <w:lang w:val="ro-RO"/>
              </w:rPr>
              <w:t xml:space="preserve">”; </w:t>
            </w:r>
          </w:p>
          <w:p w:rsidR="004735E8" w:rsidRPr="00AD6F44" w:rsidRDefault="004735E8" w:rsidP="00AD6F44">
            <w:pPr>
              <w:jc w:val="both"/>
              <w:rPr>
                <w:lang w:val="ro-RO"/>
              </w:rPr>
            </w:pPr>
            <w:r w:rsidRPr="00AD6F44">
              <w:rPr>
                <w:lang w:val="ro-RO"/>
              </w:rPr>
              <w:t xml:space="preserve">“Lapte şi produse lactate”; </w:t>
            </w:r>
          </w:p>
          <w:p w:rsidR="004735E8" w:rsidRPr="00AD6F44" w:rsidRDefault="004735E8" w:rsidP="00AD6F44">
            <w:pPr>
              <w:jc w:val="both"/>
              <w:rPr>
                <w:lang w:val="ro-RO"/>
              </w:rPr>
            </w:pPr>
            <w:r w:rsidRPr="00AD6F44">
              <w:rPr>
                <w:lang w:val="ro-RO"/>
              </w:rPr>
              <w:t xml:space="preserve">“Carne şi produse din carne”; </w:t>
            </w:r>
          </w:p>
          <w:p w:rsidR="004735E8" w:rsidRPr="00AD6F44" w:rsidRDefault="004735E8" w:rsidP="00AD6F44">
            <w:pPr>
              <w:jc w:val="both"/>
              <w:rPr>
                <w:lang w:val="ro-RO"/>
              </w:rPr>
            </w:pPr>
            <w:r w:rsidRPr="00AD6F44">
              <w:rPr>
                <w:lang w:val="ro-RO"/>
              </w:rPr>
              <w:t xml:space="preserve">“Peşte şi produse din peşte”; </w:t>
            </w:r>
          </w:p>
          <w:p w:rsidR="004735E8" w:rsidRPr="00AD6F44" w:rsidRDefault="004735E8" w:rsidP="00AD6F44">
            <w:pPr>
              <w:jc w:val="both"/>
              <w:rPr>
                <w:lang w:val="ro-RO"/>
              </w:rPr>
            </w:pPr>
            <w:r w:rsidRPr="00AD6F44">
              <w:rPr>
                <w:lang w:val="ro-RO"/>
              </w:rPr>
              <w:t xml:space="preserve">“Legume-fructe”; </w:t>
            </w:r>
          </w:p>
          <w:p w:rsidR="004735E8" w:rsidRPr="00AD6F44" w:rsidRDefault="004735E8" w:rsidP="00AD6F44">
            <w:pPr>
              <w:jc w:val="both"/>
              <w:rPr>
                <w:lang w:val="ro-RO"/>
              </w:rPr>
            </w:pPr>
            <w:r w:rsidRPr="00AD6F44">
              <w:rPr>
                <w:lang w:val="ro-RO"/>
              </w:rPr>
              <w:t xml:space="preserve">“Produse de cofetărie”; </w:t>
            </w:r>
          </w:p>
          <w:p w:rsidR="004735E8" w:rsidRPr="00AD6F44" w:rsidRDefault="004735E8" w:rsidP="00AD6F44">
            <w:pPr>
              <w:jc w:val="both"/>
              <w:rPr>
                <w:lang w:val="ro-RO"/>
              </w:rPr>
            </w:pPr>
            <w:r w:rsidRPr="00AD6F44">
              <w:rPr>
                <w:lang w:val="ro-RO"/>
              </w:rPr>
              <w:t xml:space="preserve">“Produse culinare”; </w:t>
            </w:r>
          </w:p>
          <w:p w:rsidR="004735E8" w:rsidRPr="00AD6F44" w:rsidRDefault="004735E8" w:rsidP="00AD6F44">
            <w:pPr>
              <w:jc w:val="both"/>
              <w:rPr>
                <w:lang w:val="ro-RO"/>
              </w:rPr>
            </w:pPr>
            <w:r w:rsidRPr="00AD6F44">
              <w:rPr>
                <w:lang w:val="ro-RO"/>
              </w:rPr>
              <w:t xml:space="preserve">“Mărfuri electronice şi electrocasnice;” </w:t>
            </w:r>
          </w:p>
          <w:p w:rsidR="004735E8" w:rsidRPr="00AD6F44" w:rsidRDefault="004735E8" w:rsidP="00AD6F44">
            <w:pPr>
              <w:jc w:val="both"/>
              <w:rPr>
                <w:lang w:val="ro-RO"/>
              </w:rPr>
            </w:pPr>
            <w:r w:rsidRPr="00AD6F44">
              <w:rPr>
                <w:lang w:val="ro-RO"/>
              </w:rPr>
              <w:t xml:space="preserve">“Mobilă”; </w:t>
            </w:r>
          </w:p>
          <w:p w:rsidR="004735E8" w:rsidRPr="00AD6F44" w:rsidRDefault="004735E8" w:rsidP="00AD6F44">
            <w:pPr>
              <w:jc w:val="both"/>
              <w:rPr>
                <w:lang w:val="ro-RO"/>
              </w:rPr>
            </w:pPr>
            <w:r w:rsidRPr="00AD6F44">
              <w:rPr>
                <w:lang w:val="ro-RO"/>
              </w:rPr>
              <w:t>“Covoare”;</w:t>
            </w:r>
          </w:p>
          <w:p w:rsidR="004735E8" w:rsidRPr="00AD6F44" w:rsidRDefault="004735E8" w:rsidP="00AD6F44">
            <w:pPr>
              <w:jc w:val="both"/>
              <w:rPr>
                <w:lang w:val="ro-RO"/>
              </w:rPr>
            </w:pPr>
            <w:r w:rsidRPr="00AD6F44">
              <w:rPr>
                <w:lang w:val="ro-RO"/>
              </w:rPr>
              <w:t>etc. ».</w:t>
            </w:r>
          </w:p>
          <w:p w:rsidR="004735E8" w:rsidRPr="00AD6F44" w:rsidRDefault="004735E8" w:rsidP="00AD6F44">
            <w:pPr>
              <w:jc w:val="both"/>
              <w:rPr>
                <w:lang w:val="ro-RO"/>
              </w:rPr>
            </w:pPr>
            <w:r w:rsidRPr="00AD6F44">
              <w:rPr>
                <w:lang w:val="ro-RO"/>
              </w:rPr>
              <w:t xml:space="preserve"> -  poziţia alineatului cinci se expune în următoarea redacţie: </w:t>
            </w:r>
          </w:p>
          <w:p w:rsidR="004735E8" w:rsidRPr="00AD6F44" w:rsidRDefault="004735E8" w:rsidP="00AD6F44">
            <w:pPr>
              <w:jc w:val="both"/>
              <w:rPr>
                <w:lang w:val="ro-RO"/>
              </w:rPr>
            </w:pPr>
            <w:r w:rsidRPr="00AD6F44">
              <w:rPr>
                <w:lang w:val="ro-RO"/>
              </w:rPr>
              <w:t>„</w:t>
            </w:r>
            <w:r w:rsidRPr="00AD6F44">
              <w:rPr>
                <w:b/>
                <w:lang w:val="ro-RO"/>
              </w:rPr>
              <w:t xml:space="preserve">APARAT </w:t>
            </w:r>
            <w:r w:rsidRPr="00AD6F44">
              <w:rPr>
                <w:b/>
                <w:bCs/>
                <w:lang w:val="ro-RO"/>
              </w:rPr>
              <w:t>AUTOMAT PENTRU VÂNZĂRI (</w:t>
            </w:r>
            <w:proofErr w:type="spellStart"/>
            <w:r w:rsidRPr="00AD6F44">
              <w:rPr>
                <w:i/>
                <w:lang w:val="ro-RO"/>
              </w:rPr>
              <w:t>vending</w:t>
            </w:r>
            <w:proofErr w:type="spellEnd"/>
            <w:r w:rsidRPr="00AD6F44">
              <w:rPr>
                <w:i/>
                <w:lang w:val="ro-RO"/>
              </w:rPr>
              <w:t xml:space="preserve"> </w:t>
            </w:r>
            <w:proofErr w:type="spellStart"/>
            <w:r w:rsidRPr="00AD6F44">
              <w:rPr>
                <w:i/>
                <w:lang w:val="ro-RO"/>
              </w:rPr>
              <w:t>machine</w:t>
            </w:r>
            <w:proofErr w:type="spellEnd"/>
            <w:r w:rsidRPr="00AD6F44">
              <w:rPr>
                <w:lang w:val="ro-RO"/>
              </w:rPr>
              <w:t xml:space="preserve"> conform uzanţelor internaţionale</w:t>
            </w:r>
            <w:r w:rsidRPr="00AD6F44">
              <w:rPr>
                <w:b/>
                <w:bCs/>
                <w:lang w:val="ro-RO"/>
              </w:rPr>
              <w:t xml:space="preserve">) </w:t>
            </w:r>
            <w:r w:rsidRPr="00AD6F44">
              <w:rPr>
                <w:lang w:val="ro-RO"/>
              </w:rPr>
              <w:t>– unitate comercială cu amănuntul, care are forma unui dispozitiv (utilaj) pentru eliberarea bunurilor (cu excepţia producţiei alcoolice, berii, articolelor din tutun), după recepţionarea numerarului/acceptarea altui instrument de plată de la plătitor/utilizat de plătitor”.</w:t>
            </w:r>
          </w:p>
          <w:p w:rsidR="004735E8" w:rsidRPr="00AD6F44" w:rsidRDefault="004735E8" w:rsidP="00AD6F44">
            <w:pPr>
              <w:jc w:val="both"/>
              <w:rPr>
                <w:lang w:val="ro-RO"/>
              </w:rPr>
            </w:pPr>
            <w:r w:rsidRPr="00AD6F44">
              <w:rPr>
                <w:lang w:val="ro-RO"/>
              </w:rPr>
              <w:t xml:space="preserve"> </w:t>
            </w:r>
          </w:p>
          <w:p w:rsidR="004735E8" w:rsidRPr="00AD6F44" w:rsidRDefault="004735E8" w:rsidP="00AD6F44">
            <w:pPr>
              <w:jc w:val="both"/>
              <w:rPr>
                <w:color w:val="000000"/>
                <w:lang w:val="ro-RO"/>
              </w:rPr>
            </w:pPr>
            <w:r w:rsidRPr="00AD6F44">
              <w:rPr>
                <w:lang w:val="ro-RO"/>
              </w:rPr>
              <w:t>- la capitolul II, este necesar de completat proiectul şi cu alte noţiuni, cum ar fi „stand”, „tejghea” etc.</w:t>
            </w:r>
          </w:p>
        </w:tc>
        <w:tc>
          <w:tcPr>
            <w:tcW w:w="1676" w:type="dxa"/>
            <w:shd w:val="clear" w:color="auto" w:fill="auto"/>
          </w:tcPr>
          <w:p w:rsidR="004735E8" w:rsidRPr="00AD6F44" w:rsidRDefault="004735E8" w:rsidP="00AD6F44">
            <w:pPr>
              <w:rPr>
                <w:color w:val="000000"/>
                <w:lang w:val="ro-RO"/>
              </w:rPr>
            </w:pPr>
            <w:r w:rsidRPr="00AD6F44">
              <w:rPr>
                <w:color w:val="000000"/>
                <w:lang w:val="ro-RO"/>
              </w:rPr>
              <w:t>Nu se acceptă</w:t>
            </w: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Default="004735E8" w:rsidP="00AD6F44">
            <w:pPr>
              <w:rPr>
                <w:color w:val="000000"/>
                <w:lang w:val="ro-RO"/>
              </w:rPr>
            </w:pPr>
          </w:p>
          <w:p w:rsidR="004735E8" w:rsidRPr="00AD6F44" w:rsidRDefault="004735E8" w:rsidP="00AD6F44">
            <w:pPr>
              <w:rPr>
                <w:color w:val="000000"/>
                <w:lang w:val="ro-RO"/>
              </w:rPr>
            </w:pPr>
            <w:r w:rsidRPr="00AD6F44">
              <w:rPr>
                <w:color w:val="000000"/>
                <w:lang w:val="ro-RO"/>
              </w:rPr>
              <w:t>Se acceptă parţial</w:t>
            </w: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Default="004735E8" w:rsidP="00AD6F44">
            <w:pPr>
              <w:rPr>
                <w:color w:val="000000"/>
                <w:lang w:val="ro-RO"/>
              </w:rPr>
            </w:pPr>
          </w:p>
          <w:p w:rsidR="004735E8" w:rsidRPr="00AD6F44" w:rsidRDefault="004735E8" w:rsidP="00AD6F44">
            <w:pPr>
              <w:rPr>
                <w:color w:val="000000"/>
                <w:lang w:val="ro-RO"/>
              </w:rPr>
            </w:pPr>
            <w:r w:rsidRPr="00AD6F44">
              <w:rPr>
                <w:color w:val="000000"/>
                <w:lang w:val="ro-RO"/>
              </w:rPr>
              <w:t>Nu se acceptă</w:t>
            </w: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r w:rsidRPr="00AD6F44">
              <w:rPr>
                <w:color w:val="000000"/>
                <w:lang w:val="ro-RO"/>
              </w:rPr>
              <w:t xml:space="preserve">Se acceptă </w:t>
            </w: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r w:rsidRPr="00AD6F44">
              <w:rPr>
                <w:color w:val="000000"/>
                <w:lang w:val="ro-RO"/>
              </w:rPr>
              <w:t>Se acceptă</w:t>
            </w: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r w:rsidRPr="00AD6F44">
              <w:rPr>
                <w:color w:val="000000"/>
                <w:lang w:val="ro-RO"/>
              </w:rPr>
              <w:t>Se acceptă</w:t>
            </w: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r w:rsidRPr="00AD6F44">
              <w:rPr>
                <w:color w:val="000000"/>
                <w:lang w:val="ro-RO"/>
              </w:rPr>
              <w:t>Se acceptă</w:t>
            </w:r>
          </w:p>
          <w:p w:rsidR="004735E8" w:rsidRPr="00AD6F44" w:rsidRDefault="004735E8" w:rsidP="00AD6F44">
            <w:pPr>
              <w:rPr>
                <w:color w:val="000000"/>
                <w:lang w:val="ro-RO"/>
              </w:rPr>
            </w:pPr>
          </w:p>
        </w:tc>
        <w:tc>
          <w:tcPr>
            <w:tcW w:w="3780" w:type="dxa"/>
            <w:shd w:val="clear" w:color="auto" w:fill="auto"/>
          </w:tcPr>
          <w:p w:rsidR="004735E8" w:rsidRPr="00AD6F44" w:rsidRDefault="004735E8" w:rsidP="00AD6F44">
            <w:pPr>
              <w:jc w:val="both"/>
              <w:rPr>
                <w:color w:val="000000"/>
                <w:lang w:val="ro-RO"/>
              </w:rPr>
            </w:pPr>
            <w:r w:rsidRPr="00AD6F44">
              <w:rPr>
                <w:color w:val="000000"/>
                <w:lang w:val="ro-RO"/>
              </w:rPr>
              <w:t>Norma dată este depăşită în timp, consiliile culinare nu sunt funcţionale. Conform art. 16 al Hotărîrii date sortimentul bucatelor expuse spre comercializare se coordonează cu ANSA</w:t>
            </w:r>
            <w:r>
              <w:rPr>
                <w:color w:val="000000"/>
                <w:lang w:val="ro-RO"/>
              </w:rPr>
              <w:t xml:space="preserve"> (vezi nota informativă)</w:t>
            </w:r>
            <w:r w:rsidRPr="00AD6F44">
              <w:rPr>
                <w:color w:val="000000"/>
                <w:lang w:val="ro-RO"/>
              </w:rPr>
              <w:t>.</w:t>
            </w:r>
          </w:p>
          <w:p w:rsidR="004735E8" w:rsidRPr="00AD6F44" w:rsidRDefault="004735E8" w:rsidP="00AD6F44">
            <w:pPr>
              <w:jc w:val="both"/>
              <w:rPr>
                <w:lang w:val="ro-RO"/>
              </w:rPr>
            </w:pPr>
          </w:p>
          <w:p w:rsidR="004735E8" w:rsidRPr="00AD6F44" w:rsidRDefault="004735E8" w:rsidP="00AD6F44">
            <w:pPr>
              <w:jc w:val="both"/>
              <w:rPr>
                <w:color w:val="000000"/>
                <w:lang w:val="ro-RO"/>
              </w:rPr>
            </w:pPr>
            <w:r w:rsidRPr="00AD6F44">
              <w:rPr>
                <w:lang w:val="ro-RO"/>
              </w:rPr>
              <w:t>Se substituie cu sintagma „la totalul cheltuielilor activităţii operaţionale a unităţii de alimentaţie publică”</w:t>
            </w: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Default="004735E8" w:rsidP="00AD6F44">
            <w:pPr>
              <w:jc w:val="both"/>
              <w:rPr>
                <w:color w:val="000000"/>
                <w:lang w:val="ro-RO"/>
              </w:rPr>
            </w:pPr>
          </w:p>
          <w:p w:rsidR="004735E8" w:rsidRDefault="004735E8" w:rsidP="00AD6F44">
            <w:pPr>
              <w:jc w:val="both"/>
              <w:rPr>
                <w:color w:val="000000"/>
                <w:lang w:val="ro-RO"/>
              </w:rPr>
            </w:pPr>
          </w:p>
          <w:p w:rsidR="004735E8" w:rsidRDefault="004735E8" w:rsidP="00AD6F44">
            <w:pPr>
              <w:jc w:val="both"/>
              <w:rPr>
                <w:color w:val="000000"/>
                <w:lang w:val="ro-RO"/>
              </w:rPr>
            </w:pPr>
            <w:r w:rsidRPr="00AD6F44">
              <w:rPr>
                <w:color w:val="000000"/>
                <w:lang w:val="ro-RO"/>
              </w:rPr>
              <w:t>Prin prisma practicii internaţionale, adaosul comercial pentru asemenea unităţi (cantine) se reglementează de către autorităţile locale, la balanţa cărora se află unităţile respective (grădiniţe, şcoli, orfelinate, etc.)</w:t>
            </w:r>
          </w:p>
          <w:p w:rsidR="004735E8" w:rsidRPr="00AD6F44" w:rsidRDefault="004735E8" w:rsidP="00AD6F44">
            <w:pPr>
              <w:jc w:val="both"/>
              <w:rPr>
                <w:color w:val="000000"/>
                <w:lang w:val="ro-RO"/>
              </w:rPr>
            </w:pPr>
            <w:r>
              <w:rPr>
                <w:color w:val="000000"/>
                <w:lang w:val="ro-RO"/>
              </w:rPr>
              <w:t>În acest context, la moment se promovează amendamente la Legea nr. 231/2010, care include şi norme privind adaosul comercial în alimentaţia publică.</w:t>
            </w: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tc>
      </w:tr>
      <w:tr w:rsidR="004735E8" w:rsidRPr="004735E8" w:rsidTr="00BA3495">
        <w:tc>
          <w:tcPr>
            <w:tcW w:w="540" w:type="dxa"/>
            <w:shd w:val="clear" w:color="auto" w:fill="auto"/>
          </w:tcPr>
          <w:p w:rsidR="004735E8" w:rsidRPr="00AD6F44" w:rsidRDefault="004735E8" w:rsidP="00AD6F44">
            <w:pPr>
              <w:numPr>
                <w:ilvl w:val="0"/>
                <w:numId w:val="4"/>
              </w:numPr>
              <w:jc w:val="center"/>
              <w:rPr>
                <w:color w:val="000000"/>
                <w:lang w:val="ro-RO"/>
              </w:rPr>
            </w:pPr>
          </w:p>
        </w:tc>
        <w:tc>
          <w:tcPr>
            <w:tcW w:w="1728" w:type="dxa"/>
            <w:shd w:val="clear" w:color="auto" w:fill="auto"/>
          </w:tcPr>
          <w:p w:rsidR="004735E8" w:rsidRPr="00AD6F44" w:rsidRDefault="004735E8" w:rsidP="00AD6F44">
            <w:pPr>
              <w:jc w:val="center"/>
              <w:rPr>
                <w:color w:val="000000"/>
                <w:lang w:val="ro-RO"/>
              </w:rPr>
            </w:pPr>
            <w:r w:rsidRPr="00AD6F44">
              <w:rPr>
                <w:color w:val="000000"/>
                <w:lang w:val="ro-RO"/>
              </w:rPr>
              <w:t>Ministerul Afacerilor Interne</w:t>
            </w:r>
          </w:p>
        </w:tc>
        <w:tc>
          <w:tcPr>
            <w:tcW w:w="1620" w:type="dxa"/>
            <w:shd w:val="clear" w:color="auto" w:fill="auto"/>
          </w:tcPr>
          <w:p w:rsidR="004735E8" w:rsidRPr="00AD6F44" w:rsidRDefault="004735E8" w:rsidP="00AD6F44">
            <w:pPr>
              <w:jc w:val="both"/>
              <w:rPr>
                <w:b/>
                <w:color w:val="000000"/>
                <w:lang w:val="ro-RO"/>
              </w:rPr>
            </w:pPr>
          </w:p>
        </w:tc>
        <w:tc>
          <w:tcPr>
            <w:tcW w:w="5580" w:type="dxa"/>
            <w:shd w:val="clear" w:color="auto" w:fill="auto"/>
          </w:tcPr>
          <w:p w:rsidR="004735E8" w:rsidRPr="00AD6F44" w:rsidRDefault="004735E8" w:rsidP="00AD6F44">
            <w:pPr>
              <w:tabs>
                <w:tab w:val="left" w:pos="1470"/>
              </w:tabs>
              <w:jc w:val="both"/>
              <w:rPr>
                <w:color w:val="000000"/>
                <w:lang w:val="ro-RO"/>
              </w:rPr>
            </w:pPr>
            <w:r w:rsidRPr="00AD6F44">
              <w:rPr>
                <w:color w:val="000000"/>
                <w:lang w:val="ro-RO"/>
              </w:rPr>
              <w:t>- de revizuit corectitudinea elementelor de identificare a surselor de publicare a actelor normative.</w:t>
            </w:r>
          </w:p>
          <w:p w:rsidR="004735E8" w:rsidRPr="00AD6F44" w:rsidRDefault="004735E8" w:rsidP="00AD6F44">
            <w:pPr>
              <w:tabs>
                <w:tab w:val="left" w:pos="1470"/>
              </w:tabs>
              <w:jc w:val="both"/>
              <w:rPr>
                <w:color w:val="000000"/>
                <w:lang w:val="ro-RO"/>
              </w:rPr>
            </w:pPr>
          </w:p>
          <w:p w:rsidR="004735E8" w:rsidRPr="00AD6F44" w:rsidRDefault="004735E8" w:rsidP="00AD6F44">
            <w:pPr>
              <w:tabs>
                <w:tab w:val="left" w:pos="1470"/>
              </w:tabs>
              <w:jc w:val="both"/>
              <w:rPr>
                <w:color w:val="000000"/>
                <w:lang w:val="ro-RO"/>
              </w:rPr>
            </w:pPr>
            <w:r w:rsidRPr="00AD6F44">
              <w:rPr>
                <w:color w:val="000000"/>
                <w:lang w:val="ro-RO"/>
              </w:rPr>
              <w:t>- nu este clar din ce considerent se exclude anexa nr. 3, unde va fi reglementată clasificarea pe categorii a unităţilor de alimentaţie publică încadrate în structuri de primire turistică.</w:t>
            </w:r>
          </w:p>
        </w:tc>
        <w:tc>
          <w:tcPr>
            <w:tcW w:w="1676" w:type="dxa"/>
            <w:shd w:val="clear" w:color="auto" w:fill="auto"/>
          </w:tcPr>
          <w:p w:rsidR="004735E8" w:rsidRPr="00AD6F44" w:rsidRDefault="004735E8" w:rsidP="00AD6F44">
            <w:pPr>
              <w:rPr>
                <w:color w:val="000000"/>
                <w:lang w:val="ro-RO"/>
              </w:rPr>
            </w:pPr>
            <w:r w:rsidRPr="00AD6F44">
              <w:rPr>
                <w:color w:val="000000"/>
                <w:lang w:val="ro-RO"/>
              </w:rPr>
              <w:t>Se acceptă</w:t>
            </w: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tc>
        <w:tc>
          <w:tcPr>
            <w:tcW w:w="3780" w:type="dxa"/>
            <w:shd w:val="clear" w:color="auto" w:fill="auto"/>
          </w:tcPr>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r w:rsidRPr="00AD6F44">
              <w:rPr>
                <w:color w:val="000000"/>
                <w:lang w:val="ro-RO"/>
              </w:rPr>
              <w:t>Nota informativă conţine aceste argumente.</w:t>
            </w:r>
          </w:p>
        </w:tc>
      </w:tr>
      <w:tr w:rsidR="004735E8" w:rsidRPr="004735E8" w:rsidTr="00656184">
        <w:tc>
          <w:tcPr>
            <w:tcW w:w="540" w:type="dxa"/>
            <w:shd w:val="clear" w:color="auto" w:fill="auto"/>
          </w:tcPr>
          <w:p w:rsidR="004735E8" w:rsidRPr="00AD6F44" w:rsidRDefault="004735E8" w:rsidP="00AD6F44">
            <w:pPr>
              <w:numPr>
                <w:ilvl w:val="0"/>
                <w:numId w:val="4"/>
              </w:numPr>
              <w:jc w:val="center"/>
              <w:rPr>
                <w:color w:val="000000"/>
                <w:lang w:val="ro-RO"/>
              </w:rPr>
            </w:pPr>
          </w:p>
        </w:tc>
        <w:tc>
          <w:tcPr>
            <w:tcW w:w="1728" w:type="dxa"/>
            <w:shd w:val="clear" w:color="auto" w:fill="auto"/>
          </w:tcPr>
          <w:p w:rsidR="004735E8" w:rsidRPr="00AD6F44" w:rsidRDefault="004735E8" w:rsidP="00AD6F44">
            <w:pPr>
              <w:jc w:val="center"/>
              <w:rPr>
                <w:color w:val="000000"/>
                <w:lang w:val="ro-RO"/>
              </w:rPr>
            </w:pPr>
            <w:r w:rsidRPr="00AD6F44">
              <w:rPr>
                <w:color w:val="000000"/>
                <w:lang w:val="ro-RO"/>
              </w:rPr>
              <w:t>Agenţia Turismului</w:t>
            </w:r>
          </w:p>
        </w:tc>
        <w:tc>
          <w:tcPr>
            <w:tcW w:w="1620" w:type="dxa"/>
            <w:shd w:val="clear" w:color="auto" w:fill="auto"/>
          </w:tcPr>
          <w:p w:rsidR="004735E8" w:rsidRPr="00AD6F44" w:rsidRDefault="004735E8" w:rsidP="00AD6F44">
            <w:pPr>
              <w:jc w:val="both"/>
              <w:rPr>
                <w:b/>
                <w:color w:val="000000"/>
                <w:lang w:val="ro-RO"/>
              </w:rPr>
            </w:pPr>
          </w:p>
        </w:tc>
        <w:tc>
          <w:tcPr>
            <w:tcW w:w="5580" w:type="dxa"/>
            <w:shd w:val="clear" w:color="auto" w:fill="auto"/>
            <w:vAlign w:val="center"/>
          </w:tcPr>
          <w:p w:rsidR="004735E8" w:rsidRPr="00AD6F44" w:rsidRDefault="004735E8" w:rsidP="00656184">
            <w:pPr>
              <w:tabs>
                <w:tab w:val="left" w:pos="1470"/>
              </w:tabs>
              <w:rPr>
                <w:color w:val="000000"/>
                <w:lang w:val="ro-RO"/>
              </w:rPr>
            </w:pPr>
            <w:r w:rsidRPr="00AD6F44">
              <w:rPr>
                <w:color w:val="000000"/>
                <w:lang w:val="ro-RO"/>
              </w:rPr>
              <w:t>Lipsa de obiecţii şi propuneri</w:t>
            </w:r>
          </w:p>
        </w:tc>
        <w:tc>
          <w:tcPr>
            <w:tcW w:w="1676" w:type="dxa"/>
            <w:shd w:val="clear" w:color="auto" w:fill="auto"/>
          </w:tcPr>
          <w:p w:rsidR="004735E8" w:rsidRPr="00AD6F44" w:rsidRDefault="004735E8" w:rsidP="00AD6F44">
            <w:pPr>
              <w:rPr>
                <w:color w:val="000000"/>
                <w:lang w:val="ro-RO"/>
              </w:rPr>
            </w:pPr>
          </w:p>
        </w:tc>
        <w:tc>
          <w:tcPr>
            <w:tcW w:w="3780" w:type="dxa"/>
            <w:shd w:val="clear" w:color="auto" w:fill="auto"/>
          </w:tcPr>
          <w:p w:rsidR="004735E8" w:rsidRPr="00AD6F44" w:rsidRDefault="004735E8" w:rsidP="00AD6F44">
            <w:pPr>
              <w:jc w:val="both"/>
              <w:rPr>
                <w:color w:val="000000"/>
                <w:lang w:val="ro-RO"/>
              </w:rPr>
            </w:pPr>
          </w:p>
        </w:tc>
      </w:tr>
      <w:tr w:rsidR="004735E8" w:rsidRPr="004735E8" w:rsidTr="00BA3495">
        <w:tc>
          <w:tcPr>
            <w:tcW w:w="540" w:type="dxa"/>
            <w:shd w:val="clear" w:color="auto" w:fill="auto"/>
          </w:tcPr>
          <w:p w:rsidR="004735E8" w:rsidRPr="00AD6F44" w:rsidRDefault="004735E8" w:rsidP="00AD6F44">
            <w:pPr>
              <w:numPr>
                <w:ilvl w:val="0"/>
                <w:numId w:val="4"/>
              </w:numPr>
              <w:jc w:val="center"/>
              <w:rPr>
                <w:color w:val="000000"/>
                <w:lang w:val="ro-RO"/>
              </w:rPr>
            </w:pPr>
          </w:p>
        </w:tc>
        <w:tc>
          <w:tcPr>
            <w:tcW w:w="1728" w:type="dxa"/>
            <w:shd w:val="clear" w:color="auto" w:fill="auto"/>
          </w:tcPr>
          <w:p w:rsidR="004735E8" w:rsidRPr="00AD6F44" w:rsidRDefault="004735E8" w:rsidP="00AD6F44">
            <w:pPr>
              <w:jc w:val="center"/>
              <w:rPr>
                <w:color w:val="000000"/>
                <w:lang w:val="ro-RO"/>
              </w:rPr>
            </w:pPr>
            <w:r w:rsidRPr="00AD6F44">
              <w:rPr>
                <w:color w:val="000000"/>
                <w:lang w:val="ro-RO"/>
              </w:rPr>
              <w:t>Primăria mun. Chişinău</w:t>
            </w:r>
          </w:p>
        </w:tc>
        <w:tc>
          <w:tcPr>
            <w:tcW w:w="1620" w:type="dxa"/>
            <w:shd w:val="clear" w:color="auto" w:fill="auto"/>
          </w:tcPr>
          <w:p w:rsidR="004735E8" w:rsidRPr="00AD6F44" w:rsidRDefault="004735E8" w:rsidP="00AD6F44">
            <w:pPr>
              <w:jc w:val="both"/>
              <w:rPr>
                <w:b/>
                <w:color w:val="000000"/>
                <w:lang w:val="ro-RO"/>
              </w:rPr>
            </w:pPr>
            <w:r w:rsidRPr="00AD6F44">
              <w:rPr>
                <w:b/>
                <w:color w:val="000000"/>
                <w:lang w:val="ro-RO"/>
              </w:rPr>
              <w:t>HG nr.1209 /2007</w:t>
            </w: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r w:rsidRPr="00AD6F44">
              <w:rPr>
                <w:color w:val="000000"/>
                <w:lang w:val="ro-RO"/>
              </w:rPr>
              <w:t>Anexa 2</w:t>
            </w: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r w:rsidRPr="00AD6F44">
              <w:rPr>
                <w:b/>
                <w:color w:val="000000"/>
                <w:lang w:val="ro-RO"/>
              </w:rPr>
              <w:t>HG nr.931/</w:t>
            </w:r>
          </w:p>
          <w:p w:rsidR="004735E8" w:rsidRPr="00AD6F44" w:rsidRDefault="004735E8" w:rsidP="00AD6F44">
            <w:pPr>
              <w:jc w:val="both"/>
              <w:rPr>
                <w:b/>
                <w:color w:val="000000"/>
                <w:lang w:val="ro-RO"/>
              </w:rPr>
            </w:pPr>
            <w:r w:rsidRPr="00AD6F44">
              <w:rPr>
                <w:b/>
                <w:color w:val="000000"/>
                <w:lang w:val="ro-RO"/>
              </w:rPr>
              <w:t xml:space="preserve">2011, </w:t>
            </w:r>
          </w:p>
          <w:p w:rsidR="004735E8" w:rsidRPr="00AD6F44" w:rsidRDefault="004735E8" w:rsidP="00AD6F44">
            <w:pPr>
              <w:jc w:val="both"/>
              <w:rPr>
                <w:color w:val="000000"/>
                <w:lang w:val="ro-RO"/>
              </w:rPr>
            </w:pPr>
            <w:r w:rsidRPr="00AD6F44">
              <w:rPr>
                <w:color w:val="000000"/>
                <w:lang w:val="ro-RO"/>
              </w:rPr>
              <w:t xml:space="preserve">anexa nr. 2, </w:t>
            </w: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r w:rsidRPr="00AD6F44">
              <w:rPr>
                <w:b/>
                <w:color w:val="000000"/>
                <w:lang w:val="ro-RO"/>
              </w:rPr>
              <w:t xml:space="preserve"> </w:t>
            </w: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lang w:val="ro-RO"/>
              </w:rPr>
            </w:pPr>
            <w:r w:rsidRPr="00AD6F44">
              <w:rPr>
                <w:lang w:val="ro-RO"/>
              </w:rPr>
              <w:t>capitolul II</w:t>
            </w:r>
          </w:p>
          <w:p w:rsidR="004735E8" w:rsidRPr="00AD6F44" w:rsidRDefault="004735E8" w:rsidP="00AD6F44">
            <w:pPr>
              <w:jc w:val="both"/>
              <w:rPr>
                <w:b/>
                <w:color w:val="000000"/>
                <w:lang w:val="ro-RO"/>
              </w:rPr>
            </w:pPr>
            <w:r w:rsidRPr="00AD6F44">
              <w:rPr>
                <w:color w:val="000000"/>
                <w:lang w:val="ro-RO"/>
              </w:rPr>
              <w:t>pct. 1</w:t>
            </w:r>
          </w:p>
        </w:tc>
        <w:tc>
          <w:tcPr>
            <w:tcW w:w="5580" w:type="dxa"/>
            <w:shd w:val="clear" w:color="auto" w:fill="auto"/>
          </w:tcPr>
          <w:p w:rsidR="004735E8" w:rsidRPr="00AD6F44" w:rsidRDefault="004735E8" w:rsidP="00AD6F44">
            <w:pPr>
              <w:tabs>
                <w:tab w:val="left" w:pos="1470"/>
              </w:tabs>
              <w:jc w:val="both"/>
              <w:rPr>
                <w:color w:val="000000"/>
                <w:lang w:val="ro-RO"/>
              </w:rPr>
            </w:pPr>
            <w:r w:rsidRPr="00AD6F44">
              <w:rPr>
                <w:b/>
                <w:color w:val="000000"/>
                <w:lang w:val="ro-RO"/>
              </w:rPr>
              <w:t>Susţine modificările şi completările respective</w:t>
            </w:r>
            <w:r w:rsidRPr="00AD6F44">
              <w:rPr>
                <w:color w:val="000000"/>
                <w:lang w:val="ro-RO"/>
              </w:rPr>
              <w:t xml:space="preserve"> </w:t>
            </w:r>
          </w:p>
          <w:p w:rsidR="004735E8" w:rsidRPr="00AD6F44" w:rsidRDefault="004735E8" w:rsidP="00AD6F44">
            <w:pPr>
              <w:tabs>
                <w:tab w:val="left" w:pos="1470"/>
              </w:tabs>
              <w:jc w:val="both"/>
              <w:rPr>
                <w:color w:val="000000"/>
                <w:lang w:val="ro-RO"/>
              </w:rPr>
            </w:pPr>
            <w:r w:rsidRPr="00AD6F44">
              <w:rPr>
                <w:color w:val="000000"/>
                <w:lang w:val="ro-RO"/>
              </w:rPr>
              <w:t xml:space="preserve">şi intervine cu </w:t>
            </w:r>
            <w:r w:rsidRPr="00AD6F44">
              <w:rPr>
                <w:color w:val="000000"/>
                <w:u w:val="single"/>
                <w:lang w:val="ro-RO"/>
              </w:rPr>
              <w:t>propuneri de completare</w:t>
            </w:r>
            <w:r w:rsidRPr="00AD6F44">
              <w:rPr>
                <w:color w:val="000000"/>
                <w:lang w:val="ro-RO"/>
              </w:rPr>
              <w:t>:</w:t>
            </w:r>
          </w:p>
          <w:p w:rsidR="004735E8" w:rsidRPr="00AD6F44" w:rsidRDefault="004735E8" w:rsidP="00AD6F44">
            <w:pPr>
              <w:ind w:firstLine="708"/>
              <w:jc w:val="both"/>
              <w:rPr>
                <w:lang w:val="ro-RO"/>
              </w:rPr>
            </w:pPr>
          </w:p>
          <w:p w:rsidR="004735E8" w:rsidRPr="00AD6F44" w:rsidRDefault="004735E8" w:rsidP="00AD6F44">
            <w:pPr>
              <w:jc w:val="both"/>
              <w:rPr>
                <w:lang w:val="ro-RO"/>
              </w:rPr>
            </w:pPr>
          </w:p>
          <w:p w:rsidR="004735E8" w:rsidRPr="00AD6F44" w:rsidRDefault="004735E8" w:rsidP="00AD6F44">
            <w:pPr>
              <w:jc w:val="both"/>
              <w:rPr>
                <w:lang w:val="ro-RO"/>
              </w:rPr>
            </w:pPr>
          </w:p>
          <w:p w:rsidR="004735E8" w:rsidRPr="00AD6F44" w:rsidRDefault="004735E8" w:rsidP="00AD6F44">
            <w:pPr>
              <w:jc w:val="both"/>
              <w:rPr>
                <w:lang w:val="ro-RO"/>
              </w:rPr>
            </w:pPr>
          </w:p>
          <w:p w:rsidR="004735E8" w:rsidRPr="00AD6F44" w:rsidRDefault="004735E8" w:rsidP="00AD6F44">
            <w:pPr>
              <w:jc w:val="both"/>
              <w:rPr>
                <w:lang w:val="ro-RO"/>
              </w:rPr>
            </w:pPr>
          </w:p>
          <w:p w:rsidR="004735E8" w:rsidRPr="00AD6F44" w:rsidRDefault="004735E8" w:rsidP="00AD6F44">
            <w:pPr>
              <w:jc w:val="both"/>
              <w:rPr>
                <w:lang w:val="ro-RO"/>
              </w:rPr>
            </w:pPr>
          </w:p>
          <w:p w:rsidR="004735E8" w:rsidRPr="00AD6F44" w:rsidRDefault="004735E8" w:rsidP="00AD6F44">
            <w:pPr>
              <w:jc w:val="both"/>
              <w:rPr>
                <w:lang w:val="ro-RO"/>
              </w:rPr>
            </w:pPr>
          </w:p>
          <w:p w:rsidR="004735E8" w:rsidRPr="00AD6F44" w:rsidRDefault="004735E8" w:rsidP="00AD6F44">
            <w:pPr>
              <w:jc w:val="both"/>
              <w:rPr>
                <w:lang w:val="ro-RO"/>
              </w:rPr>
            </w:pPr>
          </w:p>
          <w:p w:rsidR="004735E8" w:rsidRPr="00AD6F44" w:rsidRDefault="004735E8" w:rsidP="00AD6F44">
            <w:pPr>
              <w:jc w:val="both"/>
              <w:rPr>
                <w:lang w:val="ro-RO"/>
              </w:rPr>
            </w:pPr>
          </w:p>
          <w:p w:rsidR="004735E8" w:rsidRPr="00AD6F44" w:rsidRDefault="004735E8" w:rsidP="00AD6F44">
            <w:pPr>
              <w:jc w:val="both"/>
              <w:rPr>
                <w:lang w:val="ro-RO"/>
              </w:rPr>
            </w:pPr>
            <w:r w:rsidRPr="00AD6F44">
              <w:rPr>
                <w:lang w:val="ro-RO"/>
              </w:rPr>
              <w:t>- după poziţia 3.3., se adaugă poziţia 3.4. - „vagon-bar”, cu următoarea definiţie „Vagon-bar menit să deservească pasagerii transportului feroviar, la distanţe scurte, cu produse de cofetărie, nucuşoare, chipsuri, îngheţată, băuturi răcoritoare, precum  şi să servească pasagerii în vagoane”;</w:t>
            </w:r>
          </w:p>
          <w:p w:rsidR="004735E8" w:rsidRPr="00AD6F44" w:rsidRDefault="004735E8" w:rsidP="00AD6F44">
            <w:pPr>
              <w:ind w:firstLine="708"/>
              <w:jc w:val="both"/>
              <w:rPr>
                <w:lang w:val="ro-RO"/>
              </w:rPr>
            </w:pPr>
          </w:p>
          <w:p w:rsidR="004735E8" w:rsidRPr="00AD6F44" w:rsidRDefault="004735E8" w:rsidP="00AD6F44">
            <w:pPr>
              <w:jc w:val="both"/>
              <w:rPr>
                <w:lang w:val="ro-RO"/>
              </w:rPr>
            </w:pPr>
            <w:r w:rsidRPr="00AD6F44">
              <w:rPr>
                <w:lang w:val="ro-RO"/>
              </w:rPr>
              <w:t xml:space="preserve"> se modifică după cum urmează:</w:t>
            </w:r>
          </w:p>
          <w:p w:rsidR="004735E8" w:rsidRPr="00AD6F44" w:rsidRDefault="004735E8" w:rsidP="00AD6F44">
            <w:pPr>
              <w:jc w:val="both"/>
              <w:rPr>
                <w:rFonts w:eastAsia="Calibri"/>
                <w:lang w:val="ro-RO" w:eastAsia="en-US"/>
              </w:rPr>
            </w:pPr>
            <w:r w:rsidRPr="00AD6F44">
              <w:rPr>
                <w:rFonts w:eastAsia="Calibri"/>
                <w:b/>
                <w:lang w:val="ro-RO" w:eastAsia="en-US"/>
              </w:rPr>
              <w:t xml:space="preserve"> - „3) PAVILION- </w:t>
            </w:r>
            <w:r w:rsidRPr="00AD6F44">
              <w:rPr>
                <w:rFonts w:eastAsia="Calibri"/>
                <w:lang w:val="ro-RO" w:eastAsia="en-US"/>
              </w:rPr>
              <w:t xml:space="preserve">unitate comercială staţionar provizorie din construcţie uşor demontabilă cu suprafaţa mai mare de 12 mp şi care dispune de spaţiu pentru depozitarea mărfurilor”;   </w:t>
            </w:r>
          </w:p>
          <w:p w:rsidR="004735E8" w:rsidRPr="00AD6F44" w:rsidRDefault="004735E8" w:rsidP="00AD6F44">
            <w:pPr>
              <w:jc w:val="both"/>
              <w:rPr>
                <w:color w:val="000000"/>
                <w:lang w:val="ro-RO"/>
              </w:rPr>
            </w:pPr>
            <w:r w:rsidRPr="00AD6F44">
              <w:rPr>
                <w:color w:val="000000"/>
                <w:lang w:val="ro-RO"/>
              </w:rPr>
              <w:t xml:space="preserve">- după noţiunea de Centru Comercial, de completat cu cerinţe de </w:t>
            </w:r>
            <w:r w:rsidRPr="00AD6F44">
              <w:rPr>
                <w:lang w:val="ro-RO"/>
              </w:rPr>
              <w:t xml:space="preserve">organizare a </w:t>
            </w:r>
            <w:r w:rsidRPr="00AD6F44">
              <w:rPr>
                <w:color w:val="000000"/>
                <w:lang w:val="ro-RO"/>
              </w:rPr>
              <w:t>Centrelor Comerciale.</w:t>
            </w:r>
          </w:p>
          <w:p w:rsidR="004735E8" w:rsidRPr="00AD6F44" w:rsidRDefault="004735E8" w:rsidP="00AD6F44">
            <w:pPr>
              <w:tabs>
                <w:tab w:val="left" w:pos="1470"/>
              </w:tabs>
              <w:jc w:val="both"/>
              <w:rPr>
                <w:color w:val="000000"/>
                <w:lang w:val="ro-RO"/>
              </w:rPr>
            </w:pPr>
          </w:p>
          <w:p w:rsidR="004735E8" w:rsidRPr="00AD6F44" w:rsidRDefault="004735E8" w:rsidP="00AD6F44">
            <w:pPr>
              <w:tabs>
                <w:tab w:val="left" w:pos="1470"/>
              </w:tabs>
              <w:jc w:val="both"/>
              <w:rPr>
                <w:color w:val="000000"/>
                <w:lang w:val="ro-RO"/>
              </w:rPr>
            </w:pPr>
            <w:r w:rsidRPr="00AD6F44">
              <w:rPr>
                <w:color w:val="000000"/>
                <w:lang w:val="ro-RO"/>
              </w:rPr>
              <w:t>- poziţia „MAGAZIN SPECIALIZAT”, subpunctul 1.7.10. de completat cu  denumirea „Mărfuri de uz casnic”.</w:t>
            </w:r>
          </w:p>
        </w:tc>
        <w:tc>
          <w:tcPr>
            <w:tcW w:w="1676" w:type="dxa"/>
            <w:shd w:val="clear" w:color="auto" w:fill="auto"/>
          </w:tcPr>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r w:rsidRPr="00AD6F44">
              <w:rPr>
                <w:color w:val="000000"/>
                <w:lang w:val="ro-RO"/>
              </w:rPr>
              <w:t>Se acceptă</w:t>
            </w: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r w:rsidRPr="00AD6F44">
              <w:rPr>
                <w:color w:val="000000"/>
                <w:lang w:val="ro-RO"/>
              </w:rPr>
              <w:t>Se acceptă</w:t>
            </w: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r w:rsidRPr="00AD6F44">
              <w:rPr>
                <w:color w:val="000000"/>
                <w:lang w:val="ro-RO"/>
              </w:rPr>
              <w:t>Se acceptă</w:t>
            </w:r>
          </w:p>
          <w:p w:rsidR="004735E8" w:rsidRPr="00AD6F44" w:rsidRDefault="004735E8" w:rsidP="00AD6F44">
            <w:pPr>
              <w:rPr>
                <w:color w:val="000000"/>
                <w:lang w:val="ro-RO"/>
              </w:rPr>
            </w:pPr>
          </w:p>
        </w:tc>
        <w:tc>
          <w:tcPr>
            <w:tcW w:w="3780" w:type="dxa"/>
            <w:shd w:val="clear" w:color="auto" w:fill="auto"/>
          </w:tcPr>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r w:rsidRPr="00AD6F44">
              <w:rPr>
                <w:color w:val="000000"/>
                <w:u w:val="single"/>
                <w:lang w:val="ro-RO"/>
              </w:rPr>
              <w:t>Notă</w:t>
            </w:r>
            <w:r w:rsidRPr="00AD6F44">
              <w:rPr>
                <w:color w:val="000000"/>
                <w:lang w:val="ro-RO"/>
              </w:rPr>
              <w:t>: La moment Ministerul      Economiei promovează un proiect de modificare şi completare a Legii 231/2010 cu privire la comerţul interior, care include amendamente aferente prestării serviciilor de alimentaţie publică. Urmare adoptării acestuia HG 1209/2007 va fi revizuită integral şi ajustată la noile prevederi.</w:t>
            </w: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p>
          <w:p w:rsidR="004735E8" w:rsidRPr="00AD6F44" w:rsidRDefault="004735E8" w:rsidP="00AD6F44">
            <w:pPr>
              <w:jc w:val="both"/>
              <w:rPr>
                <w:color w:val="000000"/>
                <w:lang w:val="ro-RO"/>
              </w:rPr>
            </w:pPr>
            <w:r w:rsidRPr="00AD6F44">
              <w:rPr>
                <w:color w:val="000000"/>
                <w:lang w:val="ro-RO"/>
              </w:rPr>
              <w:t>Aceasta se va lua în consideraţie la actualizarea integrală a HG nr. 931.</w:t>
            </w:r>
          </w:p>
        </w:tc>
      </w:tr>
      <w:tr w:rsidR="004735E8" w:rsidRPr="004735E8" w:rsidTr="00BA3495">
        <w:tc>
          <w:tcPr>
            <w:tcW w:w="540" w:type="dxa"/>
            <w:shd w:val="clear" w:color="auto" w:fill="auto"/>
          </w:tcPr>
          <w:p w:rsidR="004735E8" w:rsidRPr="00AD6F44" w:rsidRDefault="004735E8" w:rsidP="00AD6F44">
            <w:pPr>
              <w:numPr>
                <w:ilvl w:val="0"/>
                <w:numId w:val="4"/>
              </w:numPr>
              <w:jc w:val="center"/>
              <w:rPr>
                <w:color w:val="000000"/>
                <w:lang w:val="ro-RO"/>
              </w:rPr>
            </w:pPr>
          </w:p>
        </w:tc>
        <w:tc>
          <w:tcPr>
            <w:tcW w:w="1728" w:type="dxa"/>
            <w:shd w:val="clear" w:color="auto" w:fill="auto"/>
          </w:tcPr>
          <w:p w:rsidR="004735E8" w:rsidRPr="00AD6F44" w:rsidRDefault="004735E8" w:rsidP="00AD6F44">
            <w:pPr>
              <w:jc w:val="center"/>
              <w:rPr>
                <w:color w:val="000000"/>
                <w:lang w:val="ro-RO"/>
              </w:rPr>
            </w:pPr>
            <w:r w:rsidRPr="00AD6F44">
              <w:rPr>
                <w:color w:val="000000"/>
                <w:lang w:val="ro-RO"/>
              </w:rPr>
              <w:t>Ministerul Justiţiei</w:t>
            </w:r>
          </w:p>
        </w:tc>
        <w:tc>
          <w:tcPr>
            <w:tcW w:w="1620" w:type="dxa"/>
            <w:shd w:val="clear" w:color="auto" w:fill="auto"/>
          </w:tcPr>
          <w:p w:rsidR="004735E8" w:rsidRPr="00AD6F44" w:rsidRDefault="004735E8" w:rsidP="00AD6F44">
            <w:pPr>
              <w:jc w:val="both"/>
              <w:rPr>
                <w:b/>
                <w:color w:val="000000"/>
                <w:lang w:val="ro-RO"/>
              </w:rPr>
            </w:pPr>
            <w:r w:rsidRPr="00AD6F44">
              <w:rPr>
                <w:b/>
                <w:color w:val="000000"/>
                <w:lang w:val="ro-RO"/>
              </w:rPr>
              <w:t>HG nr.1209 /2007</w:t>
            </w: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p>
          <w:p w:rsidR="004735E8" w:rsidRPr="00AD6F44" w:rsidRDefault="004735E8" w:rsidP="00AD6F44">
            <w:pPr>
              <w:jc w:val="both"/>
              <w:rPr>
                <w:b/>
                <w:color w:val="000000"/>
                <w:lang w:val="ro-RO"/>
              </w:rPr>
            </w:pPr>
            <w:r w:rsidRPr="00AD6F44">
              <w:rPr>
                <w:b/>
                <w:color w:val="000000"/>
                <w:lang w:val="ro-RO"/>
              </w:rPr>
              <w:t>HG nr.931/</w:t>
            </w:r>
          </w:p>
          <w:p w:rsidR="004735E8" w:rsidRPr="00AD6F44" w:rsidRDefault="004735E8" w:rsidP="00AD6F44">
            <w:pPr>
              <w:jc w:val="both"/>
              <w:rPr>
                <w:b/>
                <w:color w:val="000000"/>
                <w:lang w:val="ro-RO"/>
              </w:rPr>
            </w:pPr>
            <w:r w:rsidRPr="00AD6F44">
              <w:rPr>
                <w:b/>
                <w:color w:val="000000"/>
                <w:lang w:val="ro-RO"/>
              </w:rPr>
              <w:t xml:space="preserve">2011, </w:t>
            </w:r>
          </w:p>
          <w:p w:rsidR="004735E8" w:rsidRPr="00AD6F44" w:rsidRDefault="004735E8" w:rsidP="004735E8">
            <w:pPr>
              <w:jc w:val="both"/>
              <w:rPr>
                <w:b/>
                <w:color w:val="000000"/>
                <w:lang w:val="ro-RO"/>
              </w:rPr>
            </w:pPr>
            <w:r w:rsidRPr="00AD6F44">
              <w:rPr>
                <w:color w:val="000000"/>
                <w:lang w:val="ro-RO"/>
              </w:rPr>
              <w:t>anexa nr. 2</w:t>
            </w:r>
          </w:p>
        </w:tc>
        <w:tc>
          <w:tcPr>
            <w:tcW w:w="5580" w:type="dxa"/>
            <w:shd w:val="clear" w:color="auto" w:fill="auto"/>
          </w:tcPr>
          <w:p w:rsidR="004735E8" w:rsidRPr="00AD6F44" w:rsidRDefault="004735E8" w:rsidP="00AD6F44">
            <w:pPr>
              <w:jc w:val="both"/>
              <w:rPr>
                <w:color w:val="000000"/>
                <w:lang w:val="ro-RO" w:eastAsia="en-US"/>
              </w:rPr>
            </w:pPr>
            <w:r w:rsidRPr="00AD6F44">
              <w:rPr>
                <w:lang w:val="ro-RO" w:eastAsia="en-US"/>
              </w:rPr>
              <w:t xml:space="preserve">- Urmează a fi modificată clauza de emitere şi nu preambulul. </w:t>
            </w:r>
          </w:p>
          <w:p w:rsidR="004735E8" w:rsidRPr="00AD6F44" w:rsidRDefault="004735E8" w:rsidP="00AD6F44">
            <w:pPr>
              <w:jc w:val="both"/>
              <w:rPr>
                <w:lang w:val="ro-RO" w:eastAsia="en-US"/>
              </w:rPr>
            </w:pPr>
            <w:r w:rsidRPr="00AD6F44">
              <w:rPr>
                <w:color w:val="000000"/>
                <w:lang w:val="ro-RO" w:eastAsia="en-US"/>
              </w:rPr>
              <w:t xml:space="preserve">- modificarea/completarea unui act este admisă numai dacă nu se afectează concepţia generală a reglementării.  Actul normativ emis în temeiul unei legi abrogate, a unei concepţii care contravine noilor reglementări trebuie să fie abrogat. Astfel, urmează ca </w:t>
            </w:r>
            <w:proofErr w:type="spellStart"/>
            <w:r w:rsidRPr="00AD6F44">
              <w:rPr>
                <w:color w:val="000000"/>
                <w:lang w:val="ro-RO" w:eastAsia="en-US"/>
              </w:rPr>
              <w:t>Hotărîrea</w:t>
            </w:r>
            <w:proofErr w:type="spellEnd"/>
            <w:r w:rsidRPr="00AD6F44">
              <w:rPr>
                <w:color w:val="000000"/>
                <w:lang w:val="ro-RO" w:eastAsia="en-US"/>
              </w:rPr>
              <w:t xml:space="preserve"> Guvernului </w:t>
            </w:r>
            <w:r w:rsidRPr="00AD6F44">
              <w:rPr>
                <w:lang w:val="ro-RO" w:eastAsia="en-US"/>
              </w:rPr>
              <w:t>cu privire la prestarea serviciilor de alimentaţie publică să fie</w:t>
            </w:r>
            <w:r w:rsidRPr="00AD6F44">
              <w:rPr>
                <w:color w:val="000000"/>
                <w:lang w:val="ro-RO" w:eastAsia="en-US"/>
              </w:rPr>
              <w:t xml:space="preserve"> expusă într-o nouă formulare. </w:t>
            </w:r>
          </w:p>
          <w:p w:rsidR="004735E8" w:rsidRPr="00AD6F44" w:rsidRDefault="004735E8" w:rsidP="00AD6F44">
            <w:pPr>
              <w:tabs>
                <w:tab w:val="left" w:pos="6840"/>
              </w:tabs>
              <w:jc w:val="both"/>
              <w:rPr>
                <w:lang w:val="ro-RO" w:eastAsia="en-US"/>
              </w:rPr>
            </w:pPr>
            <w:r w:rsidRPr="00AD6F44">
              <w:rPr>
                <w:lang w:val="ro-RO" w:eastAsia="en-US"/>
              </w:rPr>
              <w:t>Respectiv, modificarea/completarea HG nr.931/2011</w:t>
            </w:r>
          </w:p>
          <w:p w:rsidR="004735E8" w:rsidRPr="00AD6F44" w:rsidRDefault="004735E8" w:rsidP="00AD6F44">
            <w:pPr>
              <w:tabs>
                <w:tab w:val="left" w:pos="6840"/>
              </w:tabs>
              <w:jc w:val="both"/>
              <w:rPr>
                <w:color w:val="000000"/>
                <w:lang w:val="ro-RO" w:eastAsia="en-US"/>
              </w:rPr>
            </w:pPr>
            <w:r w:rsidRPr="00AD6F44">
              <w:rPr>
                <w:color w:val="000000"/>
                <w:lang w:val="ro-RO" w:eastAsia="en-US"/>
              </w:rPr>
              <w:t>cu privire la desfăşurarea comerţului cu amănuntul să fie promovat ca proiect separat.</w:t>
            </w:r>
          </w:p>
          <w:p w:rsidR="004735E8" w:rsidRPr="00AD6F44" w:rsidRDefault="004735E8" w:rsidP="00AD6F44">
            <w:pPr>
              <w:tabs>
                <w:tab w:val="left" w:pos="6840"/>
              </w:tabs>
              <w:jc w:val="both"/>
              <w:rPr>
                <w:color w:val="000000"/>
                <w:lang w:val="ro-RO" w:eastAsia="en-US"/>
              </w:rPr>
            </w:pPr>
          </w:p>
          <w:p w:rsidR="004735E8" w:rsidRPr="00AD6F44" w:rsidRDefault="004735E8" w:rsidP="00AD6F44">
            <w:pPr>
              <w:tabs>
                <w:tab w:val="left" w:pos="6840"/>
              </w:tabs>
              <w:jc w:val="both"/>
              <w:rPr>
                <w:color w:val="000000"/>
                <w:lang w:val="ro-RO" w:eastAsia="en-US"/>
              </w:rPr>
            </w:pPr>
          </w:p>
          <w:p w:rsidR="004735E8" w:rsidRPr="00AD6F44" w:rsidRDefault="004735E8" w:rsidP="00AD6F44">
            <w:pPr>
              <w:tabs>
                <w:tab w:val="left" w:pos="6840"/>
              </w:tabs>
              <w:jc w:val="both"/>
              <w:rPr>
                <w:color w:val="000000"/>
                <w:lang w:val="ro-RO" w:eastAsia="en-US"/>
              </w:rPr>
            </w:pPr>
          </w:p>
          <w:p w:rsidR="004735E8" w:rsidRPr="00AD6F44" w:rsidRDefault="004735E8" w:rsidP="00AD6F44">
            <w:pPr>
              <w:tabs>
                <w:tab w:val="left" w:pos="6840"/>
              </w:tabs>
              <w:jc w:val="both"/>
              <w:rPr>
                <w:color w:val="000000"/>
                <w:lang w:val="ro-RO" w:eastAsia="en-US"/>
              </w:rPr>
            </w:pPr>
          </w:p>
          <w:p w:rsidR="004735E8" w:rsidRPr="00AD6F44" w:rsidRDefault="004735E8" w:rsidP="00AD6F44">
            <w:pPr>
              <w:tabs>
                <w:tab w:val="left" w:pos="6840"/>
              </w:tabs>
              <w:jc w:val="both"/>
              <w:rPr>
                <w:color w:val="000000"/>
                <w:lang w:val="ro-RO" w:eastAsia="en-US"/>
              </w:rPr>
            </w:pPr>
          </w:p>
          <w:p w:rsidR="004735E8" w:rsidRPr="00AD6F44" w:rsidRDefault="004735E8" w:rsidP="00AD6F44">
            <w:pPr>
              <w:tabs>
                <w:tab w:val="left" w:pos="6840"/>
              </w:tabs>
              <w:jc w:val="both"/>
              <w:rPr>
                <w:color w:val="000000"/>
                <w:lang w:val="ro-RO" w:eastAsia="en-US"/>
              </w:rPr>
            </w:pPr>
          </w:p>
          <w:p w:rsidR="004735E8" w:rsidRPr="00AD6F44" w:rsidRDefault="004735E8" w:rsidP="00AD6F44">
            <w:pPr>
              <w:tabs>
                <w:tab w:val="left" w:pos="6840"/>
              </w:tabs>
              <w:jc w:val="both"/>
              <w:rPr>
                <w:color w:val="000000"/>
                <w:lang w:val="ro-RO" w:eastAsia="en-US"/>
              </w:rPr>
            </w:pPr>
          </w:p>
          <w:p w:rsidR="004735E8" w:rsidRPr="00AD6F44" w:rsidRDefault="004735E8" w:rsidP="00AD6F44">
            <w:pPr>
              <w:tabs>
                <w:tab w:val="left" w:pos="6840"/>
              </w:tabs>
              <w:jc w:val="both"/>
              <w:rPr>
                <w:color w:val="000000"/>
                <w:lang w:val="ro-RO" w:eastAsia="en-US"/>
              </w:rPr>
            </w:pPr>
          </w:p>
          <w:p w:rsidR="004735E8" w:rsidRPr="00AD6F44" w:rsidRDefault="004735E8" w:rsidP="00AD6F44">
            <w:pPr>
              <w:tabs>
                <w:tab w:val="left" w:pos="6840"/>
              </w:tabs>
              <w:jc w:val="both"/>
              <w:rPr>
                <w:color w:val="000000"/>
                <w:lang w:val="ro-RO" w:eastAsia="en-US"/>
              </w:rPr>
            </w:pPr>
          </w:p>
          <w:p w:rsidR="004735E8" w:rsidRPr="00AD6F44" w:rsidRDefault="004735E8" w:rsidP="00AD6F44">
            <w:pPr>
              <w:tabs>
                <w:tab w:val="left" w:pos="6840"/>
              </w:tabs>
              <w:jc w:val="both"/>
              <w:rPr>
                <w:color w:val="000000"/>
                <w:lang w:val="ro-RO" w:eastAsia="en-US"/>
              </w:rPr>
            </w:pPr>
          </w:p>
          <w:p w:rsidR="004735E8" w:rsidRPr="00AD6F44" w:rsidRDefault="004735E8" w:rsidP="00AD6F44">
            <w:pPr>
              <w:tabs>
                <w:tab w:val="left" w:pos="6840"/>
              </w:tabs>
              <w:jc w:val="both"/>
              <w:rPr>
                <w:color w:val="000000"/>
                <w:lang w:val="ro-RO" w:eastAsia="en-US"/>
              </w:rPr>
            </w:pPr>
          </w:p>
          <w:p w:rsidR="004735E8" w:rsidRPr="00AD6F44" w:rsidRDefault="004735E8" w:rsidP="00AD6F44">
            <w:pPr>
              <w:tabs>
                <w:tab w:val="left" w:pos="6840"/>
              </w:tabs>
              <w:jc w:val="both"/>
              <w:rPr>
                <w:color w:val="000000"/>
                <w:lang w:val="ro-RO" w:eastAsia="en-US"/>
              </w:rPr>
            </w:pPr>
          </w:p>
          <w:p w:rsidR="004735E8" w:rsidRPr="00AD6F44" w:rsidRDefault="004735E8" w:rsidP="00AD6F44">
            <w:pPr>
              <w:tabs>
                <w:tab w:val="left" w:pos="6840"/>
              </w:tabs>
              <w:jc w:val="both"/>
              <w:rPr>
                <w:color w:val="000000"/>
                <w:lang w:val="ro-RO" w:eastAsia="en-US"/>
              </w:rPr>
            </w:pPr>
          </w:p>
          <w:p w:rsidR="004735E8" w:rsidRPr="00AD6F44" w:rsidRDefault="004735E8" w:rsidP="00AD6F44">
            <w:pPr>
              <w:tabs>
                <w:tab w:val="left" w:pos="6840"/>
              </w:tabs>
              <w:jc w:val="both"/>
              <w:rPr>
                <w:color w:val="000000"/>
                <w:lang w:val="ro-RO" w:eastAsia="en-US"/>
              </w:rPr>
            </w:pPr>
          </w:p>
          <w:p w:rsidR="004735E8" w:rsidRPr="00AD6F44" w:rsidRDefault="004735E8" w:rsidP="00AD6F44">
            <w:pPr>
              <w:tabs>
                <w:tab w:val="left" w:pos="6840"/>
              </w:tabs>
              <w:jc w:val="both"/>
              <w:rPr>
                <w:color w:val="000000"/>
                <w:lang w:val="ro-RO" w:eastAsia="en-US"/>
              </w:rPr>
            </w:pPr>
          </w:p>
          <w:p w:rsidR="004735E8" w:rsidRPr="00AD6F44" w:rsidRDefault="004735E8" w:rsidP="00AD6F44">
            <w:pPr>
              <w:tabs>
                <w:tab w:val="left" w:pos="6840"/>
              </w:tabs>
              <w:jc w:val="both"/>
              <w:rPr>
                <w:color w:val="000000"/>
                <w:lang w:val="ro-RO" w:eastAsia="en-US"/>
              </w:rPr>
            </w:pPr>
          </w:p>
          <w:p w:rsidR="004735E8" w:rsidRPr="00AD6F44" w:rsidRDefault="004735E8" w:rsidP="00AD6F44">
            <w:pPr>
              <w:tabs>
                <w:tab w:val="left" w:pos="6840"/>
              </w:tabs>
              <w:jc w:val="both"/>
              <w:rPr>
                <w:color w:val="000000"/>
                <w:lang w:val="ro-RO" w:eastAsia="en-US"/>
              </w:rPr>
            </w:pPr>
          </w:p>
          <w:p w:rsidR="004735E8" w:rsidRPr="00AD6F44" w:rsidRDefault="004735E8" w:rsidP="004735E8">
            <w:pPr>
              <w:tabs>
                <w:tab w:val="left" w:pos="6840"/>
              </w:tabs>
              <w:jc w:val="both"/>
              <w:rPr>
                <w:b/>
                <w:color w:val="000000"/>
                <w:lang w:val="ro-RO"/>
              </w:rPr>
            </w:pPr>
            <w:r w:rsidRPr="00AD6F44">
              <w:rPr>
                <w:color w:val="000000"/>
                <w:lang w:val="ro-RO" w:eastAsia="en-US"/>
              </w:rPr>
              <w:t xml:space="preserve">- se va revedea propunerea de modificare </w:t>
            </w:r>
            <w:r w:rsidRPr="00AD6F44">
              <w:rPr>
                <w:lang w:val="ro-RO" w:eastAsia="en-US"/>
              </w:rPr>
              <w:t>ale pct. 1 şi 3 Capitolul II din anexa nr. 2 la HG nr. 931/2011 cu privire la desfăşurarea comerţului cu amănuntul.</w:t>
            </w:r>
          </w:p>
        </w:tc>
        <w:tc>
          <w:tcPr>
            <w:tcW w:w="1676" w:type="dxa"/>
            <w:shd w:val="clear" w:color="auto" w:fill="auto"/>
          </w:tcPr>
          <w:p w:rsidR="004735E8" w:rsidRPr="00AD6F44" w:rsidRDefault="004735E8" w:rsidP="00AD6F44">
            <w:pPr>
              <w:rPr>
                <w:color w:val="000000"/>
                <w:lang w:val="ro-RO"/>
              </w:rPr>
            </w:pPr>
            <w:r w:rsidRPr="00AD6F44">
              <w:rPr>
                <w:color w:val="000000"/>
                <w:lang w:val="ro-RO"/>
              </w:rPr>
              <w:t>Se acceptă</w:t>
            </w:r>
          </w:p>
          <w:p w:rsidR="004735E8" w:rsidRPr="00AD6F44" w:rsidRDefault="004735E8" w:rsidP="00AD6F44">
            <w:pPr>
              <w:rPr>
                <w:color w:val="000000"/>
                <w:lang w:val="ro-RO"/>
              </w:rPr>
            </w:pPr>
          </w:p>
          <w:p w:rsidR="004735E8" w:rsidRPr="00AD6F44" w:rsidRDefault="004735E8" w:rsidP="00AD6F44">
            <w:pPr>
              <w:rPr>
                <w:color w:val="000000"/>
                <w:lang w:val="ro-RO"/>
              </w:rPr>
            </w:pPr>
            <w:r w:rsidRPr="00AD6F44">
              <w:rPr>
                <w:color w:val="000000"/>
                <w:lang w:val="ro-RO"/>
              </w:rPr>
              <w:t>Nu se acceptă</w:t>
            </w: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p>
          <w:p w:rsidR="004735E8" w:rsidRPr="00AD6F44" w:rsidRDefault="004735E8" w:rsidP="00AD6F44">
            <w:pPr>
              <w:rPr>
                <w:color w:val="000000"/>
                <w:lang w:val="ro-RO"/>
              </w:rPr>
            </w:pPr>
            <w:r w:rsidRPr="00AD6F44">
              <w:rPr>
                <w:color w:val="000000"/>
                <w:lang w:val="ro-RO"/>
              </w:rPr>
              <w:t>Se acceptă</w:t>
            </w:r>
          </w:p>
          <w:p w:rsidR="004735E8" w:rsidRPr="00AD6F44" w:rsidRDefault="004735E8" w:rsidP="00AD6F44">
            <w:pPr>
              <w:rPr>
                <w:color w:val="000000"/>
                <w:lang w:val="ro-RO"/>
              </w:rPr>
            </w:pPr>
          </w:p>
          <w:p w:rsidR="004735E8" w:rsidRPr="00AD6F44" w:rsidRDefault="004735E8" w:rsidP="00AD6F44">
            <w:pPr>
              <w:rPr>
                <w:color w:val="000000"/>
                <w:lang w:val="ro-RO"/>
              </w:rPr>
            </w:pPr>
          </w:p>
        </w:tc>
        <w:tc>
          <w:tcPr>
            <w:tcW w:w="3780" w:type="dxa"/>
            <w:shd w:val="clear" w:color="auto" w:fill="auto"/>
          </w:tcPr>
          <w:p w:rsidR="004735E8" w:rsidRPr="00AD6F44" w:rsidRDefault="004735E8" w:rsidP="00AD6F44">
            <w:pPr>
              <w:jc w:val="center"/>
              <w:rPr>
                <w:color w:val="000000"/>
                <w:lang w:val="ro-RO"/>
              </w:rPr>
            </w:pPr>
          </w:p>
          <w:p w:rsidR="004735E8" w:rsidRDefault="004735E8" w:rsidP="00AD6F44">
            <w:pPr>
              <w:jc w:val="both"/>
              <w:rPr>
                <w:color w:val="000000"/>
                <w:lang w:val="ro-RO"/>
              </w:rPr>
            </w:pPr>
          </w:p>
          <w:p w:rsidR="004735E8" w:rsidRPr="00AD6F44" w:rsidRDefault="004735E8" w:rsidP="00AD6F44">
            <w:pPr>
              <w:jc w:val="both"/>
              <w:rPr>
                <w:color w:val="000000"/>
                <w:lang w:val="ro-RO"/>
              </w:rPr>
            </w:pPr>
            <w:r>
              <w:rPr>
                <w:color w:val="000000"/>
                <w:lang w:val="ro-RO"/>
              </w:rPr>
              <w:t>C</w:t>
            </w:r>
            <w:r w:rsidRPr="00AD6F44">
              <w:rPr>
                <w:color w:val="000000"/>
                <w:lang w:val="ro-RO"/>
              </w:rPr>
              <w:t>ompetenţa Guvernului de a aproba Nomenclatorul unităţilor de alimentaţie publică şi regulile specifice este prevăzută de Legea nr. 231/2010 de la momentul adoptării acesteia. Urmare modificării art. 11 a fost exclusă doar obligativitatea atribuirii categoriilor de deservire unităţilor de alimentaţie publică, cu excepţia celor încadrate în structuri de primire turistică (</w:t>
            </w:r>
            <w:r>
              <w:rPr>
                <w:color w:val="000000"/>
                <w:lang w:val="ro-RO"/>
              </w:rPr>
              <w:t>v</w:t>
            </w:r>
            <w:r w:rsidRPr="00AD6F44">
              <w:rPr>
                <w:color w:val="000000"/>
                <w:lang w:val="ro-RO"/>
              </w:rPr>
              <w:t xml:space="preserve">ezi Nota informativă). Astfel în cazul substituirii în clauza de emitere a </w:t>
            </w:r>
            <w:r>
              <w:rPr>
                <w:color w:val="000000"/>
                <w:lang w:val="ro-RO"/>
              </w:rPr>
              <w:t>Legii</w:t>
            </w:r>
            <w:r w:rsidRPr="00AD6F44">
              <w:rPr>
                <w:color w:val="000000"/>
                <w:lang w:val="ro-RO"/>
              </w:rPr>
              <w:t xml:space="preserve"> nr.</w:t>
            </w:r>
            <w:r>
              <w:rPr>
                <w:color w:val="000000"/>
                <w:lang w:val="ro-RO"/>
              </w:rPr>
              <w:t xml:space="preserve"> </w:t>
            </w:r>
            <w:r w:rsidRPr="00AD6F44">
              <w:rPr>
                <w:color w:val="000000"/>
                <w:lang w:val="ro-RO"/>
              </w:rPr>
              <w:t>749</w:t>
            </w:r>
            <w:r>
              <w:rPr>
                <w:color w:val="000000"/>
                <w:lang w:val="ro-RO"/>
              </w:rPr>
              <w:t xml:space="preserve"> c</w:t>
            </w:r>
            <w:r w:rsidRPr="00AD6F44">
              <w:rPr>
                <w:color w:val="000000"/>
                <w:lang w:val="ro-RO"/>
              </w:rPr>
              <w:t>u Legea nr.231, HG 1209 se încadrează în normele primare şi vine întru executarea acestora (Legea nr.324/2013).</w:t>
            </w:r>
          </w:p>
          <w:p w:rsidR="004735E8" w:rsidRPr="00AD6F44" w:rsidRDefault="004735E8" w:rsidP="00AD6F44">
            <w:pPr>
              <w:jc w:val="both"/>
              <w:rPr>
                <w:color w:val="000000"/>
                <w:lang w:val="ro-RO"/>
              </w:rPr>
            </w:pPr>
            <w:r w:rsidRPr="00AD6F44">
              <w:rPr>
                <w:color w:val="000000"/>
                <w:lang w:val="ro-RO"/>
              </w:rPr>
              <w:t>Concomitent, menţionăm că la moment Ministerul Economiei promovează un proiect de modificare şi completare a Legii nr. 231/2010, care include şi amendamente aferente prestării serviciilor de alimentaţie publică. Urmare adoptării proiectului vizat HG nr. 1209/2007 va fi revizuită integral şi adusă în concordanţă cu noile reglementări.</w:t>
            </w:r>
          </w:p>
          <w:p w:rsidR="004735E8" w:rsidRPr="00AD6F44" w:rsidRDefault="004735E8" w:rsidP="00AD6F44">
            <w:pPr>
              <w:jc w:val="both"/>
              <w:rPr>
                <w:color w:val="000000"/>
                <w:lang w:val="ro-RO"/>
              </w:rPr>
            </w:pPr>
          </w:p>
        </w:tc>
      </w:tr>
      <w:tr w:rsidR="004735E8" w:rsidRPr="004735E8" w:rsidTr="00BA3495">
        <w:tc>
          <w:tcPr>
            <w:tcW w:w="540" w:type="dxa"/>
            <w:shd w:val="clear" w:color="auto" w:fill="auto"/>
          </w:tcPr>
          <w:p w:rsidR="004735E8" w:rsidRPr="00AD6F44" w:rsidRDefault="004735E8" w:rsidP="00AD6F44">
            <w:pPr>
              <w:numPr>
                <w:ilvl w:val="0"/>
                <w:numId w:val="4"/>
              </w:numPr>
              <w:jc w:val="center"/>
              <w:rPr>
                <w:color w:val="000000"/>
                <w:lang w:val="ro-RO"/>
              </w:rPr>
            </w:pPr>
          </w:p>
        </w:tc>
        <w:tc>
          <w:tcPr>
            <w:tcW w:w="1728" w:type="dxa"/>
            <w:shd w:val="clear" w:color="auto" w:fill="auto"/>
          </w:tcPr>
          <w:p w:rsidR="004735E8" w:rsidRPr="00AD6F44" w:rsidRDefault="004735E8" w:rsidP="00AD6F44">
            <w:pPr>
              <w:jc w:val="center"/>
              <w:rPr>
                <w:color w:val="000000"/>
                <w:lang w:val="ro-RO"/>
              </w:rPr>
            </w:pPr>
            <w:r w:rsidRPr="00AD6F44">
              <w:rPr>
                <w:color w:val="000000"/>
                <w:lang w:val="ro-RO"/>
              </w:rPr>
              <w:t>Centrul Naţional Anticorupţie</w:t>
            </w:r>
          </w:p>
        </w:tc>
        <w:tc>
          <w:tcPr>
            <w:tcW w:w="1620" w:type="dxa"/>
            <w:shd w:val="clear" w:color="auto" w:fill="auto"/>
          </w:tcPr>
          <w:p w:rsidR="004735E8" w:rsidRPr="00AD6F44" w:rsidRDefault="004735E8" w:rsidP="00AD6F44">
            <w:pPr>
              <w:jc w:val="both"/>
              <w:rPr>
                <w:b/>
                <w:color w:val="000000"/>
                <w:lang w:val="ro-RO"/>
              </w:rPr>
            </w:pPr>
          </w:p>
        </w:tc>
        <w:tc>
          <w:tcPr>
            <w:tcW w:w="5580" w:type="dxa"/>
            <w:shd w:val="clear" w:color="auto" w:fill="auto"/>
          </w:tcPr>
          <w:p w:rsidR="004735E8" w:rsidRPr="00AD6F44" w:rsidRDefault="004735E8" w:rsidP="00AD6F44">
            <w:pPr>
              <w:jc w:val="both"/>
              <w:rPr>
                <w:b/>
                <w:lang w:val="ro-RO" w:eastAsia="en-US"/>
              </w:rPr>
            </w:pPr>
            <w:r w:rsidRPr="00AD6F44">
              <w:rPr>
                <w:b/>
                <w:lang w:val="ro-RO" w:eastAsia="en-US"/>
              </w:rPr>
              <w:t xml:space="preserve">             Fără obiecţii.</w:t>
            </w:r>
          </w:p>
          <w:p w:rsidR="004735E8" w:rsidRPr="00AD6F44" w:rsidRDefault="004735E8" w:rsidP="00AD6F44">
            <w:pPr>
              <w:jc w:val="both"/>
              <w:rPr>
                <w:lang w:val="ro-RO" w:eastAsia="en-US"/>
              </w:rPr>
            </w:pPr>
            <w:r w:rsidRPr="00AD6F44">
              <w:rPr>
                <w:lang w:val="ro-RO" w:eastAsia="en-US"/>
              </w:rPr>
              <w:t xml:space="preserve">Proiectul de act normativ este elaborat în </w:t>
            </w:r>
            <w:r w:rsidRPr="00AD6F44">
              <w:rPr>
                <w:b/>
                <w:lang w:val="ro-RO" w:eastAsia="en-US"/>
              </w:rPr>
              <w:t xml:space="preserve">scopul ajustării prevederilor la noile reglementări </w:t>
            </w:r>
            <w:r w:rsidRPr="00AD6F44">
              <w:rPr>
                <w:lang w:val="ro-RO" w:eastAsia="en-US"/>
              </w:rPr>
              <w:t xml:space="preserve">aprobate prin Legea nr. 231 din 23.09.2010. Prin urmare este unul justificat din punct de vedere al condiţiilor, care au impus elaborarea acestuia. </w:t>
            </w:r>
          </w:p>
          <w:p w:rsidR="004735E8" w:rsidRPr="00AD6F44" w:rsidRDefault="004735E8" w:rsidP="00AD6F44">
            <w:pPr>
              <w:tabs>
                <w:tab w:val="left" w:pos="1470"/>
              </w:tabs>
              <w:jc w:val="both"/>
              <w:rPr>
                <w:color w:val="000000"/>
                <w:lang w:val="ro-RO"/>
              </w:rPr>
            </w:pPr>
            <w:r w:rsidRPr="00AD6F44">
              <w:rPr>
                <w:color w:val="000000"/>
                <w:lang w:val="ro-RO"/>
              </w:rPr>
              <w:t xml:space="preserve">Implementarea proiectului </w:t>
            </w:r>
            <w:r w:rsidRPr="00AD6F44">
              <w:rPr>
                <w:b/>
                <w:color w:val="000000"/>
                <w:lang w:val="ro-RO"/>
              </w:rPr>
              <w:t>nu presupune cheltuieli</w:t>
            </w:r>
            <w:r w:rsidRPr="00AD6F44">
              <w:rPr>
                <w:color w:val="000000"/>
                <w:lang w:val="ro-RO"/>
              </w:rPr>
              <w:t xml:space="preserve"> financiare suplimentare.</w:t>
            </w:r>
          </w:p>
          <w:p w:rsidR="004735E8" w:rsidRPr="00AD6F44" w:rsidRDefault="004735E8" w:rsidP="00AD6F44">
            <w:pPr>
              <w:jc w:val="both"/>
              <w:rPr>
                <w:lang w:val="ro-RO" w:eastAsia="en-US"/>
              </w:rPr>
            </w:pPr>
            <w:r w:rsidRPr="00AD6F44">
              <w:rPr>
                <w:lang w:val="ro-RO" w:eastAsia="en-US"/>
              </w:rPr>
              <w:t xml:space="preserve">Prevederile proiectului </w:t>
            </w:r>
            <w:r w:rsidRPr="00AD6F44">
              <w:rPr>
                <w:b/>
                <w:lang w:val="ro-RO" w:eastAsia="en-US"/>
              </w:rPr>
              <w:t>nu promovează şi nu prejudiciază careva interese de grup sau individuale</w:t>
            </w:r>
            <w:r w:rsidRPr="00AD6F44">
              <w:rPr>
                <w:lang w:val="ro-RO" w:eastAsia="en-US"/>
              </w:rPr>
              <w:t xml:space="preserve"> în lipsa justificării interesului public.</w:t>
            </w:r>
          </w:p>
          <w:p w:rsidR="004735E8" w:rsidRPr="00AD6F44" w:rsidRDefault="004735E8" w:rsidP="00AD6F44">
            <w:pPr>
              <w:jc w:val="both"/>
              <w:rPr>
                <w:lang w:val="ro-RO" w:eastAsia="en-US"/>
              </w:rPr>
            </w:pPr>
            <w:r w:rsidRPr="00AD6F44">
              <w:rPr>
                <w:lang w:val="ro-RO" w:eastAsia="en-US"/>
              </w:rPr>
              <w:t xml:space="preserve">În proiect </w:t>
            </w:r>
            <w:r w:rsidRPr="00AD6F44">
              <w:rPr>
                <w:b/>
                <w:lang w:val="ro-RO" w:eastAsia="en-US"/>
              </w:rPr>
              <w:t>nu au fost atestate incompatibilităţi cu standardele naţionale şi internaţionale anticorupţie</w:t>
            </w:r>
            <w:r w:rsidRPr="00AD6F44">
              <w:rPr>
                <w:lang w:val="ro-RO" w:eastAsia="en-US"/>
              </w:rPr>
              <w:t>.</w:t>
            </w:r>
          </w:p>
          <w:p w:rsidR="004735E8" w:rsidRPr="00AD6F44" w:rsidRDefault="004735E8" w:rsidP="00AD6F44">
            <w:pPr>
              <w:tabs>
                <w:tab w:val="left" w:pos="1470"/>
              </w:tabs>
              <w:jc w:val="both"/>
              <w:rPr>
                <w:color w:val="000000"/>
                <w:lang w:val="ro-RO"/>
              </w:rPr>
            </w:pPr>
            <w:r w:rsidRPr="00AD6F44">
              <w:rPr>
                <w:color w:val="000000"/>
                <w:lang w:val="ro-RO"/>
              </w:rPr>
              <w:t xml:space="preserve">Proiectul </w:t>
            </w:r>
            <w:r w:rsidRPr="00AD6F44">
              <w:rPr>
                <w:color w:val="000000"/>
                <w:u w:val="single"/>
                <w:lang w:val="ro-RO"/>
              </w:rPr>
              <w:t>întruneşte cerinţele</w:t>
            </w:r>
            <w:r w:rsidRPr="00AD6F44">
              <w:rPr>
                <w:color w:val="000000"/>
                <w:lang w:val="ro-RO"/>
              </w:rPr>
              <w:t xml:space="preserve"> impuse de prevederile Legii privind transparenţa în procesul decizional nr. 239-XVI din 13.11.2008.</w:t>
            </w:r>
          </w:p>
          <w:p w:rsidR="004735E8" w:rsidRPr="00AD6F44" w:rsidRDefault="004735E8" w:rsidP="00AD6F44">
            <w:pPr>
              <w:jc w:val="both"/>
              <w:rPr>
                <w:lang w:val="ro-RO" w:eastAsia="en-US"/>
              </w:rPr>
            </w:pPr>
            <w:r w:rsidRPr="00AD6F44">
              <w:rPr>
                <w:lang w:val="ro-RO" w:eastAsia="en-US"/>
              </w:rPr>
              <w:t xml:space="preserve">Textul proiectului </w:t>
            </w:r>
            <w:r w:rsidRPr="00AD6F44">
              <w:rPr>
                <w:b/>
                <w:lang w:val="ro-RO" w:eastAsia="en-US"/>
              </w:rPr>
              <w:t>corespunde tehnicii legislative</w:t>
            </w:r>
            <w:r w:rsidRPr="00AD6F44">
              <w:rPr>
                <w:lang w:val="ro-RO" w:eastAsia="en-US"/>
              </w:rPr>
              <w:t xml:space="preserve"> </w:t>
            </w:r>
            <w:r w:rsidRPr="00AD6F44">
              <w:rPr>
                <w:b/>
                <w:lang w:val="ro-RO" w:eastAsia="en-US"/>
              </w:rPr>
              <w:t>şi normative</w:t>
            </w:r>
            <w:r w:rsidRPr="00AD6F44">
              <w:rPr>
                <w:lang w:val="ro-RO" w:eastAsia="en-US"/>
              </w:rPr>
              <w:t>, regulilor limbajului şi expresiei juridice.</w:t>
            </w:r>
          </w:p>
          <w:p w:rsidR="004735E8" w:rsidRPr="00AD6F44" w:rsidRDefault="004735E8" w:rsidP="00AF54BA">
            <w:pPr>
              <w:jc w:val="both"/>
              <w:rPr>
                <w:lang w:val="ro-RO" w:eastAsia="en-US"/>
              </w:rPr>
            </w:pPr>
            <w:r w:rsidRPr="00AD6F44">
              <w:rPr>
                <w:u w:val="single"/>
                <w:lang w:val="ro-RO" w:eastAsia="en-US"/>
              </w:rPr>
              <w:t>Nu au fost identificate</w:t>
            </w:r>
            <w:r w:rsidRPr="00AD6F44">
              <w:rPr>
                <w:lang w:val="ro-RO" w:eastAsia="en-US"/>
              </w:rPr>
              <w:t xml:space="preserve"> conflicte ale normelor de drept, </w:t>
            </w:r>
          </w:p>
          <w:p w:rsidR="004735E8" w:rsidRPr="00AD6F44" w:rsidRDefault="004735E8" w:rsidP="00AD6F44">
            <w:pPr>
              <w:jc w:val="both"/>
              <w:rPr>
                <w:lang w:val="ro-RO" w:eastAsia="en-US"/>
              </w:rPr>
            </w:pPr>
            <w:r w:rsidRPr="00AD6F44">
              <w:rPr>
                <w:lang w:val="ro-RO" w:eastAsia="en-US"/>
              </w:rPr>
              <w:t>norme de trimitere, de blanchetă şi norme în alb, discreţii excesive ale autorităţilor publice, capabile să genereze coruptibilitate.</w:t>
            </w:r>
          </w:p>
          <w:p w:rsidR="004735E8" w:rsidRPr="00AD6F44" w:rsidRDefault="004735E8" w:rsidP="00AD6F44">
            <w:pPr>
              <w:jc w:val="both"/>
              <w:rPr>
                <w:lang w:val="ro-RO" w:eastAsia="en-US"/>
              </w:rPr>
            </w:pPr>
            <w:r w:rsidRPr="00AD6F44">
              <w:rPr>
                <w:lang w:val="ro-RO" w:eastAsia="en-US"/>
              </w:rPr>
              <w:t xml:space="preserve"> </w:t>
            </w:r>
            <w:r w:rsidRPr="00AD6F44">
              <w:rPr>
                <w:u w:val="single"/>
                <w:lang w:val="ro-RO" w:eastAsia="en-US"/>
              </w:rPr>
              <w:t>Nu sunt identificate</w:t>
            </w:r>
            <w:r w:rsidRPr="00AD6F44">
              <w:rPr>
                <w:lang w:val="ro-RO" w:eastAsia="en-US"/>
              </w:rPr>
              <w:t xml:space="preserve"> cerinţe excesive, care să depăşească cadrul rezonabil pentru realizarea drepturilor sau obligaţiilor subiecţilor vizaţi.</w:t>
            </w:r>
          </w:p>
          <w:p w:rsidR="004735E8" w:rsidRPr="00AD6F44" w:rsidRDefault="004735E8" w:rsidP="00AD6F44">
            <w:pPr>
              <w:jc w:val="both"/>
              <w:rPr>
                <w:lang w:val="ro-RO" w:eastAsia="en-US"/>
              </w:rPr>
            </w:pPr>
            <w:r w:rsidRPr="00AD6F44">
              <w:rPr>
                <w:lang w:val="ro-RO" w:eastAsia="en-US"/>
              </w:rPr>
              <w:t xml:space="preserve">Implementarea prevederilor proiectului </w:t>
            </w:r>
            <w:r w:rsidRPr="00AD6F44">
              <w:rPr>
                <w:u w:val="single"/>
                <w:lang w:val="ro-RO" w:eastAsia="en-US"/>
              </w:rPr>
              <w:t>nu presupune</w:t>
            </w:r>
            <w:r w:rsidRPr="00AD6F44">
              <w:rPr>
                <w:lang w:val="ro-RO" w:eastAsia="en-US"/>
              </w:rPr>
              <w:t xml:space="preserve"> aplicarea </w:t>
            </w:r>
            <w:proofErr w:type="spellStart"/>
            <w:r w:rsidRPr="00AD6F44">
              <w:rPr>
                <w:lang w:val="ro-RO" w:eastAsia="en-US"/>
              </w:rPr>
              <w:t>cărorva</w:t>
            </w:r>
            <w:proofErr w:type="spellEnd"/>
            <w:r w:rsidRPr="00AD6F44">
              <w:rPr>
                <w:lang w:val="ro-RO" w:eastAsia="en-US"/>
              </w:rPr>
              <w:t xml:space="preserve"> mecanisme suplimentare de control.</w:t>
            </w:r>
          </w:p>
          <w:p w:rsidR="004735E8" w:rsidRPr="00AD6F44" w:rsidRDefault="004735E8" w:rsidP="00AD6F44">
            <w:pPr>
              <w:jc w:val="both"/>
              <w:rPr>
                <w:lang w:val="ro-RO" w:eastAsia="en-US"/>
              </w:rPr>
            </w:pPr>
            <w:r w:rsidRPr="00AD6F44">
              <w:rPr>
                <w:lang w:val="ro-RO" w:eastAsia="en-US"/>
              </w:rPr>
              <w:t xml:space="preserve">Proiectul </w:t>
            </w:r>
            <w:r w:rsidRPr="00AD6F44">
              <w:rPr>
                <w:u w:val="single"/>
                <w:lang w:val="ro-RO" w:eastAsia="en-US"/>
              </w:rPr>
              <w:t>nu implică</w:t>
            </w:r>
            <w:r w:rsidRPr="00AD6F44">
              <w:rPr>
                <w:lang w:val="ro-RO" w:eastAsia="en-US"/>
              </w:rPr>
              <w:t xml:space="preserve"> careva responsabilităţi şi nu necesită referinţe exprese la responsabilitate şi sancţiunile aplicate pentru încălcarea prevederilor sale.</w:t>
            </w:r>
          </w:p>
        </w:tc>
        <w:tc>
          <w:tcPr>
            <w:tcW w:w="1676" w:type="dxa"/>
            <w:shd w:val="clear" w:color="auto" w:fill="auto"/>
          </w:tcPr>
          <w:p w:rsidR="004735E8" w:rsidRPr="00AD6F44" w:rsidRDefault="004735E8" w:rsidP="00AD6F44">
            <w:pPr>
              <w:rPr>
                <w:color w:val="000000"/>
                <w:lang w:val="ro-RO"/>
              </w:rPr>
            </w:pPr>
          </w:p>
        </w:tc>
        <w:tc>
          <w:tcPr>
            <w:tcW w:w="3780" w:type="dxa"/>
            <w:shd w:val="clear" w:color="auto" w:fill="auto"/>
          </w:tcPr>
          <w:p w:rsidR="004735E8" w:rsidRPr="00AD6F44" w:rsidRDefault="004735E8" w:rsidP="00AD6F44">
            <w:pPr>
              <w:jc w:val="center"/>
              <w:rPr>
                <w:color w:val="000000"/>
                <w:lang w:val="ro-RO"/>
              </w:rPr>
            </w:pPr>
          </w:p>
        </w:tc>
      </w:tr>
    </w:tbl>
    <w:p w:rsidR="00AB7798" w:rsidRPr="00AD6F44" w:rsidRDefault="00AB7798" w:rsidP="00AD6F44">
      <w:pPr>
        <w:rPr>
          <w:color w:val="000000"/>
          <w:lang w:val="ro-RO"/>
        </w:rPr>
      </w:pPr>
    </w:p>
    <w:sectPr w:rsidR="00AB7798" w:rsidRPr="00AD6F44" w:rsidSect="00E56A4C">
      <w:pgSz w:w="16838" w:h="11906" w:orient="landscape"/>
      <w:pgMar w:top="568" w:right="1134" w:bottom="5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DFD"/>
    <w:multiLevelType w:val="hybridMultilevel"/>
    <w:tmpl w:val="E5BC2134"/>
    <w:lvl w:ilvl="0" w:tplc="0E0E8C0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2D842B3"/>
    <w:multiLevelType w:val="hybridMultilevel"/>
    <w:tmpl w:val="1A1E6230"/>
    <w:lvl w:ilvl="0" w:tplc="0E8ECB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5A3EE3"/>
    <w:multiLevelType w:val="hybridMultilevel"/>
    <w:tmpl w:val="E58CAC8A"/>
    <w:lvl w:ilvl="0" w:tplc="D3364328">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FD6A1A"/>
    <w:multiLevelType w:val="hybridMultilevel"/>
    <w:tmpl w:val="ACA0247E"/>
    <w:lvl w:ilvl="0" w:tplc="11EE184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910EA4"/>
    <w:multiLevelType w:val="hybridMultilevel"/>
    <w:tmpl w:val="AAE21DE0"/>
    <w:lvl w:ilvl="0" w:tplc="1D7C825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1A50EF"/>
    <w:multiLevelType w:val="hybridMultilevel"/>
    <w:tmpl w:val="02920CDA"/>
    <w:lvl w:ilvl="0" w:tplc="36DACEB8">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AC722E9"/>
    <w:multiLevelType w:val="multilevel"/>
    <w:tmpl w:val="37C25EF2"/>
    <w:lvl w:ilvl="0">
      <w:start w:val="1"/>
      <w:numFmt w:val="decimal"/>
      <w:lvlText w:val="%1."/>
      <w:lvlJc w:val="left"/>
      <w:pPr>
        <w:tabs>
          <w:tab w:val="num" w:pos="720"/>
        </w:tabs>
        <w:ind w:left="720" w:hanging="607"/>
      </w:pPr>
      <w:rPr>
        <w:rFonts w:hint="default"/>
      </w:rPr>
    </w:lvl>
    <w:lvl w:ilvl="1">
      <w:start w:val="1"/>
      <w:numFmt w:val="bullet"/>
      <w:lvlText w:val=""/>
      <w:lvlJc w:val="left"/>
      <w:pPr>
        <w:tabs>
          <w:tab w:val="num" w:pos="964"/>
        </w:tabs>
        <w:ind w:left="907" w:hanging="90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C566B92"/>
    <w:multiLevelType w:val="hybridMultilevel"/>
    <w:tmpl w:val="0150D566"/>
    <w:lvl w:ilvl="0" w:tplc="3E7C9A82">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D483C93"/>
    <w:multiLevelType w:val="hybridMultilevel"/>
    <w:tmpl w:val="C19E6344"/>
    <w:lvl w:ilvl="0" w:tplc="C4BAC2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D66417F"/>
    <w:multiLevelType w:val="multilevel"/>
    <w:tmpl w:val="2DB03FDE"/>
    <w:lvl w:ilvl="0">
      <w:start w:val="1"/>
      <w:numFmt w:val="decimal"/>
      <w:lvlText w:val="%1."/>
      <w:lvlJc w:val="left"/>
      <w:pPr>
        <w:tabs>
          <w:tab w:val="num" w:pos="720"/>
        </w:tabs>
        <w:ind w:left="720" w:hanging="607"/>
      </w:pPr>
      <w:rPr>
        <w:rFonts w:hint="default"/>
      </w:rPr>
    </w:lvl>
    <w:lvl w:ilvl="1">
      <w:start w:val="1"/>
      <w:numFmt w:val="bullet"/>
      <w:lvlText w:val=""/>
      <w:lvlJc w:val="left"/>
      <w:pPr>
        <w:tabs>
          <w:tab w:val="num" w:pos="964"/>
        </w:tabs>
        <w:ind w:left="907" w:hanging="90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D8318CC"/>
    <w:multiLevelType w:val="hybridMultilevel"/>
    <w:tmpl w:val="DE2CEE9A"/>
    <w:lvl w:ilvl="0" w:tplc="61DC93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D8A1FE1"/>
    <w:multiLevelType w:val="multilevel"/>
    <w:tmpl w:val="37C25EF2"/>
    <w:lvl w:ilvl="0">
      <w:start w:val="1"/>
      <w:numFmt w:val="decimal"/>
      <w:lvlText w:val="%1."/>
      <w:lvlJc w:val="left"/>
      <w:pPr>
        <w:tabs>
          <w:tab w:val="num" w:pos="720"/>
        </w:tabs>
        <w:ind w:left="720" w:hanging="607"/>
      </w:pPr>
      <w:rPr>
        <w:rFonts w:hint="default"/>
      </w:rPr>
    </w:lvl>
    <w:lvl w:ilvl="1">
      <w:start w:val="1"/>
      <w:numFmt w:val="bullet"/>
      <w:lvlText w:val=""/>
      <w:lvlJc w:val="left"/>
      <w:pPr>
        <w:tabs>
          <w:tab w:val="num" w:pos="964"/>
        </w:tabs>
        <w:ind w:left="907" w:hanging="90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027C85"/>
    <w:multiLevelType w:val="hybridMultilevel"/>
    <w:tmpl w:val="BA1C3F6C"/>
    <w:lvl w:ilvl="0" w:tplc="D0BC319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3">
    <w:nsid w:val="10665508"/>
    <w:multiLevelType w:val="hybridMultilevel"/>
    <w:tmpl w:val="8C809BF6"/>
    <w:lvl w:ilvl="0" w:tplc="C1A8CB2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4BA48F7"/>
    <w:multiLevelType w:val="hybridMultilevel"/>
    <w:tmpl w:val="47142684"/>
    <w:lvl w:ilvl="0" w:tplc="7D7CA25C">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4DE3761"/>
    <w:multiLevelType w:val="hybridMultilevel"/>
    <w:tmpl w:val="1388CEE0"/>
    <w:lvl w:ilvl="0" w:tplc="1250D1B2">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8826E72"/>
    <w:multiLevelType w:val="hybridMultilevel"/>
    <w:tmpl w:val="AFC6B260"/>
    <w:lvl w:ilvl="0" w:tplc="AF001FC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0D12746"/>
    <w:multiLevelType w:val="hybridMultilevel"/>
    <w:tmpl w:val="40DCB13C"/>
    <w:lvl w:ilvl="0" w:tplc="24866AC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4161831"/>
    <w:multiLevelType w:val="hybridMultilevel"/>
    <w:tmpl w:val="CACA4E3E"/>
    <w:lvl w:ilvl="0" w:tplc="5DA84EBC">
      <w:start w:val="1"/>
      <w:numFmt w:val="decimal"/>
      <w:lvlText w:val="%1."/>
      <w:lvlJc w:val="left"/>
      <w:pPr>
        <w:tabs>
          <w:tab w:val="num" w:pos="720"/>
        </w:tabs>
        <w:ind w:left="720" w:hanging="607"/>
      </w:pPr>
      <w:rPr>
        <w:rFonts w:hint="default"/>
      </w:rPr>
    </w:lvl>
    <w:lvl w:ilvl="1" w:tplc="A5FC39C4">
      <w:start w:val="1"/>
      <w:numFmt w:val="bullet"/>
      <w:lvlText w:val=""/>
      <w:lvlJc w:val="left"/>
      <w:pPr>
        <w:tabs>
          <w:tab w:val="num" w:pos="964"/>
        </w:tabs>
        <w:ind w:left="907" w:hanging="907"/>
      </w:pPr>
      <w:rPr>
        <w:rFonts w:ascii="Symbol" w:hAnsi="Symbol" w:hint="default"/>
      </w:rPr>
    </w:lvl>
    <w:lvl w:ilvl="2" w:tplc="382089FC">
      <w:start w:val="16"/>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8E33E8A"/>
    <w:multiLevelType w:val="hybridMultilevel"/>
    <w:tmpl w:val="40B0FAD4"/>
    <w:lvl w:ilvl="0" w:tplc="E4CACF46">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A792923"/>
    <w:multiLevelType w:val="hybridMultilevel"/>
    <w:tmpl w:val="3F9EE5AE"/>
    <w:lvl w:ilvl="0" w:tplc="41C6A3B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EBC249F"/>
    <w:multiLevelType w:val="hybridMultilevel"/>
    <w:tmpl w:val="13A4FC4A"/>
    <w:lvl w:ilvl="0" w:tplc="15D616A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0DC26B4"/>
    <w:multiLevelType w:val="multilevel"/>
    <w:tmpl w:val="640A321C"/>
    <w:lvl w:ilvl="0">
      <w:start w:val="1"/>
      <w:numFmt w:val="decimal"/>
      <w:lvlText w:val="%1."/>
      <w:lvlJc w:val="left"/>
      <w:pPr>
        <w:tabs>
          <w:tab w:val="num" w:pos="720"/>
        </w:tabs>
        <w:ind w:left="720" w:hanging="607"/>
      </w:pPr>
      <w:rPr>
        <w:rFonts w:hint="default"/>
      </w:rPr>
    </w:lvl>
    <w:lvl w:ilvl="1">
      <w:start w:val="1"/>
      <w:numFmt w:val="bullet"/>
      <w:lvlText w:val=""/>
      <w:lvlJc w:val="left"/>
      <w:pPr>
        <w:tabs>
          <w:tab w:val="num" w:pos="964"/>
        </w:tabs>
        <w:ind w:left="907" w:hanging="90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15139FA"/>
    <w:multiLevelType w:val="hybridMultilevel"/>
    <w:tmpl w:val="01C66690"/>
    <w:lvl w:ilvl="0" w:tplc="BC50E6E8">
      <w:start w:val="17"/>
      <w:numFmt w:val="bullet"/>
      <w:lvlText w:val="-"/>
      <w:lvlJc w:val="left"/>
      <w:pPr>
        <w:tabs>
          <w:tab w:val="num" w:pos="915"/>
        </w:tabs>
        <w:ind w:left="915" w:hanging="55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204056F"/>
    <w:multiLevelType w:val="hybridMultilevel"/>
    <w:tmpl w:val="3BC0C96A"/>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359C681C"/>
    <w:multiLevelType w:val="hybridMultilevel"/>
    <w:tmpl w:val="19AC3E42"/>
    <w:lvl w:ilvl="0" w:tplc="CE88C6DA">
      <w:start w:val="16"/>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9DE339F"/>
    <w:multiLevelType w:val="hybridMultilevel"/>
    <w:tmpl w:val="04243940"/>
    <w:lvl w:ilvl="0" w:tplc="1810A1A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A156AC6"/>
    <w:multiLevelType w:val="hybridMultilevel"/>
    <w:tmpl w:val="FE163998"/>
    <w:lvl w:ilvl="0" w:tplc="C3CE3E22">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3A8704A9"/>
    <w:multiLevelType w:val="hybridMultilevel"/>
    <w:tmpl w:val="868C2B90"/>
    <w:lvl w:ilvl="0" w:tplc="0798A9B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C9969D6"/>
    <w:multiLevelType w:val="multilevel"/>
    <w:tmpl w:val="B2CA6488"/>
    <w:lvl w:ilvl="0">
      <w:start w:val="1"/>
      <w:numFmt w:val="decimal"/>
      <w:lvlText w:val="%1."/>
      <w:lvlJc w:val="left"/>
      <w:pPr>
        <w:tabs>
          <w:tab w:val="num" w:pos="720"/>
        </w:tabs>
        <w:ind w:left="720" w:hanging="607"/>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F3A4B7F"/>
    <w:multiLevelType w:val="hybridMultilevel"/>
    <w:tmpl w:val="4E7C6B68"/>
    <w:lvl w:ilvl="0" w:tplc="2F8EB20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A7B071A"/>
    <w:multiLevelType w:val="hybridMultilevel"/>
    <w:tmpl w:val="D06C790A"/>
    <w:lvl w:ilvl="0" w:tplc="CFE4F96A">
      <w:start w:val="1"/>
      <w:numFmt w:val="decimal"/>
      <w:lvlText w:val="%1."/>
      <w:lvlJc w:val="left"/>
      <w:pPr>
        <w:tabs>
          <w:tab w:val="num" w:pos="1290"/>
        </w:tabs>
        <w:ind w:left="1290" w:hanging="375"/>
      </w:pPr>
      <w:rPr>
        <w:rFonts w:hint="default"/>
        <w:i w:val="0"/>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32">
    <w:nsid w:val="4EC639D2"/>
    <w:multiLevelType w:val="hybridMultilevel"/>
    <w:tmpl w:val="ED8818FC"/>
    <w:lvl w:ilvl="0" w:tplc="4E58E3A0">
      <w:start w:val="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2415431"/>
    <w:multiLevelType w:val="hybridMultilevel"/>
    <w:tmpl w:val="4B6A7904"/>
    <w:lvl w:ilvl="0" w:tplc="39D85D1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4C00125"/>
    <w:multiLevelType w:val="hybridMultilevel"/>
    <w:tmpl w:val="40E864F0"/>
    <w:lvl w:ilvl="0" w:tplc="EF542002">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7FC36BC"/>
    <w:multiLevelType w:val="multilevel"/>
    <w:tmpl w:val="E06E8B3E"/>
    <w:lvl w:ilvl="0">
      <w:start w:val="1"/>
      <w:numFmt w:val="decimal"/>
      <w:lvlText w:val="%1."/>
      <w:lvlJc w:val="left"/>
      <w:pPr>
        <w:tabs>
          <w:tab w:val="num" w:pos="720"/>
        </w:tabs>
        <w:ind w:left="720" w:hanging="607"/>
      </w:pPr>
      <w:rPr>
        <w:rFonts w:hint="default"/>
      </w:rPr>
    </w:lvl>
    <w:lvl w:ilvl="1">
      <w:start w:val="1"/>
      <w:numFmt w:val="bullet"/>
      <w:lvlText w:val=""/>
      <w:lvlJc w:val="left"/>
      <w:pPr>
        <w:tabs>
          <w:tab w:val="num" w:pos="964"/>
        </w:tabs>
        <w:ind w:left="907" w:hanging="90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D2B72D9"/>
    <w:multiLevelType w:val="multilevel"/>
    <w:tmpl w:val="2DB03FDE"/>
    <w:lvl w:ilvl="0">
      <w:start w:val="1"/>
      <w:numFmt w:val="decimal"/>
      <w:lvlText w:val="%1."/>
      <w:lvlJc w:val="left"/>
      <w:pPr>
        <w:tabs>
          <w:tab w:val="num" w:pos="720"/>
        </w:tabs>
        <w:ind w:left="720" w:hanging="607"/>
      </w:pPr>
      <w:rPr>
        <w:rFonts w:hint="default"/>
      </w:rPr>
    </w:lvl>
    <w:lvl w:ilvl="1">
      <w:start w:val="1"/>
      <w:numFmt w:val="bullet"/>
      <w:lvlText w:val=""/>
      <w:lvlJc w:val="left"/>
      <w:pPr>
        <w:tabs>
          <w:tab w:val="num" w:pos="964"/>
        </w:tabs>
        <w:ind w:left="907" w:hanging="907"/>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EB51DAA"/>
    <w:multiLevelType w:val="hybridMultilevel"/>
    <w:tmpl w:val="861A162C"/>
    <w:lvl w:ilvl="0" w:tplc="33129780">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51E093D"/>
    <w:multiLevelType w:val="hybridMultilevel"/>
    <w:tmpl w:val="60449BD4"/>
    <w:lvl w:ilvl="0" w:tplc="F36887FC">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96F0C11"/>
    <w:multiLevelType w:val="hybridMultilevel"/>
    <w:tmpl w:val="2EC484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6A19069C"/>
    <w:multiLevelType w:val="hybridMultilevel"/>
    <w:tmpl w:val="DE2CD48C"/>
    <w:lvl w:ilvl="0" w:tplc="3F2AAF48">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4053BF9"/>
    <w:multiLevelType w:val="hybridMultilevel"/>
    <w:tmpl w:val="EA149F70"/>
    <w:lvl w:ilvl="0" w:tplc="ECF07918">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7F706CA"/>
    <w:multiLevelType w:val="hybridMultilevel"/>
    <w:tmpl w:val="AF3C01D6"/>
    <w:lvl w:ilvl="0" w:tplc="6548F4B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78B63CF8"/>
    <w:multiLevelType w:val="hybridMultilevel"/>
    <w:tmpl w:val="E2FA47BC"/>
    <w:lvl w:ilvl="0" w:tplc="6BBC853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7E00124B"/>
    <w:multiLevelType w:val="multilevel"/>
    <w:tmpl w:val="7D7C91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38"/>
  </w:num>
  <w:num w:numId="3">
    <w:abstractNumId w:val="42"/>
  </w:num>
  <w:num w:numId="4">
    <w:abstractNumId w:val="18"/>
  </w:num>
  <w:num w:numId="5">
    <w:abstractNumId w:val="44"/>
  </w:num>
  <w:num w:numId="6">
    <w:abstractNumId w:val="31"/>
  </w:num>
  <w:num w:numId="7">
    <w:abstractNumId w:val="29"/>
  </w:num>
  <w:num w:numId="8">
    <w:abstractNumId w:val="36"/>
  </w:num>
  <w:num w:numId="9">
    <w:abstractNumId w:val="9"/>
  </w:num>
  <w:num w:numId="10">
    <w:abstractNumId w:val="35"/>
  </w:num>
  <w:num w:numId="11">
    <w:abstractNumId w:val="6"/>
  </w:num>
  <w:num w:numId="12">
    <w:abstractNumId w:val="11"/>
  </w:num>
  <w:num w:numId="13">
    <w:abstractNumId w:val="22"/>
  </w:num>
  <w:num w:numId="14">
    <w:abstractNumId w:val="4"/>
  </w:num>
  <w:num w:numId="15">
    <w:abstractNumId w:val="25"/>
  </w:num>
  <w:num w:numId="16">
    <w:abstractNumId w:val="37"/>
  </w:num>
  <w:num w:numId="17">
    <w:abstractNumId w:val="40"/>
  </w:num>
  <w:num w:numId="18">
    <w:abstractNumId w:val="15"/>
  </w:num>
  <w:num w:numId="19">
    <w:abstractNumId w:val="5"/>
  </w:num>
  <w:num w:numId="20">
    <w:abstractNumId w:val="2"/>
  </w:num>
  <w:num w:numId="21">
    <w:abstractNumId w:val="34"/>
  </w:num>
  <w:num w:numId="22">
    <w:abstractNumId w:val="14"/>
  </w:num>
  <w:num w:numId="23">
    <w:abstractNumId w:val="41"/>
  </w:num>
  <w:num w:numId="24">
    <w:abstractNumId w:val="7"/>
  </w:num>
  <w:num w:numId="25">
    <w:abstractNumId w:val="33"/>
  </w:num>
  <w:num w:numId="26">
    <w:abstractNumId w:val="3"/>
  </w:num>
  <w:num w:numId="27">
    <w:abstractNumId w:val="28"/>
  </w:num>
  <w:num w:numId="28">
    <w:abstractNumId w:val="8"/>
  </w:num>
  <w:num w:numId="29">
    <w:abstractNumId w:val="32"/>
  </w:num>
  <w:num w:numId="30">
    <w:abstractNumId w:val="19"/>
  </w:num>
  <w:num w:numId="31">
    <w:abstractNumId w:val="1"/>
  </w:num>
  <w:num w:numId="32">
    <w:abstractNumId w:val="23"/>
  </w:num>
  <w:num w:numId="33">
    <w:abstractNumId w:val="16"/>
  </w:num>
  <w:num w:numId="34">
    <w:abstractNumId w:val="26"/>
  </w:num>
  <w:num w:numId="35">
    <w:abstractNumId w:val="10"/>
  </w:num>
  <w:num w:numId="36">
    <w:abstractNumId w:val="17"/>
  </w:num>
  <w:num w:numId="37">
    <w:abstractNumId w:val="0"/>
  </w:num>
  <w:num w:numId="38">
    <w:abstractNumId w:val="30"/>
  </w:num>
  <w:num w:numId="39">
    <w:abstractNumId w:val="20"/>
  </w:num>
  <w:num w:numId="40">
    <w:abstractNumId w:val="13"/>
  </w:num>
  <w:num w:numId="41">
    <w:abstractNumId w:val="43"/>
  </w:num>
  <w:num w:numId="4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24"/>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3EF"/>
    <w:rsid w:val="0000550F"/>
    <w:rsid w:val="0001014D"/>
    <w:rsid w:val="00015BE0"/>
    <w:rsid w:val="00021F06"/>
    <w:rsid w:val="000254BF"/>
    <w:rsid w:val="00026915"/>
    <w:rsid w:val="00027179"/>
    <w:rsid w:val="00032A2D"/>
    <w:rsid w:val="0003654D"/>
    <w:rsid w:val="0004561A"/>
    <w:rsid w:val="00047205"/>
    <w:rsid w:val="00055695"/>
    <w:rsid w:val="00063D9B"/>
    <w:rsid w:val="000676C7"/>
    <w:rsid w:val="00073D7B"/>
    <w:rsid w:val="00081098"/>
    <w:rsid w:val="0008511B"/>
    <w:rsid w:val="00085A3B"/>
    <w:rsid w:val="00092722"/>
    <w:rsid w:val="00093109"/>
    <w:rsid w:val="000A7915"/>
    <w:rsid w:val="000B427F"/>
    <w:rsid w:val="000B697B"/>
    <w:rsid w:val="000C2769"/>
    <w:rsid w:val="000D37A3"/>
    <w:rsid w:val="000F2FB4"/>
    <w:rsid w:val="00100D97"/>
    <w:rsid w:val="00100FC3"/>
    <w:rsid w:val="0012123A"/>
    <w:rsid w:val="00125903"/>
    <w:rsid w:val="00145045"/>
    <w:rsid w:val="00147F91"/>
    <w:rsid w:val="00163DD0"/>
    <w:rsid w:val="00172914"/>
    <w:rsid w:val="001800CF"/>
    <w:rsid w:val="0018025B"/>
    <w:rsid w:val="00184A9B"/>
    <w:rsid w:val="001951F6"/>
    <w:rsid w:val="001A6385"/>
    <w:rsid w:val="001B23EF"/>
    <w:rsid w:val="001B48FE"/>
    <w:rsid w:val="001B5B59"/>
    <w:rsid w:val="001C39B0"/>
    <w:rsid w:val="001D4EE6"/>
    <w:rsid w:val="001D5D45"/>
    <w:rsid w:val="001E3543"/>
    <w:rsid w:val="001F1439"/>
    <w:rsid w:val="001F1E20"/>
    <w:rsid w:val="001F382B"/>
    <w:rsid w:val="0020706E"/>
    <w:rsid w:val="002078D9"/>
    <w:rsid w:val="002114C8"/>
    <w:rsid w:val="00211BFB"/>
    <w:rsid w:val="00233DD7"/>
    <w:rsid w:val="00242D6A"/>
    <w:rsid w:val="00254EB7"/>
    <w:rsid w:val="00262306"/>
    <w:rsid w:val="002637CD"/>
    <w:rsid w:val="00264767"/>
    <w:rsid w:val="00273B30"/>
    <w:rsid w:val="00274387"/>
    <w:rsid w:val="00287D79"/>
    <w:rsid w:val="00294A77"/>
    <w:rsid w:val="002A0194"/>
    <w:rsid w:val="002A6893"/>
    <w:rsid w:val="002B1F39"/>
    <w:rsid w:val="002B6029"/>
    <w:rsid w:val="002B7357"/>
    <w:rsid w:val="002C08CE"/>
    <w:rsid w:val="002C2F37"/>
    <w:rsid w:val="002D1F4B"/>
    <w:rsid w:val="002D583C"/>
    <w:rsid w:val="002E7875"/>
    <w:rsid w:val="002F37CC"/>
    <w:rsid w:val="00300F18"/>
    <w:rsid w:val="00301762"/>
    <w:rsid w:val="003041E8"/>
    <w:rsid w:val="00305644"/>
    <w:rsid w:val="0031742C"/>
    <w:rsid w:val="0033379A"/>
    <w:rsid w:val="00333CF4"/>
    <w:rsid w:val="00336DFE"/>
    <w:rsid w:val="00340B23"/>
    <w:rsid w:val="003457F4"/>
    <w:rsid w:val="0034687A"/>
    <w:rsid w:val="00356AF3"/>
    <w:rsid w:val="003662EA"/>
    <w:rsid w:val="003709F5"/>
    <w:rsid w:val="00374A8C"/>
    <w:rsid w:val="003802B9"/>
    <w:rsid w:val="003A34BD"/>
    <w:rsid w:val="003A363A"/>
    <w:rsid w:val="003C092F"/>
    <w:rsid w:val="003C40CF"/>
    <w:rsid w:val="003C66D4"/>
    <w:rsid w:val="003E0851"/>
    <w:rsid w:val="003E1CF3"/>
    <w:rsid w:val="003F6BE7"/>
    <w:rsid w:val="00410486"/>
    <w:rsid w:val="00413ADA"/>
    <w:rsid w:val="00416E13"/>
    <w:rsid w:val="004207C0"/>
    <w:rsid w:val="004223DD"/>
    <w:rsid w:val="00426600"/>
    <w:rsid w:val="004311BF"/>
    <w:rsid w:val="004324C7"/>
    <w:rsid w:val="00434811"/>
    <w:rsid w:val="0044641A"/>
    <w:rsid w:val="00454E2A"/>
    <w:rsid w:val="00461082"/>
    <w:rsid w:val="0046226B"/>
    <w:rsid w:val="004735E8"/>
    <w:rsid w:val="00481E4F"/>
    <w:rsid w:val="00482D39"/>
    <w:rsid w:val="00490C70"/>
    <w:rsid w:val="00492691"/>
    <w:rsid w:val="004A05E0"/>
    <w:rsid w:val="004A1859"/>
    <w:rsid w:val="004A3185"/>
    <w:rsid w:val="004B0B9F"/>
    <w:rsid w:val="004B7D6D"/>
    <w:rsid w:val="004C5D86"/>
    <w:rsid w:val="004C6872"/>
    <w:rsid w:val="004E2C9B"/>
    <w:rsid w:val="004F097B"/>
    <w:rsid w:val="004F38DD"/>
    <w:rsid w:val="004F44E0"/>
    <w:rsid w:val="004F7509"/>
    <w:rsid w:val="00516B8D"/>
    <w:rsid w:val="00520907"/>
    <w:rsid w:val="00524264"/>
    <w:rsid w:val="00530301"/>
    <w:rsid w:val="005306DB"/>
    <w:rsid w:val="00540ECF"/>
    <w:rsid w:val="0054145E"/>
    <w:rsid w:val="00541B78"/>
    <w:rsid w:val="00543A6F"/>
    <w:rsid w:val="005470A2"/>
    <w:rsid w:val="00552ACC"/>
    <w:rsid w:val="00561E5C"/>
    <w:rsid w:val="005668F0"/>
    <w:rsid w:val="00571C47"/>
    <w:rsid w:val="005749D4"/>
    <w:rsid w:val="00586D10"/>
    <w:rsid w:val="00591A41"/>
    <w:rsid w:val="00597A7E"/>
    <w:rsid w:val="005A62C3"/>
    <w:rsid w:val="005A6830"/>
    <w:rsid w:val="005D1B9D"/>
    <w:rsid w:val="005D1D94"/>
    <w:rsid w:val="005D75A5"/>
    <w:rsid w:val="005E0C4E"/>
    <w:rsid w:val="005E157B"/>
    <w:rsid w:val="005F439F"/>
    <w:rsid w:val="005F588A"/>
    <w:rsid w:val="00603EB4"/>
    <w:rsid w:val="00614164"/>
    <w:rsid w:val="00617298"/>
    <w:rsid w:val="006214F6"/>
    <w:rsid w:val="00625116"/>
    <w:rsid w:val="00634667"/>
    <w:rsid w:val="00656184"/>
    <w:rsid w:val="00660870"/>
    <w:rsid w:val="006679E8"/>
    <w:rsid w:val="00670C88"/>
    <w:rsid w:val="0067265F"/>
    <w:rsid w:val="00673FDE"/>
    <w:rsid w:val="00674032"/>
    <w:rsid w:val="0068262A"/>
    <w:rsid w:val="00692F07"/>
    <w:rsid w:val="00694B20"/>
    <w:rsid w:val="00694F5F"/>
    <w:rsid w:val="00695456"/>
    <w:rsid w:val="006B115D"/>
    <w:rsid w:val="006B65B4"/>
    <w:rsid w:val="006C3ABE"/>
    <w:rsid w:val="006C641F"/>
    <w:rsid w:val="006E22A1"/>
    <w:rsid w:val="006F3963"/>
    <w:rsid w:val="00700018"/>
    <w:rsid w:val="00700549"/>
    <w:rsid w:val="00704950"/>
    <w:rsid w:val="00706BE2"/>
    <w:rsid w:val="007140DB"/>
    <w:rsid w:val="007176BA"/>
    <w:rsid w:val="00733425"/>
    <w:rsid w:val="00741C40"/>
    <w:rsid w:val="00747A15"/>
    <w:rsid w:val="00752008"/>
    <w:rsid w:val="00760332"/>
    <w:rsid w:val="0076164F"/>
    <w:rsid w:val="0076235A"/>
    <w:rsid w:val="00765045"/>
    <w:rsid w:val="00774481"/>
    <w:rsid w:val="00780BC7"/>
    <w:rsid w:val="00780FB1"/>
    <w:rsid w:val="007868FA"/>
    <w:rsid w:val="007A63DE"/>
    <w:rsid w:val="007C1C83"/>
    <w:rsid w:val="007C45CF"/>
    <w:rsid w:val="007C47C4"/>
    <w:rsid w:val="007C4E16"/>
    <w:rsid w:val="007C5615"/>
    <w:rsid w:val="007E4B1A"/>
    <w:rsid w:val="00803B84"/>
    <w:rsid w:val="00806DF5"/>
    <w:rsid w:val="00810803"/>
    <w:rsid w:val="00810CF7"/>
    <w:rsid w:val="008115AF"/>
    <w:rsid w:val="00814BF1"/>
    <w:rsid w:val="008244B3"/>
    <w:rsid w:val="008248AF"/>
    <w:rsid w:val="008305AA"/>
    <w:rsid w:val="0083141F"/>
    <w:rsid w:val="0083458A"/>
    <w:rsid w:val="00835DB1"/>
    <w:rsid w:val="00836866"/>
    <w:rsid w:val="00846C04"/>
    <w:rsid w:val="0085107B"/>
    <w:rsid w:val="0085171F"/>
    <w:rsid w:val="00860097"/>
    <w:rsid w:val="00861D4A"/>
    <w:rsid w:val="00864168"/>
    <w:rsid w:val="0086522B"/>
    <w:rsid w:val="00867133"/>
    <w:rsid w:val="00870C58"/>
    <w:rsid w:val="008776F9"/>
    <w:rsid w:val="00881CA8"/>
    <w:rsid w:val="00886077"/>
    <w:rsid w:val="00890DF5"/>
    <w:rsid w:val="008934A9"/>
    <w:rsid w:val="008952BF"/>
    <w:rsid w:val="00896194"/>
    <w:rsid w:val="008A0880"/>
    <w:rsid w:val="008A343D"/>
    <w:rsid w:val="008B2390"/>
    <w:rsid w:val="008B70B3"/>
    <w:rsid w:val="008C0E89"/>
    <w:rsid w:val="008C254A"/>
    <w:rsid w:val="008C274F"/>
    <w:rsid w:val="008C6C29"/>
    <w:rsid w:val="008C77A5"/>
    <w:rsid w:val="008D2EA9"/>
    <w:rsid w:val="008D5540"/>
    <w:rsid w:val="008E0009"/>
    <w:rsid w:val="008F2338"/>
    <w:rsid w:val="008F54C6"/>
    <w:rsid w:val="009013CC"/>
    <w:rsid w:val="00904619"/>
    <w:rsid w:val="009108A5"/>
    <w:rsid w:val="00912099"/>
    <w:rsid w:val="00913197"/>
    <w:rsid w:val="00925856"/>
    <w:rsid w:val="009261A7"/>
    <w:rsid w:val="00934198"/>
    <w:rsid w:val="00937A22"/>
    <w:rsid w:val="00937B9A"/>
    <w:rsid w:val="009564DA"/>
    <w:rsid w:val="0096044F"/>
    <w:rsid w:val="009721EF"/>
    <w:rsid w:val="00993C4B"/>
    <w:rsid w:val="009A093C"/>
    <w:rsid w:val="009B1272"/>
    <w:rsid w:val="009B188C"/>
    <w:rsid w:val="009B2A28"/>
    <w:rsid w:val="009B7E51"/>
    <w:rsid w:val="009C300E"/>
    <w:rsid w:val="009C6C81"/>
    <w:rsid w:val="009D06A7"/>
    <w:rsid w:val="009D3B97"/>
    <w:rsid w:val="009D55C5"/>
    <w:rsid w:val="009E202F"/>
    <w:rsid w:val="009E6345"/>
    <w:rsid w:val="009E71DE"/>
    <w:rsid w:val="009E7B8D"/>
    <w:rsid w:val="009F1484"/>
    <w:rsid w:val="009F64CB"/>
    <w:rsid w:val="00A06552"/>
    <w:rsid w:val="00A069C2"/>
    <w:rsid w:val="00A13A40"/>
    <w:rsid w:val="00A1450C"/>
    <w:rsid w:val="00A22517"/>
    <w:rsid w:val="00A27F22"/>
    <w:rsid w:val="00A330B6"/>
    <w:rsid w:val="00A33362"/>
    <w:rsid w:val="00A377E1"/>
    <w:rsid w:val="00A4444E"/>
    <w:rsid w:val="00A46236"/>
    <w:rsid w:val="00A521E7"/>
    <w:rsid w:val="00A574FC"/>
    <w:rsid w:val="00A6684C"/>
    <w:rsid w:val="00A70EBF"/>
    <w:rsid w:val="00A71063"/>
    <w:rsid w:val="00A727A4"/>
    <w:rsid w:val="00A806F6"/>
    <w:rsid w:val="00A932C7"/>
    <w:rsid w:val="00A93501"/>
    <w:rsid w:val="00A94878"/>
    <w:rsid w:val="00AA3055"/>
    <w:rsid w:val="00AB0029"/>
    <w:rsid w:val="00AB7798"/>
    <w:rsid w:val="00AC00AD"/>
    <w:rsid w:val="00AC0DBD"/>
    <w:rsid w:val="00AC0F5D"/>
    <w:rsid w:val="00AC133B"/>
    <w:rsid w:val="00AC2972"/>
    <w:rsid w:val="00AD3EE0"/>
    <w:rsid w:val="00AD6F44"/>
    <w:rsid w:val="00AD76EA"/>
    <w:rsid w:val="00AE1EF4"/>
    <w:rsid w:val="00AE346C"/>
    <w:rsid w:val="00AE61EC"/>
    <w:rsid w:val="00AF37DB"/>
    <w:rsid w:val="00AF54BA"/>
    <w:rsid w:val="00B14D2D"/>
    <w:rsid w:val="00B15A87"/>
    <w:rsid w:val="00B16813"/>
    <w:rsid w:val="00B171F7"/>
    <w:rsid w:val="00B2032B"/>
    <w:rsid w:val="00B20BA6"/>
    <w:rsid w:val="00B27336"/>
    <w:rsid w:val="00B411CC"/>
    <w:rsid w:val="00B415AA"/>
    <w:rsid w:val="00B45AA8"/>
    <w:rsid w:val="00B46F40"/>
    <w:rsid w:val="00B52396"/>
    <w:rsid w:val="00B62C03"/>
    <w:rsid w:val="00B72037"/>
    <w:rsid w:val="00B72249"/>
    <w:rsid w:val="00B772C6"/>
    <w:rsid w:val="00B82E51"/>
    <w:rsid w:val="00B83523"/>
    <w:rsid w:val="00BA2980"/>
    <w:rsid w:val="00BA3495"/>
    <w:rsid w:val="00BA42D4"/>
    <w:rsid w:val="00BB0C29"/>
    <w:rsid w:val="00BB21CA"/>
    <w:rsid w:val="00BB2620"/>
    <w:rsid w:val="00BB3E98"/>
    <w:rsid w:val="00BC4ED9"/>
    <w:rsid w:val="00BC75FE"/>
    <w:rsid w:val="00BD3E02"/>
    <w:rsid w:val="00BD5334"/>
    <w:rsid w:val="00BD5D01"/>
    <w:rsid w:val="00BD646E"/>
    <w:rsid w:val="00BE529B"/>
    <w:rsid w:val="00BF07F2"/>
    <w:rsid w:val="00BF3C34"/>
    <w:rsid w:val="00BF4021"/>
    <w:rsid w:val="00C00D1E"/>
    <w:rsid w:val="00C01C03"/>
    <w:rsid w:val="00C026F4"/>
    <w:rsid w:val="00C030DA"/>
    <w:rsid w:val="00C05F43"/>
    <w:rsid w:val="00C07A2F"/>
    <w:rsid w:val="00C209A8"/>
    <w:rsid w:val="00C2258D"/>
    <w:rsid w:val="00C22719"/>
    <w:rsid w:val="00C3487C"/>
    <w:rsid w:val="00C36D59"/>
    <w:rsid w:val="00C37E94"/>
    <w:rsid w:val="00C37F73"/>
    <w:rsid w:val="00C416C4"/>
    <w:rsid w:val="00C473A3"/>
    <w:rsid w:val="00C57438"/>
    <w:rsid w:val="00C57F6B"/>
    <w:rsid w:val="00C6425A"/>
    <w:rsid w:val="00C77548"/>
    <w:rsid w:val="00C91DB3"/>
    <w:rsid w:val="00C94083"/>
    <w:rsid w:val="00C96857"/>
    <w:rsid w:val="00C9792A"/>
    <w:rsid w:val="00CB1581"/>
    <w:rsid w:val="00CB189D"/>
    <w:rsid w:val="00CB38A3"/>
    <w:rsid w:val="00CB6BA6"/>
    <w:rsid w:val="00CC0D98"/>
    <w:rsid w:val="00CC153B"/>
    <w:rsid w:val="00CC3BD1"/>
    <w:rsid w:val="00CC3DDD"/>
    <w:rsid w:val="00CC5F3C"/>
    <w:rsid w:val="00CE27BB"/>
    <w:rsid w:val="00CE2EE3"/>
    <w:rsid w:val="00CE5C99"/>
    <w:rsid w:val="00CF1398"/>
    <w:rsid w:val="00CF15A5"/>
    <w:rsid w:val="00CF32A8"/>
    <w:rsid w:val="00D01F6E"/>
    <w:rsid w:val="00D02C3B"/>
    <w:rsid w:val="00D03D61"/>
    <w:rsid w:val="00D04AD7"/>
    <w:rsid w:val="00D110DB"/>
    <w:rsid w:val="00D138A9"/>
    <w:rsid w:val="00D16111"/>
    <w:rsid w:val="00D22BCE"/>
    <w:rsid w:val="00D26D9B"/>
    <w:rsid w:val="00D320F3"/>
    <w:rsid w:val="00D326E5"/>
    <w:rsid w:val="00D33734"/>
    <w:rsid w:val="00D35DF9"/>
    <w:rsid w:val="00D41A18"/>
    <w:rsid w:val="00D60943"/>
    <w:rsid w:val="00D62024"/>
    <w:rsid w:val="00D62640"/>
    <w:rsid w:val="00D77873"/>
    <w:rsid w:val="00D97518"/>
    <w:rsid w:val="00DA2789"/>
    <w:rsid w:val="00DB6DBD"/>
    <w:rsid w:val="00DC79F2"/>
    <w:rsid w:val="00DD67BD"/>
    <w:rsid w:val="00DE151B"/>
    <w:rsid w:val="00DE1D6D"/>
    <w:rsid w:val="00DE2206"/>
    <w:rsid w:val="00DE3CEA"/>
    <w:rsid w:val="00E02658"/>
    <w:rsid w:val="00E03533"/>
    <w:rsid w:val="00E07D79"/>
    <w:rsid w:val="00E17BF7"/>
    <w:rsid w:val="00E344CA"/>
    <w:rsid w:val="00E3598D"/>
    <w:rsid w:val="00E377F8"/>
    <w:rsid w:val="00E407B9"/>
    <w:rsid w:val="00E50BC9"/>
    <w:rsid w:val="00E51885"/>
    <w:rsid w:val="00E56A4C"/>
    <w:rsid w:val="00E5787D"/>
    <w:rsid w:val="00E6285C"/>
    <w:rsid w:val="00E67105"/>
    <w:rsid w:val="00E708D3"/>
    <w:rsid w:val="00E73972"/>
    <w:rsid w:val="00E75184"/>
    <w:rsid w:val="00E95FF4"/>
    <w:rsid w:val="00EB2EE3"/>
    <w:rsid w:val="00EB623B"/>
    <w:rsid w:val="00EB6A09"/>
    <w:rsid w:val="00EC4498"/>
    <w:rsid w:val="00EC5063"/>
    <w:rsid w:val="00EC557B"/>
    <w:rsid w:val="00ED202E"/>
    <w:rsid w:val="00EF3CC8"/>
    <w:rsid w:val="00F02E14"/>
    <w:rsid w:val="00F10961"/>
    <w:rsid w:val="00F110F4"/>
    <w:rsid w:val="00F23D53"/>
    <w:rsid w:val="00F2493D"/>
    <w:rsid w:val="00F25CDC"/>
    <w:rsid w:val="00F3045D"/>
    <w:rsid w:val="00F42973"/>
    <w:rsid w:val="00F43AC8"/>
    <w:rsid w:val="00F43DBF"/>
    <w:rsid w:val="00F478FC"/>
    <w:rsid w:val="00F4799B"/>
    <w:rsid w:val="00F52A9E"/>
    <w:rsid w:val="00F5339B"/>
    <w:rsid w:val="00F5680A"/>
    <w:rsid w:val="00F608C7"/>
    <w:rsid w:val="00F61F94"/>
    <w:rsid w:val="00F620B7"/>
    <w:rsid w:val="00F6235E"/>
    <w:rsid w:val="00F65C6A"/>
    <w:rsid w:val="00F6681B"/>
    <w:rsid w:val="00F67C1F"/>
    <w:rsid w:val="00F71184"/>
    <w:rsid w:val="00F71680"/>
    <w:rsid w:val="00F735D2"/>
    <w:rsid w:val="00F73828"/>
    <w:rsid w:val="00F76857"/>
    <w:rsid w:val="00F83EC3"/>
    <w:rsid w:val="00F84A86"/>
    <w:rsid w:val="00F84E64"/>
    <w:rsid w:val="00F8523D"/>
    <w:rsid w:val="00F87AC5"/>
    <w:rsid w:val="00F95F5B"/>
    <w:rsid w:val="00FA01E9"/>
    <w:rsid w:val="00FA248C"/>
    <w:rsid w:val="00FB0E2A"/>
    <w:rsid w:val="00FC126C"/>
    <w:rsid w:val="00FC282E"/>
    <w:rsid w:val="00FC7A15"/>
    <w:rsid w:val="00FD3EF5"/>
    <w:rsid w:val="00FD47AE"/>
    <w:rsid w:val="00FD4CA1"/>
    <w:rsid w:val="00FD7391"/>
    <w:rsid w:val="00FE5CF9"/>
    <w:rsid w:val="00FE64EA"/>
    <w:rsid w:val="00FF377C"/>
    <w:rsid w:val="00FF4B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1E8"/>
    <w:rPr>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304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
    <w:name w:val="Body Text Indent"/>
    <w:basedOn w:val="Normal"/>
    <w:rsid w:val="00F110F4"/>
    <w:pPr>
      <w:ind w:left="360"/>
    </w:pPr>
    <w:rPr>
      <w:lang w:val="ro-MO"/>
    </w:rPr>
  </w:style>
  <w:style w:type="paragraph" w:styleId="Textbloc">
    <w:name w:val="Block Text"/>
    <w:basedOn w:val="Normal"/>
    <w:rsid w:val="00A93501"/>
    <w:pPr>
      <w:autoSpaceDE w:val="0"/>
      <w:autoSpaceDN w:val="0"/>
      <w:adjustRightInd w:val="0"/>
      <w:spacing w:line="240" w:lineRule="atLeast"/>
      <w:ind w:left="360" w:right="72" w:firstLine="360"/>
      <w:jc w:val="both"/>
    </w:pPr>
    <w:rPr>
      <w:color w:val="000000"/>
      <w:lang w:val="ro-MO"/>
    </w:rPr>
  </w:style>
  <w:style w:type="paragraph" w:styleId="TextnBalon">
    <w:name w:val="Balloon Text"/>
    <w:basedOn w:val="Normal"/>
    <w:semiHidden/>
    <w:rsid w:val="008B70B3"/>
    <w:rPr>
      <w:rFonts w:ascii="Tahoma" w:hAnsi="Tahoma" w:cs="Tahoma"/>
      <w:sz w:val="16"/>
      <w:szCs w:val="16"/>
    </w:rPr>
  </w:style>
  <w:style w:type="paragraph" w:styleId="PreformatatHTML">
    <w:name w:val="HTML Preformatted"/>
    <w:basedOn w:val="Normal"/>
    <w:rsid w:val="00F30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docheader">
    <w:name w:val="doc_header"/>
    <w:basedOn w:val="Fontdeparagrafimplicit"/>
    <w:rsid w:val="00416E13"/>
  </w:style>
  <w:style w:type="paragraph" w:styleId="Frspaiere">
    <w:name w:val="No Spacing"/>
    <w:uiPriority w:val="1"/>
    <w:qFormat/>
    <w:rsid w:val="00B83523"/>
    <w:rPr>
      <w:rFonts w:ascii="Calibri" w:eastAsia="Calibri" w:hAnsi="Calibri"/>
      <w:sz w:val="22"/>
      <w:szCs w:val="22"/>
      <w:lang w:val="ru-RU" w:eastAsia="en-US"/>
    </w:rPr>
  </w:style>
  <w:style w:type="paragraph" w:styleId="NormalWeb">
    <w:name w:val="Normal (Web)"/>
    <w:basedOn w:val="Normal"/>
    <w:uiPriority w:val="99"/>
    <w:unhideWhenUsed/>
    <w:rsid w:val="00540ECF"/>
    <w:pPr>
      <w:ind w:firstLine="567"/>
      <w:jc w:val="both"/>
    </w:pPr>
    <w:rPr>
      <w:lang w:val="ro-RO" w:eastAsia="ro-RO"/>
    </w:rPr>
  </w:style>
  <w:style w:type="paragraph" w:styleId="Listparagraf">
    <w:name w:val="List Paragraph"/>
    <w:basedOn w:val="Normal"/>
    <w:uiPriority w:val="34"/>
    <w:qFormat/>
    <w:rsid w:val="000A7915"/>
    <w:pPr>
      <w:ind w:left="708"/>
    </w:pPr>
  </w:style>
  <w:style w:type="paragraph" w:styleId="Corptext">
    <w:name w:val="Body Text"/>
    <w:basedOn w:val="Normal"/>
    <w:link w:val="CorptextCaracter"/>
    <w:rsid w:val="00E67105"/>
    <w:pPr>
      <w:spacing w:after="120"/>
    </w:pPr>
  </w:style>
  <w:style w:type="character" w:customStyle="1" w:styleId="CorptextCaracter">
    <w:name w:val="Corp text Caracter"/>
    <w:link w:val="Corptext"/>
    <w:rsid w:val="00E67105"/>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7482">
      <w:bodyDiv w:val="1"/>
      <w:marLeft w:val="0"/>
      <w:marRight w:val="0"/>
      <w:marTop w:val="0"/>
      <w:marBottom w:val="0"/>
      <w:divBdr>
        <w:top w:val="none" w:sz="0" w:space="0" w:color="auto"/>
        <w:left w:val="none" w:sz="0" w:space="0" w:color="auto"/>
        <w:bottom w:val="none" w:sz="0" w:space="0" w:color="auto"/>
        <w:right w:val="none" w:sz="0" w:space="0" w:color="auto"/>
      </w:divBdr>
    </w:div>
    <w:div w:id="322316912">
      <w:bodyDiv w:val="1"/>
      <w:marLeft w:val="0"/>
      <w:marRight w:val="0"/>
      <w:marTop w:val="0"/>
      <w:marBottom w:val="0"/>
      <w:divBdr>
        <w:top w:val="none" w:sz="0" w:space="0" w:color="auto"/>
        <w:left w:val="none" w:sz="0" w:space="0" w:color="auto"/>
        <w:bottom w:val="none" w:sz="0" w:space="0" w:color="auto"/>
        <w:right w:val="none" w:sz="0" w:space="0" w:color="auto"/>
      </w:divBdr>
    </w:div>
    <w:div w:id="670839575">
      <w:bodyDiv w:val="1"/>
      <w:marLeft w:val="0"/>
      <w:marRight w:val="0"/>
      <w:marTop w:val="0"/>
      <w:marBottom w:val="0"/>
      <w:divBdr>
        <w:top w:val="none" w:sz="0" w:space="0" w:color="auto"/>
        <w:left w:val="none" w:sz="0" w:space="0" w:color="auto"/>
        <w:bottom w:val="none" w:sz="0" w:space="0" w:color="auto"/>
        <w:right w:val="none" w:sz="0" w:space="0" w:color="auto"/>
      </w:divBdr>
    </w:div>
    <w:div w:id="1039865556">
      <w:bodyDiv w:val="1"/>
      <w:marLeft w:val="0"/>
      <w:marRight w:val="0"/>
      <w:marTop w:val="0"/>
      <w:marBottom w:val="0"/>
      <w:divBdr>
        <w:top w:val="none" w:sz="0" w:space="0" w:color="auto"/>
        <w:left w:val="none" w:sz="0" w:space="0" w:color="auto"/>
        <w:bottom w:val="none" w:sz="0" w:space="0" w:color="auto"/>
        <w:right w:val="none" w:sz="0" w:space="0" w:color="auto"/>
      </w:divBdr>
    </w:div>
    <w:div w:id="1095632951">
      <w:bodyDiv w:val="1"/>
      <w:marLeft w:val="0"/>
      <w:marRight w:val="0"/>
      <w:marTop w:val="0"/>
      <w:marBottom w:val="0"/>
      <w:divBdr>
        <w:top w:val="none" w:sz="0" w:space="0" w:color="auto"/>
        <w:left w:val="none" w:sz="0" w:space="0" w:color="auto"/>
        <w:bottom w:val="none" w:sz="0" w:space="0" w:color="auto"/>
        <w:right w:val="none" w:sz="0" w:space="0" w:color="auto"/>
      </w:divBdr>
      <w:divsChild>
        <w:div w:id="131948592">
          <w:marLeft w:val="0"/>
          <w:marRight w:val="0"/>
          <w:marTop w:val="0"/>
          <w:marBottom w:val="0"/>
          <w:divBdr>
            <w:top w:val="none" w:sz="0" w:space="0" w:color="auto"/>
            <w:left w:val="none" w:sz="0" w:space="0" w:color="auto"/>
            <w:bottom w:val="none" w:sz="0" w:space="0" w:color="auto"/>
            <w:right w:val="none" w:sz="0" w:space="0" w:color="auto"/>
          </w:divBdr>
        </w:div>
      </w:divsChild>
    </w:div>
    <w:div w:id="1182284250">
      <w:bodyDiv w:val="1"/>
      <w:marLeft w:val="0"/>
      <w:marRight w:val="0"/>
      <w:marTop w:val="0"/>
      <w:marBottom w:val="0"/>
      <w:divBdr>
        <w:top w:val="none" w:sz="0" w:space="0" w:color="auto"/>
        <w:left w:val="none" w:sz="0" w:space="0" w:color="auto"/>
        <w:bottom w:val="none" w:sz="0" w:space="0" w:color="auto"/>
        <w:right w:val="none" w:sz="0" w:space="0" w:color="auto"/>
      </w:divBdr>
    </w:div>
    <w:div w:id="1322464963">
      <w:bodyDiv w:val="1"/>
      <w:marLeft w:val="0"/>
      <w:marRight w:val="0"/>
      <w:marTop w:val="0"/>
      <w:marBottom w:val="0"/>
      <w:divBdr>
        <w:top w:val="none" w:sz="0" w:space="0" w:color="auto"/>
        <w:left w:val="none" w:sz="0" w:space="0" w:color="auto"/>
        <w:bottom w:val="none" w:sz="0" w:space="0" w:color="auto"/>
        <w:right w:val="none" w:sz="0" w:space="0" w:color="auto"/>
      </w:divBdr>
    </w:div>
    <w:div w:id="1685670110">
      <w:bodyDiv w:val="1"/>
      <w:marLeft w:val="0"/>
      <w:marRight w:val="0"/>
      <w:marTop w:val="0"/>
      <w:marBottom w:val="0"/>
      <w:divBdr>
        <w:top w:val="none" w:sz="0" w:space="0" w:color="auto"/>
        <w:left w:val="none" w:sz="0" w:space="0" w:color="auto"/>
        <w:bottom w:val="none" w:sz="0" w:space="0" w:color="auto"/>
        <w:right w:val="none" w:sz="0" w:space="0" w:color="auto"/>
      </w:divBdr>
      <w:divsChild>
        <w:div w:id="720902222">
          <w:marLeft w:val="0"/>
          <w:marRight w:val="0"/>
          <w:marTop w:val="0"/>
          <w:marBottom w:val="0"/>
          <w:divBdr>
            <w:top w:val="none" w:sz="0" w:space="0" w:color="auto"/>
            <w:left w:val="none" w:sz="0" w:space="0" w:color="auto"/>
            <w:bottom w:val="none" w:sz="0" w:space="0" w:color="auto"/>
            <w:right w:val="none" w:sz="0" w:space="0" w:color="auto"/>
          </w:divBdr>
        </w:div>
      </w:divsChild>
    </w:div>
    <w:div w:id="1702196088">
      <w:bodyDiv w:val="1"/>
      <w:marLeft w:val="0"/>
      <w:marRight w:val="0"/>
      <w:marTop w:val="0"/>
      <w:marBottom w:val="0"/>
      <w:divBdr>
        <w:top w:val="none" w:sz="0" w:space="0" w:color="auto"/>
        <w:left w:val="none" w:sz="0" w:space="0" w:color="auto"/>
        <w:bottom w:val="none" w:sz="0" w:space="0" w:color="auto"/>
        <w:right w:val="none" w:sz="0" w:space="0" w:color="auto"/>
      </w:divBdr>
    </w:div>
    <w:div w:id="1722512180">
      <w:bodyDiv w:val="1"/>
      <w:marLeft w:val="0"/>
      <w:marRight w:val="0"/>
      <w:marTop w:val="0"/>
      <w:marBottom w:val="0"/>
      <w:divBdr>
        <w:top w:val="none" w:sz="0" w:space="0" w:color="auto"/>
        <w:left w:val="none" w:sz="0" w:space="0" w:color="auto"/>
        <w:bottom w:val="none" w:sz="0" w:space="0" w:color="auto"/>
        <w:right w:val="none" w:sz="0" w:space="0" w:color="auto"/>
      </w:divBdr>
    </w:div>
    <w:div w:id="1939023528">
      <w:bodyDiv w:val="1"/>
      <w:marLeft w:val="0"/>
      <w:marRight w:val="0"/>
      <w:marTop w:val="0"/>
      <w:marBottom w:val="0"/>
      <w:divBdr>
        <w:top w:val="none" w:sz="0" w:space="0" w:color="auto"/>
        <w:left w:val="none" w:sz="0" w:space="0" w:color="auto"/>
        <w:bottom w:val="none" w:sz="0" w:space="0" w:color="auto"/>
        <w:right w:val="none" w:sz="0" w:space="0" w:color="auto"/>
      </w:divBdr>
    </w:div>
    <w:div w:id="206918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0AC87-C1BE-46E4-8213-E405F7E5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1439</Words>
  <Characters>8348</Characters>
  <Application>Microsoft Office Word</Application>
  <DocSecurity>0</DocSecurity>
  <Lines>69</Lines>
  <Paragraphs>19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L I S T A</vt:lpstr>
      <vt:lpstr>L I S T A</vt:lpstr>
    </vt:vector>
  </TitlesOfParts>
  <Company>NoOnE</Company>
  <LinksUpToDate>false</LinksUpToDate>
  <CharactersWithSpaces>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 I S T A</dc:title>
  <dc:subject/>
  <dc:creator>Utilizator PC</dc:creator>
  <cp:keywords/>
  <dc:description/>
  <cp:lastModifiedBy>Rodica</cp:lastModifiedBy>
  <cp:revision>12</cp:revision>
  <cp:lastPrinted>2014-05-17T08:27:00Z</cp:lastPrinted>
  <dcterms:created xsi:type="dcterms:W3CDTF">2014-05-13T07:37:00Z</dcterms:created>
  <dcterms:modified xsi:type="dcterms:W3CDTF">2014-05-17T09:12:00Z</dcterms:modified>
</cp:coreProperties>
</file>