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4D" w:rsidRPr="005E43D9" w:rsidRDefault="0003654D" w:rsidP="0003654D">
      <w:pPr>
        <w:jc w:val="center"/>
        <w:rPr>
          <w:b/>
          <w:color w:val="000000"/>
          <w:sz w:val="28"/>
          <w:szCs w:val="28"/>
          <w:lang w:val="ro-RO"/>
        </w:rPr>
      </w:pPr>
      <w:r w:rsidRPr="005E43D9">
        <w:rPr>
          <w:b/>
          <w:color w:val="000000"/>
          <w:sz w:val="28"/>
          <w:szCs w:val="28"/>
          <w:lang w:val="ro-RO"/>
        </w:rPr>
        <w:t>SINTEZA AVIZELOR</w:t>
      </w:r>
    </w:p>
    <w:p w:rsidR="00AC2972" w:rsidRPr="005E43D9" w:rsidRDefault="0003654D" w:rsidP="0003654D">
      <w:pPr>
        <w:jc w:val="center"/>
        <w:rPr>
          <w:b/>
          <w:color w:val="000000"/>
          <w:sz w:val="28"/>
          <w:szCs w:val="28"/>
          <w:lang w:val="ro-RO"/>
        </w:rPr>
      </w:pPr>
      <w:r w:rsidRPr="005E43D9">
        <w:rPr>
          <w:b/>
          <w:color w:val="000000"/>
          <w:sz w:val="28"/>
          <w:szCs w:val="28"/>
          <w:lang w:val="ro-RO"/>
        </w:rPr>
        <w:t xml:space="preserve">la  proiectul Hotărîrii Guvernului „Cu privire la </w:t>
      </w:r>
      <w:r w:rsidR="00AC2972" w:rsidRPr="005E43D9">
        <w:rPr>
          <w:b/>
          <w:color w:val="000000"/>
          <w:sz w:val="28"/>
          <w:szCs w:val="28"/>
          <w:lang w:val="ro-RO"/>
        </w:rPr>
        <w:t xml:space="preserve">aprobarea </w:t>
      </w:r>
    </w:p>
    <w:p w:rsidR="0003654D" w:rsidRPr="005E43D9" w:rsidRDefault="008369CF" w:rsidP="0003654D">
      <w:pPr>
        <w:jc w:val="center"/>
        <w:rPr>
          <w:b/>
          <w:color w:val="000000"/>
          <w:sz w:val="28"/>
          <w:szCs w:val="28"/>
          <w:lang w:val="ro-RO"/>
        </w:rPr>
      </w:pPr>
      <w:r w:rsidRPr="005E43D9">
        <w:rPr>
          <w:b/>
          <w:color w:val="000000"/>
          <w:sz w:val="28"/>
          <w:szCs w:val="28"/>
          <w:lang w:val="ro-RO"/>
        </w:rPr>
        <w:t xml:space="preserve">proiectului de lege pentru </w:t>
      </w:r>
      <w:r w:rsidR="00AC2972" w:rsidRPr="005E43D9">
        <w:rPr>
          <w:b/>
          <w:color w:val="000000"/>
          <w:sz w:val="28"/>
          <w:szCs w:val="28"/>
          <w:lang w:val="ro-RO"/>
        </w:rPr>
        <w:t>modific</w:t>
      </w:r>
      <w:r w:rsidRPr="005E43D9">
        <w:rPr>
          <w:b/>
          <w:color w:val="000000"/>
          <w:sz w:val="28"/>
          <w:szCs w:val="28"/>
          <w:lang w:val="ro-RO"/>
        </w:rPr>
        <w:t>area</w:t>
      </w:r>
      <w:r w:rsidR="00362676" w:rsidRPr="005E43D9">
        <w:rPr>
          <w:b/>
          <w:color w:val="000000"/>
          <w:sz w:val="28"/>
          <w:szCs w:val="28"/>
          <w:lang w:val="ro-RO"/>
        </w:rPr>
        <w:t xml:space="preserve"> Codului contravenţional</w:t>
      </w:r>
      <w:r w:rsidR="005926A7" w:rsidRPr="005E43D9">
        <w:rPr>
          <w:b/>
          <w:color w:val="000000"/>
          <w:sz w:val="28"/>
          <w:szCs w:val="28"/>
          <w:lang w:val="ro-RO"/>
        </w:rPr>
        <w:t xml:space="preserve"> al Republicii Moldova</w:t>
      </w:r>
      <w:r w:rsidR="0003654D" w:rsidRPr="005E43D9">
        <w:rPr>
          <w:b/>
          <w:color w:val="000000"/>
          <w:sz w:val="28"/>
          <w:szCs w:val="28"/>
          <w:lang w:val="ro-RO"/>
        </w:rPr>
        <w:t>”</w:t>
      </w:r>
    </w:p>
    <w:p w:rsidR="00BF4021" w:rsidRPr="005E43D9" w:rsidRDefault="00BF4021" w:rsidP="003041E8">
      <w:pPr>
        <w:jc w:val="center"/>
        <w:rPr>
          <w:b/>
          <w:color w:val="000000"/>
          <w:sz w:val="12"/>
          <w:szCs w:val="12"/>
          <w:lang w:val="ro-RO"/>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28"/>
        <w:gridCol w:w="1620"/>
        <w:gridCol w:w="5751"/>
        <w:gridCol w:w="1560"/>
        <w:gridCol w:w="3969"/>
      </w:tblGrid>
      <w:tr w:rsidR="003C092F" w:rsidRPr="005E43D9" w:rsidTr="006E0A1A">
        <w:tc>
          <w:tcPr>
            <w:tcW w:w="540" w:type="dxa"/>
            <w:shd w:val="clear" w:color="auto" w:fill="auto"/>
          </w:tcPr>
          <w:p w:rsidR="003C092F" w:rsidRPr="005E43D9" w:rsidRDefault="003C092F" w:rsidP="005D1D94">
            <w:pPr>
              <w:jc w:val="center"/>
              <w:rPr>
                <w:b/>
                <w:color w:val="000000"/>
                <w:sz w:val="28"/>
                <w:szCs w:val="28"/>
                <w:lang w:val="ro-RO"/>
              </w:rPr>
            </w:pPr>
            <w:r w:rsidRPr="005E43D9">
              <w:rPr>
                <w:b/>
                <w:color w:val="000000"/>
                <w:lang w:val="ro-RO"/>
              </w:rPr>
              <w:t>Nr/</w:t>
            </w:r>
            <w:proofErr w:type="spellStart"/>
            <w:r w:rsidRPr="005E43D9">
              <w:rPr>
                <w:b/>
                <w:color w:val="000000"/>
                <w:lang w:val="ro-RO"/>
              </w:rPr>
              <w:t>cr</w:t>
            </w:r>
            <w:proofErr w:type="spellEnd"/>
          </w:p>
        </w:tc>
        <w:tc>
          <w:tcPr>
            <w:tcW w:w="1728" w:type="dxa"/>
            <w:shd w:val="clear" w:color="auto" w:fill="auto"/>
          </w:tcPr>
          <w:p w:rsidR="003C092F" w:rsidRPr="005E43D9" w:rsidRDefault="003C092F" w:rsidP="005D1D94">
            <w:pPr>
              <w:jc w:val="center"/>
              <w:rPr>
                <w:b/>
                <w:color w:val="000000"/>
                <w:sz w:val="28"/>
                <w:szCs w:val="28"/>
                <w:lang w:val="ro-RO"/>
              </w:rPr>
            </w:pPr>
            <w:r w:rsidRPr="005E43D9">
              <w:rPr>
                <w:b/>
                <w:color w:val="000000"/>
                <w:lang w:val="ro-RO"/>
              </w:rPr>
              <w:t xml:space="preserve">Denumirea </w:t>
            </w:r>
            <w:r w:rsidR="0003654D" w:rsidRPr="005E43D9">
              <w:rPr>
                <w:b/>
                <w:color w:val="000000"/>
                <w:lang w:val="ro-RO"/>
              </w:rPr>
              <w:t>instituţiei</w:t>
            </w:r>
          </w:p>
        </w:tc>
        <w:tc>
          <w:tcPr>
            <w:tcW w:w="1620" w:type="dxa"/>
            <w:shd w:val="clear" w:color="auto" w:fill="auto"/>
          </w:tcPr>
          <w:p w:rsidR="00860097" w:rsidRPr="005E43D9" w:rsidRDefault="003C092F" w:rsidP="005D1D94">
            <w:pPr>
              <w:jc w:val="center"/>
              <w:rPr>
                <w:b/>
                <w:color w:val="000000"/>
                <w:lang w:val="ro-RO"/>
              </w:rPr>
            </w:pPr>
            <w:r w:rsidRPr="005E43D9">
              <w:rPr>
                <w:b/>
                <w:color w:val="000000"/>
                <w:lang w:val="ro-RO"/>
              </w:rPr>
              <w:t xml:space="preserve">Articolul, </w:t>
            </w:r>
          </w:p>
          <w:p w:rsidR="003C092F" w:rsidRPr="005E43D9" w:rsidRDefault="003C092F" w:rsidP="005D1D94">
            <w:pPr>
              <w:jc w:val="center"/>
              <w:rPr>
                <w:b/>
                <w:color w:val="000000"/>
                <w:lang w:val="ro-RO"/>
              </w:rPr>
            </w:pPr>
            <w:r w:rsidRPr="005E43D9">
              <w:rPr>
                <w:b/>
                <w:color w:val="000000"/>
                <w:lang w:val="ro-RO"/>
              </w:rPr>
              <w:t>punctul,</w:t>
            </w:r>
          </w:p>
          <w:p w:rsidR="003C092F" w:rsidRPr="005E43D9" w:rsidRDefault="003C092F" w:rsidP="005D1D94">
            <w:pPr>
              <w:jc w:val="center"/>
              <w:rPr>
                <w:b/>
                <w:color w:val="000000"/>
                <w:sz w:val="28"/>
                <w:szCs w:val="28"/>
                <w:lang w:val="ro-RO"/>
              </w:rPr>
            </w:pPr>
            <w:r w:rsidRPr="005E43D9">
              <w:rPr>
                <w:b/>
                <w:color w:val="000000"/>
                <w:lang w:val="ro-RO"/>
              </w:rPr>
              <w:t>aliniatul</w:t>
            </w:r>
          </w:p>
        </w:tc>
        <w:tc>
          <w:tcPr>
            <w:tcW w:w="5751" w:type="dxa"/>
            <w:shd w:val="clear" w:color="auto" w:fill="auto"/>
          </w:tcPr>
          <w:p w:rsidR="003C092F" w:rsidRPr="005E43D9" w:rsidRDefault="0003654D" w:rsidP="005D1D94">
            <w:pPr>
              <w:jc w:val="center"/>
              <w:rPr>
                <w:b/>
                <w:color w:val="000000"/>
                <w:sz w:val="28"/>
                <w:szCs w:val="28"/>
                <w:lang w:val="ro-RO"/>
              </w:rPr>
            </w:pPr>
            <w:r w:rsidRPr="005E43D9">
              <w:rPr>
                <w:b/>
                <w:color w:val="000000"/>
                <w:lang w:val="ro-RO"/>
              </w:rPr>
              <w:t>Obiecţii şi propuneri</w:t>
            </w:r>
          </w:p>
        </w:tc>
        <w:tc>
          <w:tcPr>
            <w:tcW w:w="1560" w:type="dxa"/>
            <w:shd w:val="clear" w:color="auto" w:fill="auto"/>
          </w:tcPr>
          <w:p w:rsidR="003C092F" w:rsidRPr="005E43D9" w:rsidRDefault="003C092F" w:rsidP="005D1D94">
            <w:pPr>
              <w:jc w:val="center"/>
              <w:rPr>
                <w:b/>
                <w:color w:val="000000"/>
                <w:sz w:val="28"/>
                <w:szCs w:val="28"/>
                <w:lang w:val="ro-RO"/>
              </w:rPr>
            </w:pPr>
            <w:r w:rsidRPr="005E43D9">
              <w:rPr>
                <w:b/>
                <w:color w:val="000000"/>
                <w:lang w:val="ro-RO"/>
              </w:rPr>
              <w:t>Rezultatul examinării</w:t>
            </w:r>
          </w:p>
        </w:tc>
        <w:tc>
          <w:tcPr>
            <w:tcW w:w="3969" w:type="dxa"/>
            <w:shd w:val="clear" w:color="auto" w:fill="auto"/>
          </w:tcPr>
          <w:p w:rsidR="003C092F" w:rsidRPr="005E43D9" w:rsidRDefault="003C092F" w:rsidP="005D1D94">
            <w:pPr>
              <w:jc w:val="center"/>
              <w:rPr>
                <w:b/>
                <w:color w:val="000000"/>
                <w:sz w:val="28"/>
                <w:szCs w:val="28"/>
                <w:lang w:val="ro-RO"/>
              </w:rPr>
            </w:pPr>
            <w:r w:rsidRPr="005E43D9">
              <w:rPr>
                <w:b/>
                <w:color w:val="000000"/>
                <w:lang w:val="ro-RO"/>
              </w:rPr>
              <w:t>Motivaţie</w:t>
            </w:r>
          </w:p>
        </w:tc>
      </w:tr>
      <w:tr w:rsidR="00AC2972" w:rsidRPr="0065481C" w:rsidTr="006E0A1A">
        <w:tc>
          <w:tcPr>
            <w:tcW w:w="540" w:type="dxa"/>
            <w:shd w:val="clear" w:color="auto" w:fill="auto"/>
          </w:tcPr>
          <w:p w:rsidR="00AC2972" w:rsidRPr="005E43D9" w:rsidRDefault="00AC2972" w:rsidP="005D1D94">
            <w:pPr>
              <w:numPr>
                <w:ilvl w:val="0"/>
                <w:numId w:val="4"/>
              </w:numPr>
              <w:jc w:val="center"/>
              <w:rPr>
                <w:color w:val="000000"/>
                <w:lang w:val="ro-RO"/>
              </w:rPr>
            </w:pPr>
          </w:p>
        </w:tc>
        <w:tc>
          <w:tcPr>
            <w:tcW w:w="1728" w:type="dxa"/>
            <w:shd w:val="clear" w:color="auto" w:fill="auto"/>
          </w:tcPr>
          <w:p w:rsidR="00AC2972" w:rsidRPr="005E43D9" w:rsidRDefault="00AC2972" w:rsidP="00B00525">
            <w:pPr>
              <w:ind w:left="-81" w:firstLine="81"/>
              <w:jc w:val="center"/>
              <w:rPr>
                <w:color w:val="000000"/>
                <w:lang w:val="ro-RO"/>
              </w:rPr>
            </w:pPr>
            <w:r w:rsidRPr="005E43D9">
              <w:rPr>
                <w:color w:val="000000"/>
                <w:lang w:val="ro-RO"/>
              </w:rPr>
              <w:t xml:space="preserve">Agenţia Naţională pentru </w:t>
            </w:r>
            <w:r w:rsidR="00B00525">
              <w:rPr>
                <w:color w:val="000000"/>
                <w:lang w:val="ro-RO"/>
              </w:rPr>
              <w:t>S</w:t>
            </w:r>
            <w:r w:rsidRPr="005E43D9">
              <w:rPr>
                <w:color w:val="000000"/>
                <w:lang w:val="ro-RO"/>
              </w:rPr>
              <w:t>iguranţa Alimentelor</w:t>
            </w:r>
          </w:p>
        </w:tc>
        <w:tc>
          <w:tcPr>
            <w:tcW w:w="1620" w:type="dxa"/>
            <w:shd w:val="clear" w:color="auto" w:fill="auto"/>
          </w:tcPr>
          <w:p w:rsidR="00704950" w:rsidRPr="005E43D9" w:rsidRDefault="00704950" w:rsidP="005D1D94">
            <w:pPr>
              <w:jc w:val="both"/>
              <w:rPr>
                <w:b/>
                <w:color w:val="000000"/>
                <w:lang w:val="ro-RO"/>
              </w:rPr>
            </w:pPr>
          </w:p>
        </w:tc>
        <w:tc>
          <w:tcPr>
            <w:tcW w:w="5751" w:type="dxa"/>
            <w:shd w:val="clear" w:color="auto" w:fill="auto"/>
          </w:tcPr>
          <w:p w:rsidR="00BA3495" w:rsidRPr="005E43D9" w:rsidRDefault="00BA3495" w:rsidP="00B00525">
            <w:pPr>
              <w:tabs>
                <w:tab w:val="left" w:pos="1470"/>
              </w:tabs>
              <w:ind w:left="-27" w:right="-138" w:firstLine="27"/>
              <w:jc w:val="both"/>
              <w:rPr>
                <w:color w:val="000000"/>
                <w:lang w:val="ro-RO"/>
              </w:rPr>
            </w:pPr>
          </w:p>
          <w:p w:rsidR="00AC2972" w:rsidRPr="005E43D9" w:rsidRDefault="00F95F5B" w:rsidP="00AC2972">
            <w:pPr>
              <w:tabs>
                <w:tab w:val="left" w:pos="1470"/>
              </w:tabs>
              <w:jc w:val="both"/>
              <w:rPr>
                <w:color w:val="000000"/>
                <w:lang w:val="ro-RO"/>
              </w:rPr>
            </w:pPr>
            <w:r w:rsidRPr="001A60A3">
              <w:rPr>
                <w:b/>
                <w:color w:val="000000"/>
                <w:lang w:val="ro-RO"/>
              </w:rPr>
              <w:t>D</w:t>
            </w:r>
            <w:r w:rsidR="00AC2972" w:rsidRPr="001A60A3">
              <w:rPr>
                <w:b/>
                <w:color w:val="000000"/>
                <w:lang w:val="ro-RO"/>
              </w:rPr>
              <w:t>e acord</w:t>
            </w:r>
            <w:r w:rsidR="00AC2972" w:rsidRPr="005E43D9">
              <w:rPr>
                <w:color w:val="000000"/>
                <w:lang w:val="ro-RO"/>
              </w:rPr>
              <w:t xml:space="preserve"> cu </w:t>
            </w:r>
            <w:r w:rsidR="00287D79" w:rsidRPr="005E43D9">
              <w:rPr>
                <w:color w:val="000000"/>
                <w:lang w:val="ro-RO"/>
              </w:rPr>
              <w:t>propunerile elaborate şi le consideră</w:t>
            </w:r>
            <w:r w:rsidR="00E9177F" w:rsidRPr="005E43D9">
              <w:rPr>
                <w:color w:val="000000"/>
                <w:lang w:val="ro-RO"/>
              </w:rPr>
              <w:t xml:space="preserve"> </w:t>
            </w:r>
            <w:r w:rsidR="00704950" w:rsidRPr="005E43D9">
              <w:rPr>
                <w:color w:val="000000"/>
                <w:lang w:val="ro-RO"/>
              </w:rPr>
              <w:t>oportune şi actuale</w:t>
            </w:r>
            <w:r w:rsidR="00AC2972" w:rsidRPr="005E43D9">
              <w:rPr>
                <w:color w:val="000000"/>
                <w:lang w:val="ro-RO"/>
              </w:rPr>
              <w:t>.</w:t>
            </w:r>
          </w:p>
          <w:p w:rsidR="00AC2972" w:rsidRPr="005E43D9" w:rsidRDefault="00AC2972" w:rsidP="005D1D94">
            <w:pPr>
              <w:tabs>
                <w:tab w:val="left" w:pos="1470"/>
              </w:tabs>
              <w:jc w:val="both"/>
              <w:rPr>
                <w:color w:val="000000"/>
                <w:lang w:val="ro-RO"/>
              </w:rPr>
            </w:pPr>
          </w:p>
        </w:tc>
        <w:tc>
          <w:tcPr>
            <w:tcW w:w="1560" w:type="dxa"/>
            <w:shd w:val="clear" w:color="auto" w:fill="auto"/>
          </w:tcPr>
          <w:p w:rsidR="00AC2972" w:rsidRPr="005E43D9" w:rsidRDefault="00AC2972" w:rsidP="00E377F8">
            <w:pPr>
              <w:rPr>
                <w:color w:val="000000"/>
                <w:lang w:val="ro-RO"/>
              </w:rPr>
            </w:pPr>
          </w:p>
        </w:tc>
        <w:tc>
          <w:tcPr>
            <w:tcW w:w="3969" w:type="dxa"/>
            <w:shd w:val="clear" w:color="auto" w:fill="auto"/>
          </w:tcPr>
          <w:p w:rsidR="00AC2972" w:rsidRPr="005E43D9" w:rsidRDefault="00AC2972" w:rsidP="005D1D94">
            <w:pPr>
              <w:jc w:val="both"/>
              <w:rPr>
                <w:color w:val="000000"/>
                <w:lang w:val="ro-RO"/>
              </w:rPr>
            </w:pPr>
          </w:p>
        </w:tc>
      </w:tr>
      <w:tr w:rsidR="00AC2972" w:rsidRPr="0065481C" w:rsidTr="006E0A1A">
        <w:tc>
          <w:tcPr>
            <w:tcW w:w="540" w:type="dxa"/>
            <w:shd w:val="clear" w:color="auto" w:fill="auto"/>
          </w:tcPr>
          <w:p w:rsidR="00AC2972" w:rsidRPr="005E43D9" w:rsidRDefault="00AC2972" w:rsidP="005D1D94">
            <w:pPr>
              <w:numPr>
                <w:ilvl w:val="0"/>
                <w:numId w:val="4"/>
              </w:numPr>
              <w:jc w:val="center"/>
              <w:rPr>
                <w:color w:val="000000"/>
                <w:lang w:val="ro-RO"/>
              </w:rPr>
            </w:pPr>
          </w:p>
        </w:tc>
        <w:tc>
          <w:tcPr>
            <w:tcW w:w="1728" w:type="dxa"/>
            <w:shd w:val="clear" w:color="auto" w:fill="auto"/>
          </w:tcPr>
          <w:p w:rsidR="00AC2972" w:rsidRPr="005E43D9" w:rsidRDefault="00AC2972" w:rsidP="005D1D94">
            <w:pPr>
              <w:jc w:val="center"/>
              <w:rPr>
                <w:color w:val="000000"/>
                <w:lang w:val="ro-RO"/>
              </w:rPr>
            </w:pPr>
            <w:r w:rsidRPr="005E43D9">
              <w:rPr>
                <w:color w:val="000000"/>
                <w:lang w:val="ro-RO"/>
              </w:rPr>
              <w:t xml:space="preserve">Ministerul </w:t>
            </w:r>
            <w:proofErr w:type="spellStart"/>
            <w:r w:rsidRPr="005E43D9">
              <w:rPr>
                <w:color w:val="000000"/>
                <w:lang w:val="ro-RO"/>
              </w:rPr>
              <w:t>Finaţelor</w:t>
            </w:r>
            <w:proofErr w:type="spellEnd"/>
          </w:p>
        </w:tc>
        <w:tc>
          <w:tcPr>
            <w:tcW w:w="1620" w:type="dxa"/>
            <w:shd w:val="clear" w:color="auto" w:fill="auto"/>
          </w:tcPr>
          <w:p w:rsidR="00D60943" w:rsidRPr="005E43D9" w:rsidRDefault="00D60943" w:rsidP="008248AF">
            <w:pPr>
              <w:jc w:val="both"/>
              <w:rPr>
                <w:b/>
                <w:color w:val="000000"/>
                <w:lang w:val="ro-RO"/>
              </w:rPr>
            </w:pPr>
          </w:p>
        </w:tc>
        <w:tc>
          <w:tcPr>
            <w:tcW w:w="5751" w:type="dxa"/>
            <w:shd w:val="clear" w:color="auto" w:fill="auto"/>
          </w:tcPr>
          <w:p w:rsidR="00302CAF" w:rsidRPr="005E43D9" w:rsidRDefault="00CF0F4D" w:rsidP="00302CAF">
            <w:pPr>
              <w:jc w:val="both"/>
              <w:rPr>
                <w:color w:val="000000"/>
                <w:lang w:val="ro-RO"/>
              </w:rPr>
            </w:pPr>
            <w:r w:rsidRPr="005E43D9">
              <w:rPr>
                <w:color w:val="000000"/>
                <w:lang w:val="ro-RO"/>
              </w:rPr>
              <w:t xml:space="preserve">- </w:t>
            </w:r>
            <w:r w:rsidR="00302CAF" w:rsidRPr="005E43D9">
              <w:rPr>
                <w:color w:val="000000"/>
                <w:lang w:val="ro-RO"/>
              </w:rPr>
              <w:t>Nu este clară diferenţa dintre acţiunea „comercializarea” şi „organizarea comerţului”, folosită în art. 273 şi art.274.</w:t>
            </w:r>
          </w:p>
          <w:p w:rsidR="005E43D9" w:rsidRDefault="005E43D9" w:rsidP="00302CAF">
            <w:pPr>
              <w:jc w:val="both"/>
              <w:rPr>
                <w:color w:val="000000"/>
                <w:lang w:val="ro-RO"/>
              </w:rPr>
            </w:pPr>
          </w:p>
          <w:p w:rsidR="00302CAF" w:rsidRPr="005E43D9" w:rsidRDefault="00302CAF" w:rsidP="00302CAF">
            <w:pPr>
              <w:jc w:val="both"/>
              <w:rPr>
                <w:color w:val="000000"/>
                <w:lang w:val="ro-RO"/>
              </w:rPr>
            </w:pPr>
            <w:r w:rsidRPr="005E43D9">
              <w:rPr>
                <w:color w:val="000000"/>
                <w:lang w:val="ro-RO"/>
              </w:rPr>
              <w:t>-  Pentru o bună înţelegere a modificărilor operate în Codul contravenţional se propune următoarea expunere:</w:t>
            </w:r>
          </w:p>
          <w:p w:rsidR="00302CAF" w:rsidRPr="005E43D9" w:rsidRDefault="00302CAF" w:rsidP="00302CAF">
            <w:pPr>
              <w:jc w:val="both"/>
              <w:rPr>
                <w:color w:val="000000"/>
                <w:lang w:val="ro-RO"/>
              </w:rPr>
            </w:pPr>
            <w:r w:rsidRPr="005E43D9">
              <w:rPr>
                <w:color w:val="000000"/>
                <w:lang w:val="ro-RO"/>
              </w:rPr>
              <w:t>„1. Art. 273:</w:t>
            </w:r>
          </w:p>
          <w:p w:rsidR="00302CAF" w:rsidRPr="005E43D9" w:rsidRDefault="00302CAF" w:rsidP="00302CAF">
            <w:pPr>
              <w:jc w:val="both"/>
              <w:rPr>
                <w:color w:val="000000"/>
                <w:lang w:val="ro-RO"/>
              </w:rPr>
            </w:pPr>
            <w:r w:rsidRPr="005E43D9">
              <w:rPr>
                <w:color w:val="000000"/>
                <w:lang w:val="ro-RO"/>
              </w:rPr>
              <w:t>aliniatul. 5) se exclude;</w:t>
            </w:r>
          </w:p>
          <w:p w:rsidR="00302CAF" w:rsidRPr="005E43D9" w:rsidRDefault="00302CAF" w:rsidP="00302CAF">
            <w:pPr>
              <w:jc w:val="both"/>
              <w:rPr>
                <w:color w:val="000000"/>
                <w:lang w:val="ro-RO"/>
              </w:rPr>
            </w:pPr>
            <w:r w:rsidRPr="005E43D9">
              <w:rPr>
                <w:color w:val="000000"/>
                <w:lang w:val="ro-RO"/>
              </w:rPr>
              <w:t>după aliniatul 9) se completează cu aliniatul 9</w:t>
            </w:r>
            <w:r w:rsidRPr="005E43D9">
              <w:rPr>
                <w:color w:val="000000"/>
                <w:vertAlign w:val="superscript"/>
                <w:lang w:val="ro-RO"/>
              </w:rPr>
              <w:t>1</w:t>
            </w:r>
            <w:r w:rsidRPr="005E43D9">
              <w:rPr>
                <w:color w:val="000000"/>
                <w:lang w:val="ro-RO"/>
              </w:rPr>
              <w:t>) cu următorul cuprins:</w:t>
            </w:r>
          </w:p>
          <w:p w:rsidR="00302CAF" w:rsidRPr="005E43D9" w:rsidRDefault="00302CAF" w:rsidP="00302CAF">
            <w:pPr>
              <w:jc w:val="both"/>
              <w:rPr>
                <w:color w:val="000000"/>
                <w:lang w:val="ro-RO"/>
              </w:rPr>
            </w:pPr>
            <w:r w:rsidRPr="005E43D9">
              <w:rPr>
                <w:color w:val="000000"/>
                <w:lang w:val="ro-RO"/>
              </w:rPr>
              <w:t>„9</w:t>
            </w:r>
            <w:r w:rsidRPr="005E43D9">
              <w:rPr>
                <w:color w:val="000000"/>
                <w:vertAlign w:val="superscript"/>
                <w:lang w:val="ro-RO"/>
              </w:rPr>
              <w:t>1</w:t>
            </w:r>
            <w:r w:rsidRPr="005E43D9">
              <w:rPr>
                <w:color w:val="000000"/>
                <w:lang w:val="ro-RO"/>
              </w:rPr>
              <w:t xml:space="preserve">) Organizarea comerţului din </w:t>
            </w:r>
            <w:proofErr w:type="spellStart"/>
            <w:r w:rsidRPr="005E43D9">
              <w:rPr>
                <w:color w:val="000000"/>
                <w:lang w:val="ro-RO"/>
              </w:rPr>
              <w:t>mînă</w:t>
            </w:r>
            <w:proofErr w:type="spellEnd"/>
            <w:r w:rsidRPr="005E43D9">
              <w:rPr>
                <w:color w:val="000000"/>
                <w:lang w:val="ro-RO"/>
              </w:rPr>
              <w:t xml:space="preserve"> în locuri neautorizate de autorităţile administraţiei publice locale, inclusiv pe </w:t>
            </w:r>
            <w:proofErr w:type="spellStart"/>
            <w:r w:rsidRPr="005E43D9">
              <w:rPr>
                <w:color w:val="000000"/>
                <w:lang w:val="ro-RO"/>
              </w:rPr>
              <w:t>tertoriul</w:t>
            </w:r>
            <w:proofErr w:type="spellEnd"/>
            <w:r w:rsidRPr="005E43D9">
              <w:rPr>
                <w:color w:val="000000"/>
                <w:lang w:val="ro-RO"/>
              </w:rPr>
              <w:t xml:space="preserve"> pieţei </w:t>
            </w:r>
          </w:p>
          <w:p w:rsidR="00302CAF" w:rsidRPr="005E43D9" w:rsidRDefault="00302CAF" w:rsidP="00302CAF">
            <w:pPr>
              <w:jc w:val="both"/>
              <w:rPr>
                <w:color w:val="000000"/>
                <w:lang w:val="ro-RO"/>
              </w:rPr>
            </w:pPr>
            <w:r w:rsidRPr="005E43D9">
              <w:rPr>
                <w:color w:val="000000"/>
                <w:lang w:val="ro-RO"/>
              </w:rPr>
              <w:t>se sancţionează cu amendă de la 200 la 300 de unităţi convenţionale;”;</w:t>
            </w:r>
          </w:p>
          <w:p w:rsidR="00302CAF" w:rsidRPr="005E43D9" w:rsidRDefault="00302CAF" w:rsidP="00302CAF">
            <w:pPr>
              <w:jc w:val="both"/>
              <w:rPr>
                <w:color w:val="000000"/>
                <w:lang w:val="ro-RO"/>
              </w:rPr>
            </w:pPr>
            <w:r w:rsidRPr="005E43D9">
              <w:rPr>
                <w:color w:val="000000"/>
                <w:lang w:val="ro-RO"/>
              </w:rPr>
              <w:t>aliniatul 12):</w:t>
            </w:r>
          </w:p>
          <w:p w:rsidR="00302CAF" w:rsidRPr="005E43D9" w:rsidRDefault="00302CAF" w:rsidP="00302CAF">
            <w:pPr>
              <w:jc w:val="both"/>
              <w:rPr>
                <w:color w:val="000000"/>
                <w:lang w:val="ro-RO"/>
              </w:rPr>
            </w:pPr>
            <w:r w:rsidRPr="005E43D9">
              <w:rPr>
                <w:color w:val="000000"/>
                <w:lang w:val="ro-RO"/>
              </w:rPr>
              <w:t xml:space="preserve">la alineatul unu textul „întreprinderilor de alimentaţie publică” se </w:t>
            </w:r>
            <w:proofErr w:type="spellStart"/>
            <w:r w:rsidRPr="005E43D9">
              <w:rPr>
                <w:color w:val="000000"/>
                <w:lang w:val="ro-RO"/>
              </w:rPr>
              <w:t>înlocueşte</w:t>
            </w:r>
            <w:proofErr w:type="spellEnd"/>
            <w:r w:rsidRPr="005E43D9">
              <w:rPr>
                <w:color w:val="000000"/>
                <w:lang w:val="ro-RO"/>
              </w:rPr>
              <w:t xml:space="preserve"> cu textul „structurilor de primire turistică”;</w:t>
            </w:r>
          </w:p>
          <w:p w:rsidR="00302CAF" w:rsidRPr="005E43D9" w:rsidRDefault="00302CAF" w:rsidP="00302CAF">
            <w:pPr>
              <w:jc w:val="both"/>
              <w:rPr>
                <w:color w:val="000000"/>
                <w:lang w:val="ro-RO"/>
              </w:rPr>
            </w:pPr>
            <w:r w:rsidRPr="005E43D9">
              <w:rPr>
                <w:color w:val="000000"/>
                <w:lang w:val="ro-RO"/>
              </w:rPr>
              <w:t>la literele a), b) şi c) textul „în sfera alimentaţiei publice” şi cuvîntul „comerciale” se substituie cu cuvîntul „turistice”.</w:t>
            </w:r>
          </w:p>
          <w:p w:rsidR="00302CAF" w:rsidRPr="005E43D9" w:rsidRDefault="00302CAF" w:rsidP="00302CAF">
            <w:pPr>
              <w:jc w:val="both"/>
              <w:rPr>
                <w:color w:val="000000"/>
                <w:lang w:val="ro-RO"/>
              </w:rPr>
            </w:pPr>
            <w:r w:rsidRPr="005E43D9">
              <w:rPr>
                <w:color w:val="000000"/>
                <w:lang w:val="ro-RO"/>
              </w:rPr>
              <w:t>2. Art. 274:</w:t>
            </w:r>
          </w:p>
          <w:p w:rsidR="00302CAF" w:rsidRPr="005E43D9" w:rsidRDefault="00302CAF" w:rsidP="00302CAF">
            <w:pPr>
              <w:jc w:val="both"/>
              <w:rPr>
                <w:color w:val="000000"/>
                <w:lang w:val="ro-RO"/>
              </w:rPr>
            </w:pPr>
            <w:r w:rsidRPr="005E43D9">
              <w:rPr>
                <w:color w:val="000000"/>
                <w:lang w:val="ro-RO"/>
              </w:rPr>
              <w:t>alineatul (5) se exclude;</w:t>
            </w:r>
          </w:p>
          <w:p w:rsidR="00302CAF" w:rsidRPr="005E43D9" w:rsidRDefault="00302CAF" w:rsidP="00302CAF">
            <w:pPr>
              <w:jc w:val="both"/>
              <w:rPr>
                <w:color w:val="000000"/>
                <w:lang w:val="ro-RO"/>
              </w:rPr>
            </w:pPr>
            <w:r w:rsidRPr="005E43D9">
              <w:rPr>
                <w:color w:val="000000"/>
                <w:lang w:val="ro-RO"/>
              </w:rPr>
              <w:t>3. Art. 400:</w:t>
            </w:r>
          </w:p>
          <w:p w:rsidR="00D60943" w:rsidRPr="005E43D9" w:rsidRDefault="00302CAF" w:rsidP="0097143A">
            <w:pPr>
              <w:jc w:val="both"/>
              <w:rPr>
                <w:color w:val="000000"/>
                <w:lang w:val="ro-RO"/>
              </w:rPr>
            </w:pPr>
            <w:r w:rsidRPr="005E43D9">
              <w:rPr>
                <w:color w:val="000000"/>
                <w:lang w:val="ro-RO"/>
              </w:rPr>
              <w:t xml:space="preserve">            la alineatul (1) textul „art.274 alin.(1), (5)” se substituie cu textul „art. 273 alin. 9</w:t>
            </w:r>
            <w:r w:rsidRPr="005E43D9">
              <w:rPr>
                <w:color w:val="000000"/>
                <w:vertAlign w:val="superscript"/>
                <w:lang w:val="ro-RO"/>
              </w:rPr>
              <w:t>1</w:t>
            </w:r>
            <w:r w:rsidRPr="005E43D9">
              <w:rPr>
                <w:color w:val="000000"/>
                <w:lang w:val="ro-RO"/>
              </w:rPr>
              <w:t>), art. 274 alin. (1)”.”.</w:t>
            </w:r>
          </w:p>
        </w:tc>
        <w:tc>
          <w:tcPr>
            <w:tcW w:w="1560" w:type="dxa"/>
            <w:shd w:val="clear" w:color="auto" w:fill="auto"/>
          </w:tcPr>
          <w:p w:rsidR="00C94083" w:rsidRDefault="00C94083"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r>
              <w:rPr>
                <w:color w:val="000000"/>
                <w:lang w:val="ro-RO"/>
              </w:rPr>
              <w:t>S</w:t>
            </w:r>
            <w:r w:rsidRPr="005E43D9">
              <w:rPr>
                <w:color w:val="000000"/>
                <w:lang w:val="ro-RO"/>
              </w:rPr>
              <w:t>e acceptă</w:t>
            </w: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p>
          <w:p w:rsidR="005E43D9" w:rsidRDefault="005E43D9" w:rsidP="00E9177F">
            <w:pPr>
              <w:rPr>
                <w:color w:val="000000"/>
                <w:lang w:val="ro-RO"/>
              </w:rPr>
            </w:pPr>
            <w:r>
              <w:rPr>
                <w:color w:val="000000"/>
                <w:lang w:val="ro-RO"/>
              </w:rPr>
              <w:t>S</w:t>
            </w:r>
            <w:r w:rsidRPr="005E43D9">
              <w:rPr>
                <w:color w:val="000000"/>
                <w:lang w:val="ro-RO"/>
              </w:rPr>
              <w:t>e acceptă</w:t>
            </w:r>
          </w:p>
          <w:p w:rsidR="005E43D9" w:rsidRDefault="005E43D9" w:rsidP="00E9177F">
            <w:pPr>
              <w:rPr>
                <w:color w:val="000000"/>
                <w:lang w:val="ro-RO"/>
              </w:rPr>
            </w:pPr>
          </w:p>
          <w:p w:rsidR="005E43D9" w:rsidRPr="005E43D9" w:rsidRDefault="005E43D9" w:rsidP="00E9177F">
            <w:pPr>
              <w:rPr>
                <w:color w:val="000000"/>
                <w:lang w:val="ro-RO"/>
              </w:rPr>
            </w:pPr>
            <w:r>
              <w:rPr>
                <w:color w:val="000000"/>
                <w:lang w:val="ro-RO"/>
              </w:rPr>
              <w:t>S</w:t>
            </w:r>
            <w:r w:rsidRPr="005E43D9">
              <w:rPr>
                <w:color w:val="000000"/>
                <w:lang w:val="ro-RO"/>
              </w:rPr>
              <w:t>e acceptă</w:t>
            </w:r>
          </w:p>
        </w:tc>
        <w:tc>
          <w:tcPr>
            <w:tcW w:w="3969" w:type="dxa"/>
            <w:shd w:val="clear" w:color="auto" w:fill="auto"/>
          </w:tcPr>
          <w:p w:rsidR="00AF37DB" w:rsidRPr="005E43D9" w:rsidRDefault="005E43D9" w:rsidP="00B00525">
            <w:pPr>
              <w:ind w:left="-53" w:right="-68" w:firstLine="53"/>
              <w:jc w:val="both"/>
              <w:rPr>
                <w:color w:val="000000"/>
                <w:lang w:val="ro-RO"/>
              </w:rPr>
            </w:pPr>
            <w:r w:rsidRPr="005E43D9">
              <w:rPr>
                <w:color w:val="000000"/>
                <w:lang w:val="ro-RO"/>
              </w:rPr>
              <w:t>Nu este nici o diferen</w:t>
            </w:r>
            <w:r>
              <w:rPr>
                <w:color w:val="000000"/>
                <w:lang w:val="ro-RO"/>
              </w:rPr>
              <w:t xml:space="preserve">ţă. </w:t>
            </w:r>
            <w:proofErr w:type="spellStart"/>
            <w:r>
              <w:rPr>
                <w:color w:val="000000"/>
                <w:lang w:val="ro-RO"/>
              </w:rPr>
              <w:t>Atît</w:t>
            </w:r>
            <w:proofErr w:type="spellEnd"/>
            <w:r>
              <w:rPr>
                <w:color w:val="000000"/>
                <w:lang w:val="ro-RO"/>
              </w:rPr>
              <w:t xml:space="preserve"> „comercializarea” </w:t>
            </w:r>
            <w:proofErr w:type="spellStart"/>
            <w:r>
              <w:rPr>
                <w:color w:val="000000"/>
                <w:lang w:val="ro-RO"/>
              </w:rPr>
              <w:t>cît</w:t>
            </w:r>
            <w:proofErr w:type="spellEnd"/>
            <w:r>
              <w:rPr>
                <w:color w:val="000000"/>
                <w:lang w:val="ro-RO"/>
              </w:rPr>
              <w:t xml:space="preserve"> şi </w:t>
            </w:r>
            <w:r w:rsidRPr="005E43D9">
              <w:rPr>
                <w:color w:val="000000"/>
                <w:lang w:val="ro-RO"/>
              </w:rPr>
              <w:t>„organizarea comerţului”</w:t>
            </w:r>
            <w:r>
              <w:rPr>
                <w:color w:val="000000"/>
                <w:lang w:val="ro-RO"/>
              </w:rPr>
              <w:t xml:space="preserve"> presupun procesul de </w:t>
            </w:r>
            <w:proofErr w:type="spellStart"/>
            <w:r>
              <w:rPr>
                <w:color w:val="000000"/>
                <w:lang w:val="ro-RO"/>
              </w:rPr>
              <w:t>vînzare</w:t>
            </w:r>
            <w:proofErr w:type="spellEnd"/>
            <w:r>
              <w:rPr>
                <w:color w:val="000000"/>
                <w:lang w:val="ro-RO"/>
              </w:rPr>
              <w:t xml:space="preserve"> a produsului.</w:t>
            </w:r>
          </w:p>
          <w:p w:rsidR="00AF37DB" w:rsidRPr="005E43D9" w:rsidRDefault="00AF37DB" w:rsidP="005D1D94">
            <w:pPr>
              <w:jc w:val="both"/>
              <w:rPr>
                <w:color w:val="000000"/>
                <w:lang w:val="ro-RO"/>
              </w:rPr>
            </w:pPr>
          </w:p>
        </w:tc>
      </w:tr>
      <w:tr w:rsidR="00601391" w:rsidRPr="0065481C" w:rsidTr="006E0A1A">
        <w:tc>
          <w:tcPr>
            <w:tcW w:w="540" w:type="dxa"/>
            <w:shd w:val="clear" w:color="auto" w:fill="auto"/>
          </w:tcPr>
          <w:p w:rsidR="00601391" w:rsidRPr="005E43D9" w:rsidRDefault="00601391" w:rsidP="005D1D94">
            <w:pPr>
              <w:numPr>
                <w:ilvl w:val="0"/>
                <w:numId w:val="4"/>
              </w:numPr>
              <w:jc w:val="center"/>
              <w:rPr>
                <w:color w:val="000000"/>
                <w:lang w:val="ro-RO"/>
              </w:rPr>
            </w:pPr>
          </w:p>
        </w:tc>
        <w:tc>
          <w:tcPr>
            <w:tcW w:w="1728" w:type="dxa"/>
            <w:shd w:val="clear" w:color="auto" w:fill="auto"/>
          </w:tcPr>
          <w:p w:rsidR="00601391" w:rsidRPr="005E43D9" w:rsidRDefault="00601391" w:rsidP="005D1D94">
            <w:pPr>
              <w:jc w:val="center"/>
              <w:rPr>
                <w:color w:val="000000"/>
                <w:lang w:val="ro-RO"/>
              </w:rPr>
            </w:pPr>
            <w:r w:rsidRPr="005E43D9">
              <w:rPr>
                <w:color w:val="000000"/>
                <w:lang w:val="ro-RO"/>
              </w:rPr>
              <w:t>Ministerul Afacerilor Interne</w:t>
            </w:r>
          </w:p>
        </w:tc>
        <w:tc>
          <w:tcPr>
            <w:tcW w:w="1620" w:type="dxa"/>
            <w:shd w:val="clear" w:color="auto" w:fill="auto"/>
          </w:tcPr>
          <w:p w:rsidR="00CF3855" w:rsidRPr="005E43D9" w:rsidRDefault="00CF3855" w:rsidP="009C1B0C">
            <w:pPr>
              <w:jc w:val="both"/>
              <w:rPr>
                <w:b/>
                <w:color w:val="000000"/>
                <w:lang w:val="ro-RO"/>
              </w:rPr>
            </w:pPr>
            <w:r w:rsidRPr="005E43D9">
              <w:rPr>
                <w:b/>
                <w:color w:val="000000"/>
                <w:lang w:val="ro-RO"/>
              </w:rPr>
              <w:t>P</w:t>
            </w:r>
            <w:r w:rsidR="009C1B0C" w:rsidRPr="005E43D9">
              <w:rPr>
                <w:b/>
                <w:color w:val="000000"/>
                <w:lang w:val="ro-RO"/>
              </w:rPr>
              <w:t>ct</w:t>
            </w:r>
            <w:r w:rsidRPr="005E43D9">
              <w:rPr>
                <w:b/>
                <w:color w:val="000000"/>
                <w:lang w:val="ro-RO"/>
              </w:rPr>
              <w:t>.</w:t>
            </w:r>
            <w:r w:rsidR="009C1B0C" w:rsidRPr="005E43D9">
              <w:rPr>
                <w:b/>
                <w:color w:val="000000"/>
                <w:lang w:val="ro-RO"/>
              </w:rPr>
              <w:t xml:space="preserve"> 1</w:t>
            </w:r>
          </w:p>
          <w:p w:rsidR="009C1B0C" w:rsidRPr="005E43D9" w:rsidRDefault="00CF3855" w:rsidP="009C1B0C">
            <w:pPr>
              <w:jc w:val="both"/>
              <w:rPr>
                <w:color w:val="000000"/>
                <w:lang w:val="ro-RO"/>
              </w:rPr>
            </w:pPr>
            <w:r w:rsidRPr="005E43D9">
              <w:rPr>
                <w:color w:val="000000"/>
                <w:lang w:val="ro-RO"/>
              </w:rPr>
              <w:t>Art. 273</w:t>
            </w:r>
            <w:r w:rsidR="009C1B0C" w:rsidRPr="005E43D9">
              <w:rPr>
                <w:color w:val="000000"/>
                <w:lang w:val="ro-RO"/>
              </w:rPr>
              <w:t xml:space="preserve"> </w:t>
            </w:r>
          </w:p>
          <w:p w:rsidR="00672629" w:rsidRPr="005E43D9" w:rsidRDefault="00672629" w:rsidP="009C1B0C">
            <w:pPr>
              <w:jc w:val="both"/>
              <w:rPr>
                <w:color w:val="000000"/>
                <w:lang w:val="ro-RO"/>
              </w:rPr>
            </w:pPr>
            <w:r w:rsidRPr="005E43D9">
              <w:rPr>
                <w:color w:val="000000"/>
                <w:lang w:val="ro-RO"/>
              </w:rPr>
              <w:t>pct. 5)</w:t>
            </w:r>
          </w:p>
          <w:p w:rsidR="00601391" w:rsidRPr="005E43D9" w:rsidRDefault="00601391"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A355FB" w:rsidRDefault="00A355FB" w:rsidP="00145045">
            <w:pPr>
              <w:jc w:val="both"/>
              <w:rPr>
                <w:color w:val="000000"/>
                <w:lang w:val="ro-RO"/>
              </w:rPr>
            </w:pPr>
          </w:p>
          <w:p w:rsidR="00672629" w:rsidRPr="005E43D9" w:rsidRDefault="00672629" w:rsidP="00145045">
            <w:pPr>
              <w:jc w:val="both"/>
              <w:rPr>
                <w:color w:val="000000"/>
                <w:vertAlign w:val="superscript"/>
                <w:lang w:val="ro-RO"/>
              </w:rPr>
            </w:pPr>
            <w:r w:rsidRPr="005E43D9">
              <w:rPr>
                <w:color w:val="000000"/>
                <w:lang w:val="ro-RO"/>
              </w:rPr>
              <w:t>pct. 9</w:t>
            </w:r>
            <w:r w:rsidRPr="005E43D9">
              <w:rPr>
                <w:color w:val="000000"/>
                <w:vertAlign w:val="superscript"/>
                <w:lang w:val="ro-RO"/>
              </w:rPr>
              <w:t>1</w:t>
            </w:r>
          </w:p>
          <w:p w:rsidR="00672629" w:rsidRPr="005E43D9" w:rsidRDefault="00672629" w:rsidP="00145045">
            <w:pPr>
              <w:jc w:val="both"/>
              <w:rPr>
                <w:color w:val="000000"/>
                <w:vertAlign w:val="superscript"/>
                <w:lang w:val="ro-RO"/>
              </w:rPr>
            </w:pPr>
          </w:p>
          <w:p w:rsidR="00672629" w:rsidRPr="005E43D9" w:rsidRDefault="00672629" w:rsidP="00145045">
            <w:pPr>
              <w:jc w:val="both"/>
              <w:rPr>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p>
          <w:p w:rsidR="00672629" w:rsidRPr="005E43D9" w:rsidRDefault="00672629" w:rsidP="00145045">
            <w:pPr>
              <w:jc w:val="both"/>
              <w:rPr>
                <w:b/>
                <w:color w:val="000000"/>
                <w:vertAlign w:val="superscript"/>
                <w:lang w:val="ro-RO"/>
              </w:rPr>
            </w:pPr>
            <w:r w:rsidRPr="005E43D9">
              <w:rPr>
                <w:b/>
                <w:color w:val="000000"/>
                <w:lang w:val="ro-RO"/>
              </w:rPr>
              <w:t>Pct. 2</w:t>
            </w:r>
          </w:p>
          <w:p w:rsidR="00672629" w:rsidRPr="005E43D9" w:rsidRDefault="00672629" w:rsidP="00145045">
            <w:pPr>
              <w:jc w:val="both"/>
              <w:rPr>
                <w:color w:val="000000"/>
                <w:lang w:val="ro-RO"/>
              </w:rPr>
            </w:pPr>
            <w:r w:rsidRPr="005E43D9">
              <w:rPr>
                <w:color w:val="000000"/>
                <w:lang w:val="ro-RO"/>
              </w:rPr>
              <w:t>art. 274</w:t>
            </w:r>
          </w:p>
          <w:p w:rsidR="00672629" w:rsidRPr="005E43D9" w:rsidRDefault="00672629" w:rsidP="00145045">
            <w:pPr>
              <w:jc w:val="both"/>
              <w:rPr>
                <w:color w:val="000000"/>
                <w:lang w:val="ro-RO"/>
              </w:rPr>
            </w:pPr>
            <w:r w:rsidRPr="005E43D9">
              <w:rPr>
                <w:color w:val="000000"/>
                <w:lang w:val="ro-RO"/>
              </w:rPr>
              <w:t>alin. (5)</w:t>
            </w: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145045">
            <w:pPr>
              <w:jc w:val="both"/>
              <w:rPr>
                <w:color w:val="000000"/>
                <w:lang w:val="ro-RO"/>
              </w:rPr>
            </w:pPr>
          </w:p>
          <w:p w:rsidR="00672629" w:rsidRPr="005E43D9" w:rsidRDefault="00672629" w:rsidP="00672629">
            <w:pPr>
              <w:jc w:val="both"/>
              <w:rPr>
                <w:b/>
                <w:color w:val="000000"/>
                <w:lang w:val="ro-RO"/>
              </w:rPr>
            </w:pPr>
            <w:r w:rsidRPr="005E43D9">
              <w:rPr>
                <w:b/>
                <w:color w:val="000000"/>
                <w:lang w:val="ro-RO"/>
              </w:rPr>
              <w:t>Pct. 3</w:t>
            </w:r>
          </w:p>
          <w:p w:rsidR="00FE45A9" w:rsidRPr="005E43D9" w:rsidRDefault="00FE45A9" w:rsidP="00672629">
            <w:pPr>
              <w:jc w:val="both"/>
              <w:rPr>
                <w:b/>
                <w:color w:val="000000"/>
                <w:lang w:val="ro-RO"/>
              </w:rPr>
            </w:pPr>
            <w:r w:rsidRPr="005E43D9">
              <w:rPr>
                <w:color w:val="000000"/>
                <w:lang w:val="ro-RO"/>
              </w:rPr>
              <w:t>art. 400</w:t>
            </w:r>
          </w:p>
        </w:tc>
        <w:tc>
          <w:tcPr>
            <w:tcW w:w="5751" w:type="dxa"/>
            <w:shd w:val="clear" w:color="auto" w:fill="auto"/>
          </w:tcPr>
          <w:p w:rsidR="004D35C8" w:rsidRPr="005E43D9" w:rsidRDefault="00087A2D" w:rsidP="009C1B0C">
            <w:pPr>
              <w:tabs>
                <w:tab w:val="left" w:pos="1470"/>
              </w:tabs>
              <w:jc w:val="both"/>
              <w:rPr>
                <w:color w:val="000000"/>
                <w:lang w:val="ro-RO"/>
              </w:rPr>
            </w:pPr>
            <w:r w:rsidRPr="005E43D9">
              <w:rPr>
                <w:color w:val="000000"/>
                <w:lang w:val="ro-RO"/>
              </w:rPr>
              <w:t xml:space="preserve">- </w:t>
            </w:r>
            <w:r w:rsidR="009C1B0C" w:rsidRPr="005E43D9">
              <w:rPr>
                <w:color w:val="000000"/>
                <w:lang w:val="ro-RO"/>
              </w:rPr>
              <w:t xml:space="preserve">În nota informativă, nu se regăsesc argumente motivate care ar necesita excluderea componenţei de contravenţie cuprinsă în </w:t>
            </w:r>
            <w:proofErr w:type="spellStart"/>
            <w:r w:rsidR="009C1B0C" w:rsidRPr="005E43D9">
              <w:rPr>
                <w:color w:val="000000"/>
                <w:lang w:val="ro-RO"/>
              </w:rPr>
              <w:t>subpct</w:t>
            </w:r>
            <w:proofErr w:type="spellEnd"/>
            <w:r w:rsidR="009C1B0C" w:rsidRPr="005E43D9">
              <w:rPr>
                <w:color w:val="000000"/>
                <w:lang w:val="ro-RO"/>
              </w:rPr>
              <w:t>. 5) al art. 273 Codul contravenţio</w:t>
            </w:r>
            <w:r w:rsidRPr="005E43D9">
              <w:rPr>
                <w:color w:val="000000"/>
                <w:lang w:val="ro-RO"/>
              </w:rPr>
              <w:t>nal,</w:t>
            </w:r>
            <w:r w:rsidR="004D35C8" w:rsidRPr="005E43D9">
              <w:rPr>
                <w:color w:val="000000"/>
                <w:lang w:val="ro-RO"/>
              </w:rPr>
              <w:t xml:space="preserve"> </w:t>
            </w:r>
          </w:p>
          <w:p w:rsidR="009C1B0C" w:rsidRPr="005E43D9" w:rsidRDefault="009C1B0C" w:rsidP="009C1B0C">
            <w:pPr>
              <w:tabs>
                <w:tab w:val="left" w:pos="1470"/>
              </w:tabs>
              <w:jc w:val="both"/>
              <w:rPr>
                <w:color w:val="000000"/>
                <w:lang w:val="ro-RO"/>
              </w:rPr>
            </w:pPr>
            <w:r w:rsidRPr="005E43D9">
              <w:rPr>
                <w:color w:val="000000"/>
                <w:lang w:val="ro-RO"/>
              </w:rPr>
              <w:t>în proiectul propus nu se regăseşte o normă care ar acoperi legalitatea sancţionării comercianţilor care nu respectă regulile de desfăş</w:t>
            </w:r>
            <w:r w:rsidR="00CF3855" w:rsidRPr="005E43D9">
              <w:rPr>
                <w:color w:val="000000"/>
                <w:lang w:val="ro-RO"/>
              </w:rPr>
              <w:t xml:space="preserve">urare a comerţului cu ridicata, </w:t>
            </w:r>
            <w:r w:rsidRPr="005E43D9">
              <w:rPr>
                <w:color w:val="000000"/>
                <w:lang w:val="ro-RO"/>
              </w:rPr>
              <w:t>se recomandă a se analiza suplimentar oportunitatea menţinerii răspunderii contravenţionale</w:t>
            </w:r>
            <w:r w:rsidR="00CF3855" w:rsidRPr="005E43D9">
              <w:rPr>
                <w:color w:val="000000"/>
                <w:lang w:val="ro-RO"/>
              </w:rPr>
              <w:t>.</w:t>
            </w:r>
            <w:r w:rsidRPr="005E43D9">
              <w:rPr>
                <w:color w:val="000000"/>
                <w:lang w:val="ro-RO"/>
              </w:rPr>
              <w:t xml:space="preserve">  </w:t>
            </w:r>
          </w:p>
          <w:p w:rsidR="00A355FB" w:rsidRDefault="00A355FB" w:rsidP="00A355FB">
            <w:pPr>
              <w:tabs>
                <w:tab w:val="left" w:pos="1470"/>
              </w:tabs>
              <w:jc w:val="both"/>
              <w:rPr>
                <w:color w:val="000000"/>
                <w:lang w:val="ro-RO"/>
              </w:rPr>
            </w:pPr>
          </w:p>
          <w:p w:rsidR="00A355FB" w:rsidRPr="005E43D9" w:rsidRDefault="00A355FB" w:rsidP="00A355FB">
            <w:pPr>
              <w:tabs>
                <w:tab w:val="left" w:pos="1470"/>
              </w:tabs>
              <w:jc w:val="both"/>
              <w:rPr>
                <w:color w:val="000000"/>
                <w:lang w:val="ro-RO"/>
              </w:rPr>
            </w:pPr>
            <w:r>
              <w:rPr>
                <w:color w:val="000000"/>
                <w:lang w:val="ro-RO"/>
              </w:rPr>
              <w:t>- D</w:t>
            </w:r>
            <w:r w:rsidRPr="005E43D9">
              <w:rPr>
                <w:color w:val="000000"/>
                <w:lang w:val="ro-RO"/>
              </w:rPr>
              <w:t>upă cuvîntul ,,organizarea” se va completa cu sintagma ,,şi/sau desfăşurarea”.</w:t>
            </w:r>
          </w:p>
          <w:p w:rsidR="009C1B0C" w:rsidRPr="005E43D9" w:rsidRDefault="00672629" w:rsidP="009C1B0C">
            <w:pPr>
              <w:tabs>
                <w:tab w:val="left" w:pos="1470"/>
              </w:tabs>
              <w:jc w:val="both"/>
              <w:rPr>
                <w:color w:val="000000"/>
                <w:lang w:val="ro-RO"/>
              </w:rPr>
            </w:pPr>
            <w:r w:rsidRPr="005E43D9">
              <w:rPr>
                <w:b/>
                <w:color w:val="000000"/>
                <w:lang w:val="ro-RO"/>
              </w:rPr>
              <w:t xml:space="preserve">- </w:t>
            </w:r>
            <w:r w:rsidR="00A355FB">
              <w:rPr>
                <w:color w:val="000000"/>
                <w:lang w:val="ro-RO"/>
              </w:rPr>
              <w:t>D</w:t>
            </w:r>
            <w:r w:rsidR="009C1B0C" w:rsidRPr="005E43D9">
              <w:rPr>
                <w:color w:val="000000"/>
                <w:lang w:val="ro-RO"/>
              </w:rPr>
              <w:t xml:space="preserve">rept subiect al contravenţiei privind organizarea comerţului din </w:t>
            </w:r>
            <w:proofErr w:type="spellStart"/>
            <w:r w:rsidR="009C1B0C" w:rsidRPr="005E43D9">
              <w:rPr>
                <w:color w:val="000000"/>
                <w:lang w:val="ro-RO"/>
              </w:rPr>
              <w:t>mînă</w:t>
            </w:r>
            <w:proofErr w:type="spellEnd"/>
            <w:r w:rsidR="009C1B0C" w:rsidRPr="005E43D9">
              <w:rPr>
                <w:color w:val="000000"/>
                <w:lang w:val="ro-RO"/>
              </w:rPr>
              <w:t xml:space="preserve"> în locuri neautorizate de autorităţile administraţiei publice locale, inclusiv pe teritoriul pieţei, pot fi şi persoanele fizice. </w:t>
            </w:r>
          </w:p>
          <w:p w:rsidR="009C1B0C" w:rsidRPr="005E43D9" w:rsidRDefault="009C1B0C" w:rsidP="009C1B0C">
            <w:pPr>
              <w:tabs>
                <w:tab w:val="left" w:pos="1470"/>
              </w:tabs>
              <w:jc w:val="both"/>
              <w:rPr>
                <w:color w:val="000000"/>
                <w:lang w:val="ro-RO"/>
              </w:rPr>
            </w:pPr>
            <w:r w:rsidRPr="005E43D9">
              <w:rPr>
                <w:color w:val="000000"/>
                <w:lang w:val="ro-RO"/>
              </w:rPr>
              <w:t xml:space="preserve">Sancţiunea se recomandă a fi examinată prin prisma art. 34 alin. (2) din Codul contravenţional. </w:t>
            </w:r>
          </w:p>
          <w:p w:rsidR="009C1B0C" w:rsidRPr="005E43D9" w:rsidRDefault="009C1B0C" w:rsidP="009C1B0C">
            <w:pPr>
              <w:tabs>
                <w:tab w:val="left" w:pos="1470"/>
              </w:tabs>
              <w:jc w:val="both"/>
              <w:rPr>
                <w:color w:val="000000"/>
                <w:lang w:val="ro-RO"/>
              </w:rPr>
            </w:pPr>
            <w:r w:rsidRPr="005E43D9">
              <w:rPr>
                <w:color w:val="000000"/>
                <w:lang w:val="ro-RO"/>
              </w:rPr>
              <w:t>Astfel, în cazul în care subiect al răspunderii contravenţionale pentru contravenţia respectivă este persoana fizică, aceasta nu este răspundere contravenţională, dar e o amendă penală, reieşind din cuantumul propus.</w:t>
            </w:r>
          </w:p>
          <w:p w:rsidR="009C1B0C" w:rsidRPr="005E43D9" w:rsidRDefault="009C1B0C" w:rsidP="009C1B0C">
            <w:pPr>
              <w:tabs>
                <w:tab w:val="left" w:pos="1470"/>
              </w:tabs>
              <w:jc w:val="both"/>
              <w:rPr>
                <w:color w:val="000000"/>
                <w:lang w:val="ro-RO"/>
              </w:rPr>
            </w:pPr>
            <w:r w:rsidRPr="005E43D9">
              <w:rPr>
                <w:color w:val="000000"/>
                <w:lang w:val="ro-RO"/>
              </w:rPr>
              <w:t xml:space="preserve">Or, conform regulii generale, limita maximă a amenzii contravenţionale, constituie limita minimă a amenzii penale, </w:t>
            </w:r>
            <w:proofErr w:type="spellStart"/>
            <w:r w:rsidRPr="005E43D9">
              <w:rPr>
                <w:color w:val="000000"/>
                <w:lang w:val="ro-RO"/>
              </w:rPr>
              <w:t>atît</w:t>
            </w:r>
            <w:proofErr w:type="spellEnd"/>
            <w:r w:rsidRPr="005E43D9">
              <w:rPr>
                <w:color w:val="000000"/>
                <w:lang w:val="ro-RO"/>
              </w:rPr>
              <w:t xml:space="preserve"> pentru persoanele fizice, </w:t>
            </w:r>
            <w:proofErr w:type="spellStart"/>
            <w:r w:rsidRPr="005E43D9">
              <w:rPr>
                <w:color w:val="000000"/>
                <w:lang w:val="ro-RO"/>
              </w:rPr>
              <w:t>cît</w:t>
            </w:r>
            <w:proofErr w:type="spellEnd"/>
            <w:r w:rsidRPr="005E43D9">
              <w:rPr>
                <w:color w:val="000000"/>
                <w:lang w:val="ro-RO"/>
              </w:rPr>
              <w:t xml:space="preserve"> şi pentru cele juridice. </w:t>
            </w:r>
          </w:p>
          <w:p w:rsidR="009C1B0C" w:rsidRPr="005E43D9" w:rsidRDefault="009C1B0C" w:rsidP="009C1B0C">
            <w:pPr>
              <w:tabs>
                <w:tab w:val="left" w:pos="1470"/>
              </w:tabs>
              <w:jc w:val="both"/>
              <w:rPr>
                <w:color w:val="000000"/>
                <w:lang w:val="ro-RO"/>
              </w:rPr>
            </w:pPr>
            <w:r w:rsidRPr="005E43D9">
              <w:rPr>
                <w:color w:val="000000"/>
                <w:lang w:val="ro-RO"/>
              </w:rPr>
              <w:t xml:space="preserve">În acest sens, dacă scopul este de a sancţiona persoana juridică, atunci oportun ar fi să se ţină cont de prevederile art. 17 alin. (2) al Codului contravenţional, care prevede că ,,persoana juridică răspunde contravenţional în cazul în care norma materială din partea specială a cărţii </w:t>
            </w:r>
            <w:proofErr w:type="spellStart"/>
            <w:r w:rsidRPr="005E43D9">
              <w:rPr>
                <w:color w:val="000000"/>
                <w:lang w:val="ro-RO"/>
              </w:rPr>
              <w:t>întîi</w:t>
            </w:r>
            <w:proofErr w:type="spellEnd"/>
            <w:r w:rsidRPr="005E43D9">
              <w:rPr>
                <w:color w:val="000000"/>
                <w:lang w:val="ro-RO"/>
              </w:rPr>
              <w:t xml:space="preserve"> prevede expres sancţionarea ei”. </w:t>
            </w:r>
          </w:p>
          <w:p w:rsidR="009C1B0C" w:rsidRPr="005E43D9" w:rsidRDefault="00FE45A9" w:rsidP="009C1B0C">
            <w:pPr>
              <w:tabs>
                <w:tab w:val="left" w:pos="1470"/>
              </w:tabs>
              <w:jc w:val="both"/>
              <w:rPr>
                <w:color w:val="000000"/>
                <w:lang w:val="ro-RO"/>
              </w:rPr>
            </w:pPr>
            <w:r w:rsidRPr="005E43D9">
              <w:rPr>
                <w:color w:val="000000"/>
                <w:lang w:val="ro-RO"/>
              </w:rPr>
              <w:t>-</w:t>
            </w:r>
            <w:r w:rsidR="009C1B0C" w:rsidRPr="005E43D9">
              <w:rPr>
                <w:color w:val="000000"/>
                <w:lang w:val="ro-RO"/>
              </w:rPr>
              <w:t xml:space="preserve"> de menţionat că şi în redacţia în vigoare a art. 274 alin. (5), (care se propune a fi amendat), structura sancţiunii este greşit formulată. </w:t>
            </w:r>
          </w:p>
          <w:p w:rsidR="009C1B0C" w:rsidRPr="005E43D9" w:rsidRDefault="009C1B0C" w:rsidP="009C1B0C">
            <w:pPr>
              <w:tabs>
                <w:tab w:val="left" w:pos="1470"/>
              </w:tabs>
              <w:jc w:val="both"/>
              <w:rPr>
                <w:color w:val="000000"/>
                <w:lang w:val="ro-RO"/>
              </w:rPr>
            </w:pPr>
            <w:r w:rsidRPr="005E43D9">
              <w:rPr>
                <w:color w:val="000000"/>
                <w:lang w:val="ro-RO"/>
              </w:rPr>
              <w:t>Proiectul propune excluderea contravenţiei din componenţa art. 274 alin. (5) şi includerea ei în calitate de acţiune separată prin intermediul căreia poate fi comisă contravenţia de la art. 273 Codul contravenţional ,,încălcarea regulilor de comerţ”.</w:t>
            </w:r>
          </w:p>
          <w:p w:rsidR="009C1B0C" w:rsidRPr="005E43D9" w:rsidRDefault="009C1B0C" w:rsidP="009C1B0C">
            <w:pPr>
              <w:tabs>
                <w:tab w:val="left" w:pos="1470"/>
              </w:tabs>
              <w:jc w:val="both"/>
              <w:rPr>
                <w:color w:val="000000"/>
                <w:lang w:val="ro-RO"/>
              </w:rPr>
            </w:pPr>
            <w:r w:rsidRPr="005E43D9">
              <w:rPr>
                <w:color w:val="000000"/>
                <w:lang w:val="ro-RO"/>
              </w:rPr>
              <w:t>Din argumentele expuse în nota informativă, nu este clară logica unui asemenea amendament.</w:t>
            </w:r>
          </w:p>
          <w:p w:rsidR="009C1B0C" w:rsidRPr="005E43D9" w:rsidRDefault="009C1B0C" w:rsidP="009C1B0C">
            <w:pPr>
              <w:tabs>
                <w:tab w:val="left" w:pos="1470"/>
              </w:tabs>
              <w:jc w:val="both"/>
              <w:rPr>
                <w:color w:val="000000"/>
                <w:lang w:val="ro-RO"/>
              </w:rPr>
            </w:pPr>
            <w:r w:rsidRPr="005E43D9">
              <w:rPr>
                <w:color w:val="000000"/>
                <w:lang w:val="ro-RO"/>
              </w:rPr>
              <w:t xml:space="preserve">Corespunzător, se va ţine cont că art. 7 al Legii nr. 231 din 23 septembrie 2010 cu privire la comerţul interior, nu reglementează ca formă de desfăşurare a comerţului ,,comerţul din </w:t>
            </w:r>
            <w:proofErr w:type="spellStart"/>
            <w:r w:rsidRPr="005E43D9">
              <w:rPr>
                <w:color w:val="000000"/>
                <w:lang w:val="ro-RO"/>
              </w:rPr>
              <w:t>mînă</w:t>
            </w:r>
            <w:proofErr w:type="spellEnd"/>
            <w:r w:rsidRPr="005E43D9">
              <w:rPr>
                <w:color w:val="000000"/>
                <w:lang w:val="ro-RO"/>
              </w:rPr>
              <w:t xml:space="preserve">”. </w:t>
            </w:r>
          </w:p>
          <w:p w:rsidR="009C1B0C" w:rsidRPr="005E43D9" w:rsidRDefault="00FE45A9" w:rsidP="009C1B0C">
            <w:pPr>
              <w:tabs>
                <w:tab w:val="left" w:pos="1470"/>
              </w:tabs>
              <w:jc w:val="both"/>
              <w:rPr>
                <w:color w:val="000000"/>
                <w:lang w:val="ro-RO"/>
              </w:rPr>
            </w:pPr>
            <w:r w:rsidRPr="005E43D9">
              <w:rPr>
                <w:color w:val="000000"/>
                <w:lang w:val="ro-RO"/>
              </w:rPr>
              <w:t xml:space="preserve">- </w:t>
            </w:r>
            <w:proofErr w:type="spellStart"/>
            <w:r w:rsidR="009C1B0C" w:rsidRPr="005E43D9">
              <w:rPr>
                <w:color w:val="000000"/>
                <w:lang w:val="ro-RO"/>
              </w:rPr>
              <w:t>analizînd</w:t>
            </w:r>
            <w:proofErr w:type="spellEnd"/>
            <w:r w:rsidR="009C1B0C" w:rsidRPr="005E43D9">
              <w:rPr>
                <w:color w:val="000000"/>
                <w:lang w:val="ro-RO"/>
              </w:rPr>
              <w:t xml:space="preserve"> prevederile art. 273 şi 274 în corelare cu art. 400-423</w:t>
            </w:r>
            <w:r w:rsidR="009C1B0C" w:rsidRPr="005E43D9">
              <w:rPr>
                <w:color w:val="000000"/>
                <w:vertAlign w:val="superscript"/>
                <w:lang w:val="ro-RO"/>
              </w:rPr>
              <w:t>5</w:t>
            </w:r>
            <w:r w:rsidR="009C1B0C" w:rsidRPr="005E43D9">
              <w:rPr>
                <w:color w:val="000000"/>
                <w:lang w:val="ro-RO"/>
              </w:rPr>
              <w:t>, conchidem că în redacţia în vigoare, acestea nu sunt constatate/examinate de nici un agent constatator, excepţie fiind art. 274 alin. (4) şi (5), (a se vedea art. 400 din Cod).</w:t>
            </w:r>
          </w:p>
          <w:p w:rsidR="009C1B0C" w:rsidRPr="005E43D9" w:rsidRDefault="009C1B0C" w:rsidP="009C1B0C">
            <w:pPr>
              <w:tabs>
                <w:tab w:val="left" w:pos="1470"/>
              </w:tabs>
              <w:jc w:val="both"/>
              <w:rPr>
                <w:color w:val="000000"/>
                <w:lang w:val="ro-RO"/>
              </w:rPr>
            </w:pPr>
            <w:r w:rsidRPr="005E43D9">
              <w:rPr>
                <w:color w:val="000000"/>
                <w:lang w:val="ro-RO"/>
              </w:rPr>
              <w:t xml:space="preserve">Prin urmare, se consideră judicioasă identificarea agenţilor constatatori împuterniciţi cu prerogativa de a constata/examina respectivele contravenţii, </w:t>
            </w:r>
            <w:proofErr w:type="spellStart"/>
            <w:r w:rsidRPr="005E43D9">
              <w:rPr>
                <w:color w:val="000000"/>
                <w:lang w:val="ro-RO"/>
              </w:rPr>
              <w:t>avînd</w:t>
            </w:r>
            <w:proofErr w:type="spellEnd"/>
            <w:r w:rsidRPr="005E43D9">
              <w:rPr>
                <w:color w:val="000000"/>
                <w:lang w:val="ro-RO"/>
              </w:rPr>
              <w:t xml:space="preserve"> ca bază limitele competenţelor funcţionale. </w:t>
            </w:r>
          </w:p>
          <w:p w:rsidR="009C1B0C" w:rsidRPr="005E43D9" w:rsidRDefault="009C1B0C" w:rsidP="009C1B0C">
            <w:pPr>
              <w:tabs>
                <w:tab w:val="left" w:pos="1470"/>
              </w:tabs>
              <w:jc w:val="both"/>
              <w:rPr>
                <w:color w:val="000000"/>
                <w:lang w:val="ro-RO"/>
              </w:rPr>
            </w:pPr>
            <w:r w:rsidRPr="005E43D9">
              <w:rPr>
                <w:color w:val="000000"/>
                <w:lang w:val="ro-RO"/>
              </w:rPr>
              <w:t>Or, în prezent art. 399 din Cod, admite posibilitatea agentului constatator de a constata contravenţiile ale căror constatare, soluţionare şi sancţionare sunt atribuite competenţei unor alte organe, ulterior fiind obligat de a remite organelor competente procesele verbale de constatare a contravenţiilor. Însă, potrivit prevederilor actuale, în raport cu contravenţiile de la art. 273 şi 274, cu excepţia alin. (1) şi (5), o astfel de procedură nu poate fi aplicabilă.</w:t>
            </w:r>
          </w:p>
          <w:p w:rsidR="009C1B0C" w:rsidRPr="005E43D9" w:rsidRDefault="009C1B0C" w:rsidP="009C1B0C">
            <w:pPr>
              <w:tabs>
                <w:tab w:val="left" w:pos="1470"/>
              </w:tabs>
              <w:jc w:val="both"/>
              <w:rPr>
                <w:color w:val="000000"/>
                <w:lang w:val="ro-RO"/>
              </w:rPr>
            </w:pPr>
            <w:r w:rsidRPr="005E43D9">
              <w:rPr>
                <w:color w:val="000000"/>
                <w:lang w:val="ro-RO"/>
              </w:rPr>
              <w:t xml:space="preserve">Respectiv, se consideră necesar a se examina acest aspect, în vederea asigurării unei aplicabilităţi eficiente a prevederilor legale. </w:t>
            </w:r>
          </w:p>
          <w:p w:rsidR="00601391" w:rsidRPr="005E43D9" w:rsidRDefault="009C1B0C" w:rsidP="00462B83">
            <w:pPr>
              <w:tabs>
                <w:tab w:val="left" w:pos="1470"/>
              </w:tabs>
              <w:jc w:val="both"/>
              <w:rPr>
                <w:color w:val="000000"/>
                <w:lang w:val="ro-RO"/>
              </w:rPr>
            </w:pPr>
            <w:r w:rsidRPr="005E43D9">
              <w:rPr>
                <w:color w:val="000000"/>
                <w:lang w:val="ro-RO"/>
              </w:rPr>
              <w:t>Urmare a celor expuse, proiectul actului legislativ urmează a fi definitivat în concordanţă cu cadrul juridic existent, cu sistemul de codificare şi unificare a legislaţiei, precum şi cu rigorile de tehnică legislativă.</w:t>
            </w:r>
          </w:p>
        </w:tc>
        <w:tc>
          <w:tcPr>
            <w:tcW w:w="1560" w:type="dxa"/>
            <w:shd w:val="clear" w:color="auto" w:fill="auto"/>
          </w:tcPr>
          <w:p w:rsidR="00601391" w:rsidRDefault="00601391"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p>
          <w:p w:rsidR="00A355FB" w:rsidRDefault="00A355FB" w:rsidP="00E377F8">
            <w:pPr>
              <w:rPr>
                <w:color w:val="000000"/>
                <w:lang w:val="ro-RO"/>
              </w:rPr>
            </w:pPr>
            <w:r>
              <w:rPr>
                <w:color w:val="000000"/>
                <w:lang w:val="ro-RO"/>
              </w:rPr>
              <w:t>S</w:t>
            </w:r>
            <w:r w:rsidRPr="005E43D9">
              <w:rPr>
                <w:color w:val="000000"/>
                <w:lang w:val="ro-RO"/>
              </w:rPr>
              <w:t>e acceptă</w:t>
            </w: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r>
              <w:rPr>
                <w:color w:val="000000"/>
                <w:lang w:val="ro-RO"/>
              </w:rPr>
              <w:t>S</w:t>
            </w:r>
            <w:r w:rsidRPr="005E43D9">
              <w:rPr>
                <w:color w:val="000000"/>
                <w:lang w:val="ro-RO"/>
              </w:rPr>
              <w:t>e acceptă</w:t>
            </w:r>
          </w:p>
          <w:p w:rsidR="00462B83" w:rsidRDefault="00462B83" w:rsidP="00E377F8">
            <w:pPr>
              <w:rPr>
                <w:color w:val="000000"/>
                <w:lang w:val="ro-RO"/>
              </w:rPr>
            </w:pPr>
          </w:p>
          <w:p w:rsidR="00462B83" w:rsidRDefault="00462B83" w:rsidP="00E377F8">
            <w:pPr>
              <w:rPr>
                <w:color w:val="000000"/>
                <w:lang w:val="ro-RO"/>
              </w:rPr>
            </w:pPr>
          </w:p>
          <w:p w:rsidR="00462B83" w:rsidRDefault="00462B83" w:rsidP="00E377F8">
            <w:pPr>
              <w:rPr>
                <w:color w:val="000000"/>
                <w:lang w:val="ro-RO"/>
              </w:rPr>
            </w:pPr>
          </w:p>
          <w:p w:rsidR="00462B83" w:rsidRPr="005E43D9" w:rsidRDefault="00462B83" w:rsidP="00E377F8">
            <w:pPr>
              <w:rPr>
                <w:color w:val="000000"/>
                <w:lang w:val="ro-RO"/>
              </w:rPr>
            </w:pPr>
          </w:p>
        </w:tc>
        <w:tc>
          <w:tcPr>
            <w:tcW w:w="3969" w:type="dxa"/>
            <w:shd w:val="clear" w:color="auto" w:fill="auto"/>
          </w:tcPr>
          <w:p w:rsidR="00601391" w:rsidRDefault="005E43D9" w:rsidP="00B00525">
            <w:pPr>
              <w:ind w:left="-53" w:right="-68"/>
              <w:jc w:val="both"/>
              <w:rPr>
                <w:color w:val="000000"/>
                <w:lang w:val="ro-RO"/>
              </w:rPr>
            </w:pPr>
            <w:r>
              <w:rPr>
                <w:color w:val="000000"/>
                <w:lang w:val="ro-RO"/>
              </w:rPr>
              <w:t>Excluderea pct. 5 s-a impus urmare excluderilor din Legea nr. 231/2010 cu privire la comerţul interior a obligativităţii transferului în cazul tran</w:t>
            </w:r>
            <w:r w:rsidR="009B604E">
              <w:rPr>
                <w:color w:val="000000"/>
                <w:lang w:val="ro-RO"/>
              </w:rPr>
              <w:t>zacţiilor comerciale cu ridicata. În practica internaţională nu există norme separate pentru comerţul cu ridicata, procesul tehnologic este practic acelaşi.</w:t>
            </w: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p>
          <w:p w:rsidR="00367F96" w:rsidRDefault="00367F96" w:rsidP="00B00525">
            <w:pPr>
              <w:ind w:left="-53" w:right="-68"/>
              <w:jc w:val="both"/>
              <w:rPr>
                <w:color w:val="000000"/>
                <w:lang w:val="ro-RO"/>
              </w:rPr>
            </w:pPr>
            <w:r>
              <w:rPr>
                <w:color w:val="000000"/>
                <w:lang w:val="ro-RO"/>
              </w:rPr>
              <w:t xml:space="preserve">Referitor la mărimea sancţiunii, aceasta nu a fost examinată. La solicitarea Curţii de Conturi, a fost extinsă sancţiunea administrativă pentru comerţul „din </w:t>
            </w:r>
            <w:proofErr w:type="spellStart"/>
            <w:r>
              <w:rPr>
                <w:color w:val="000000"/>
                <w:lang w:val="ro-RO"/>
              </w:rPr>
              <w:t>mînă</w:t>
            </w:r>
            <w:proofErr w:type="spellEnd"/>
            <w:r>
              <w:rPr>
                <w:color w:val="000000"/>
                <w:lang w:val="ro-RO"/>
              </w:rPr>
              <w:t>”, indiferent unde se practică (pe teritoriul pieţei sau în afara acesteia)</w:t>
            </w: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r>
              <w:rPr>
                <w:color w:val="000000"/>
                <w:lang w:val="ro-RO"/>
              </w:rPr>
              <w:t>Vezi comentariile precedente</w:t>
            </w: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Default="0097143A" w:rsidP="00B00525">
            <w:pPr>
              <w:ind w:left="-53" w:right="-68"/>
              <w:jc w:val="both"/>
              <w:rPr>
                <w:color w:val="000000"/>
                <w:lang w:val="ro-RO"/>
              </w:rPr>
            </w:pPr>
          </w:p>
          <w:p w:rsidR="0097143A" w:rsidRPr="005E43D9" w:rsidRDefault="0097143A" w:rsidP="00B00525">
            <w:pPr>
              <w:ind w:left="-53" w:right="-68"/>
              <w:jc w:val="both"/>
              <w:rPr>
                <w:color w:val="000000"/>
                <w:lang w:val="ro-RO"/>
              </w:rPr>
            </w:pPr>
            <w:r>
              <w:rPr>
                <w:color w:val="000000"/>
                <w:lang w:val="ro-RO"/>
              </w:rPr>
              <w:t xml:space="preserve">La subiectul respectiv vom solicita </w:t>
            </w:r>
            <w:proofErr w:type="spellStart"/>
            <w:r>
              <w:rPr>
                <w:color w:val="000000"/>
                <w:lang w:val="ro-RO"/>
              </w:rPr>
              <w:t>pîna</w:t>
            </w:r>
            <w:proofErr w:type="spellEnd"/>
            <w:r>
              <w:rPr>
                <w:color w:val="000000"/>
                <w:lang w:val="ro-RO"/>
              </w:rPr>
              <w:t xml:space="preserve"> la definitivare suportul experţilor în justiţie în special din cadrul Ministerului Justiţiei, de prerogativa cărora ţine revizuirea Codului Contravenţional.</w:t>
            </w:r>
          </w:p>
        </w:tc>
      </w:tr>
      <w:tr w:rsidR="00E02658" w:rsidRPr="0065481C" w:rsidTr="006E0A1A">
        <w:tc>
          <w:tcPr>
            <w:tcW w:w="540" w:type="dxa"/>
            <w:shd w:val="clear" w:color="auto" w:fill="auto"/>
          </w:tcPr>
          <w:p w:rsidR="00E02658" w:rsidRPr="005E43D9" w:rsidRDefault="00E02658" w:rsidP="005D1D94">
            <w:pPr>
              <w:numPr>
                <w:ilvl w:val="0"/>
                <w:numId w:val="4"/>
              </w:numPr>
              <w:jc w:val="center"/>
              <w:rPr>
                <w:color w:val="000000"/>
                <w:lang w:val="ro-RO"/>
              </w:rPr>
            </w:pPr>
          </w:p>
        </w:tc>
        <w:tc>
          <w:tcPr>
            <w:tcW w:w="1728" w:type="dxa"/>
            <w:shd w:val="clear" w:color="auto" w:fill="auto"/>
          </w:tcPr>
          <w:p w:rsidR="00BA3495" w:rsidRPr="005E43D9" w:rsidRDefault="00242D6A" w:rsidP="002829B9">
            <w:pPr>
              <w:ind w:left="-81" w:right="-108"/>
              <w:jc w:val="center"/>
              <w:rPr>
                <w:color w:val="000000"/>
                <w:lang w:val="ro-RO"/>
              </w:rPr>
            </w:pPr>
            <w:r w:rsidRPr="005E43D9">
              <w:rPr>
                <w:color w:val="000000"/>
                <w:lang w:val="ro-RO"/>
              </w:rPr>
              <w:t>Centrul Naţional de Sănătate</w:t>
            </w:r>
            <w:r w:rsidR="002829B9">
              <w:rPr>
                <w:color w:val="000000"/>
                <w:lang w:val="ro-RO"/>
              </w:rPr>
              <w:t xml:space="preserve"> P</w:t>
            </w:r>
            <w:r w:rsidRPr="005E43D9">
              <w:rPr>
                <w:color w:val="000000"/>
                <w:lang w:val="ro-RO"/>
              </w:rPr>
              <w:t>ublică</w:t>
            </w:r>
          </w:p>
        </w:tc>
        <w:tc>
          <w:tcPr>
            <w:tcW w:w="1620" w:type="dxa"/>
            <w:shd w:val="clear" w:color="auto" w:fill="auto"/>
          </w:tcPr>
          <w:p w:rsidR="00242D6A" w:rsidRPr="005E43D9" w:rsidRDefault="00242D6A" w:rsidP="00242D6A">
            <w:pPr>
              <w:jc w:val="both"/>
              <w:rPr>
                <w:b/>
                <w:color w:val="000000"/>
                <w:lang w:val="ro-RO"/>
              </w:rPr>
            </w:pPr>
          </w:p>
          <w:p w:rsidR="00242D6A" w:rsidRPr="005E43D9" w:rsidRDefault="00242D6A" w:rsidP="00242D6A">
            <w:pPr>
              <w:jc w:val="both"/>
              <w:rPr>
                <w:b/>
                <w:color w:val="000000"/>
                <w:lang w:val="ro-RO"/>
              </w:rPr>
            </w:pPr>
          </w:p>
          <w:p w:rsidR="00E02658" w:rsidRPr="005E43D9" w:rsidRDefault="00E02658" w:rsidP="00242D6A">
            <w:pPr>
              <w:jc w:val="both"/>
              <w:rPr>
                <w:b/>
                <w:color w:val="000000"/>
                <w:lang w:val="ro-RO"/>
              </w:rPr>
            </w:pPr>
          </w:p>
        </w:tc>
        <w:tc>
          <w:tcPr>
            <w:tcW w:w="5751" w:type="dxa"/>
            <w:shd w:val="clear" w:color="auto" w:fill="auto"/>
          </w:tcPr>
          <w:p w:rsidR="00242D6A" w:rsidRPr="005E43D9" w:rsidRDefault="00E9177F" w:rsidP="0054145E">
            <w:pPr>
              <w:tabs>
                <w:tab w:val="left" w:pos="1470"/>
              </w:tabs>
              <w:jc w:val="both"/>
              <w:rPr>
                <w:color w:val="000000"/>
                <w:lang w:val="ro-RO"/>
              </w:rPr>
            </w:pPr>
            <w:r w:rsidRPr="001A60A3">
              <w:rPr>
                <w:b/>
                <w:color w:val="000000"/>
                <w:lang w:val="ro-RO"/>
              </w:rPr>
              <w:t>Lipsa propunerilor</w:t>
            </w:r>
            <w:r w:rsidRPr="005E43D9">
              <w:rPr>
                <w:color w:val="000000"/>
                <w:lang w:val="ro-RO"/>
              </w:rPr>
              <w:t xml:space="preserve"> de modificare şi completare.</w:t>
            </w:r>
          </w:p>
        </w:tc>
        <w:tc>
          <w:tcPr>
            <w:tcW w:w="1560" w:type="dxa"/>
            <w:shd w:val="clear" w:color="auto" w:fill="auto"/>
          </w:tcPr>
          <w:p w:rsidR="00E02658" w:rsidRPr="005E43D9" w:rsidRDefault="00E02658" w:rsidP="00E377F8">
            <w:pPr>
              <w:rPr>
                <w:color w:val="000000"/>
                <w:lang w:val="ro-RO"/>
              </w:rPr>
            </w:pPr>
          </w:p>
        </w:tc>
        <w:tc>
          <w:tcPr>
            <w:tcW w:w="3969" w:type="dxa"/>
            <w:shd w:val="clear" w:color="auto" w:fill="auto"/>
          </w:tcPr>
          <w:p w:rsidR="00E02658" w:rsidRPr="005E43D9" w:rsidRDefault="00E02658" w:rsidP="005D1D94">
            <w:pPr>
              <w:jc w:val="both"/>
              <w:rPr>
                <w:color w:val="000000"/>
                <w:lang w:val="ro-RO"/>
              </w:rPr>
            </w:pPr>
          </w:p>
        </w:tc>
      </w:tr>
      <w:tr w:rsidR="00BA3495" w:rsidRPr="0065481C" w:rsidTr="006E0A1A">
        <w:tc>
          <w:tcPr>
            <w:tcW w:w="540" w:type="dxa"/>
            <w:shd w:val="clear" w:color="auto" w:fill="auto"/>
          </w:tcPr>
          <w:p w:rsidR="00BA3495" w:rsidRPr="005E43D9" w:rsidRDefault="00BA3495" w:rsidP="005D1D94">
            <w:pPr>
              <w:numPr>
                <w:ilvl w:val="0"/>
                <w:numId w:val="4"/>
              </w:numPr>
              <w:jc w:val="center"/>
              <w:rPr>
                <w:color w:val="000000"/>
                <w:lang w:val="ro-RO"/>
              </w:rPr>
            </w:pPr>
          </w:p>
        </w:tc>
        <w:tc>
          <w:tcPr>
            <w:tcW w:w="1728" w:type="dxa"/>
            <w:shd w:val="clear" w:color="auto" w:fill="auto"/>
          </w:tcPr>
          <w:p w:rsidR="00BA3495" w:rsidRPr="005E43D9" w:rsidRDefault="006F461F" w:rsidP="005D1D94">
            <w:pPr>
              <w:jc w:val="center"/>
              <w:rPr>
                <w:color w:val="000000"/>
                <w:lang w:val="ro-RO"/>
              </w:rPr>
            </w:pPr>
            <w:r w:rsidRPr="005E43D9">
              <w:rPr>
                <w:color w:val="000000"/>
                <w:lang w:val="ro-RO"/>
              </w:rPr>
              <w:t>Agenţia Turismului</w:t>
            </w:r>
          </w:p>
        </w:tc>
        <w:tc>
          <w:tcPr>
            <w:tcW w:w="1620" w:type="dxa"/>
            <w:shd w:val="clear" w:color="auto" w:fill="auto"/>
          </w:tcPr>
          <w:p w:rsidR="00BA3495" w:rsidRPr="005E43D9" w:rsidRDefault="00F714F5" w:rsidP="005D1D94">
            <w:pPr>
              <w:jc w:val="both"/>
              <w:rPr>
                <w:b/>
                <w:color w:val="000000"/>
                <w:lang w:val="ro-RO"/>
              </w:rPr>
            </w:pPr>
            <w:r w:rsidRPr="005E43D9">
              <w:rPr>
                <w:b/>
                <w:color w:val="000000"/>
                <w:lang w:val="ro-RO"/>
              </w:rPr>
              <w:t>pct. 1</w:t>
            </w:r>
          </w:p>
          <w:p w:rsidR="00FE45A9" w:rsidRPr="005E43D9" w:rsidRDefault="00FE45A9" w:rsidP="00FE45A9">
            <w:pPr>
              <w:jc w:val="both"/>
              <w:rPr>
                <w:color w:val="000000"/>
                <w:lang w:val="ro-RO"/>
              </w:rPr>
            </w:pPr>
            <w:r w:rsidRPr="005E43D9">
              <w:rPr>
                <w:color w:val="000000"/>
                <w:lang w:val="ro-RO"/>
              </w:rPr>
              <w:t xml:space="preserve">Art. 273 </w:t>
            </w:r>
          </w:p>
          <w:p w:rsidR="00FE45A9" w:rsidRPr="005E43D9" w:rsidRDefault="00FE45A9" w:rsidP="00FE45A9">
            <w:pPr>
              <w:jc w:val="both"/>
              <w:rPr>
                <w:color w:val="000000"/>
                <w:lang w:val="ro-RO"/>
              </w:rPr>
            </w:pPr>
            <w:r w:rsidRPr="005E43D9">
              <w:rPr>
                <w:color w:val="000000"/>
                <w:lang w:val="ro-RO"/>
              </w:rPr>
              <w:t>pct. 12)</w:t>
            </w:r>
          </w:p>
          <w:p w:rsidR="00FE45A9" w:rsidRPr="005E43D9" w:rsidRDefault="00FE45A9" w:rsidP="005D1D94">
            <w:pPr>
              <w:jc w:val="both"/>
              <w:rPr>
                <w:b/>
                <w:color w:val="000000"/>
                <w:lang w:val="ro-RO"/>
              </w:rPr>
            </w:pPr>
          </w:p>
        </w:tc>
        <w:tc>
          <w:tcPr>
            <w:tcW w:w="5751" w:type="dxa"/>
            <w:shd w:val="clear" w:color="auto" w:fill="auto"/>
          </w:tcPr>
          <w:p w:rsidR="00991277" w:rsidRPr="005E43D9" w:rsidRDefault="0020527D" w:rsidP="00991277">
            <w:pPr>
              <w:tabs>
                <w:tab w:val="left" w:pos="1470"/>
              </w:tabs>
              <w:jc w:val="both"/>
              <w:rPr>
                <w:color w:val="000000"/>
                <w:lang w:val="ro-RO"/>
              </w:rPr>
            </w:pPr>
            <w:r w:rsidRPr="005E43D9">
              <w:rPr>
                <w:color w:val="000000"/>
                <w:lang w:val="ro-RO"/>
              </w:rPr>
              <w:t xml:space="preserve">- </w:t>
            </w:r>
            <w:r w:rsidR="00991277" w:rsidRPr="005E43D9">
              <w:rPr>
                <w:color w:val="000000"/>
                <w:lang w:val="ro-RO"/>
              </w:rPr>
              <w:t>sintagma ”aliniatul  (5)” se subst</w:t>
            </w:r>
            <w:r w:rsidRPr="005E43D9">
              <w:rPr>
                <w:color w:val="000000"/>
                <w:lang w:val="ro-RO"/>
              </w:rPr>
              <w:t xml:space="preserve">ituie cu sintagma ”punctul 5) ”, la fel </w:t>
            </w:r>
            <w:r w:rsidR="00991277" w:rsidRPr="005E43D9">
              <w:rPr>
                <w:color w:val="000000"/>
                <w:lang w:val="ro-RO"/>
              </w:rPr>
              <w:t>pe tot parcursul textului</w:t>
            </w:r>
            <w:r w:rsidRPr="005E43D9">
              <w:rPr>
                <w:color w:val="000000"/>
                <w:lang w:val="ro-RO"/>
              </w:rPr>
              <w:t>.</w:t>
            </w:r>
            <w:r w:rsidR="00991277" w:rsidRPr="005E43D9">
              <w:rPr>
                <w:color w:val="000000"/>
                <w:lang w:val="ro-RO"/>
              </w:rPr>
              <w:tab/>
              <w:t xml:space="preserve">        </w:t>
            </w:r>
          </w:p>
          <w:p w:rsidR="0020527D" w:rsidRPr="005E43D9" w:rsidRDefault="0020527D" w:rsidP="00991277">
            <w:pPr>
              <w:tabs>
                <w:tab w:val="left" w:pos="1470"/>
              </w:tabs>
              <w:jc w:val="both"/>
              <w:rPr>
                <w:color w:val="000000"/>
                <w:lang w:val="ro-RO"/>
              </w:rPr>
            </w:pPr>
          </w:p>
          <w:p w:rsidR="00991277" w:rsidRPr="005E43D9" w:rsidRDefault="0020527D" w:rsidP="00991277">
            <w:pPr>
              <w:tabs>
                <w:tab w:val="left" w:pos="1470"/>
              </w:tabs>
              <w:jc w:val="both"/>
              <w:rPr>
                <w:color w:val="000000"/>
                <w:lang w:val="ro-RO"/>
              </w:rPr>
            </w:pPr>
            <w:r w:rsidRPr="005E43D9">
              <w:rPr>
                <w:color w:val="000000"/>
                <w:lang w:val="ro-RO"/>
              </w:rPr>
              <w:t>-</w:t>
            </w:r>
            <w:r w:rsidR="00991277" w:rsidRPr="005E43D9">
              <w:rPr>
                <w:color w:val="000000"/>
                <w:lang w:val="ro-RO"/>
              </w:rPr>
              <w:t xml:space="preserve"> punctul 12) se expune în redacție nouă după cum urmează:</w:t>
            </w:r>
          </w:p>
          <w:p w:rsidR="00991277" w:rsidRPr="005E43D9" w:rsidRDefault="00991277" w:rsidP="00991277">
            <w:pPr>
              <w:tabs>
                <w:tab w:val="left" w:pos="1470"/>
              </w:tabs>
              <w:jc w:val="both"/>
              <w:rPr>
                <w:color w:val="000000"/>
                <w:lang w:val="ro-RO"/>
              </w:rPr>
            </w:pPr>
            <w:r w:rsidRPr="005E43D9">
              <w:rPr>
                <w:color w:val="000000"/>
                <w:lang w:val="ro-RO"/>
              </w:rPr>
              <w:t xml:space="preserve">”12) încălcarea de către persoanele fizice și juridice a regulilor de clasificare a structurilor de primire turistică, indiferent de tipul de proprietate şi forma juridică de organizare, care constă în: </w:t>
            </w:r>
          </w:p>
          <w:p w:rsidR="00991277" w:rsidRPr="005E43D9" w:rsidRDefault="00F714F5" w:rsidP="00991277">
            <w:pPr>
              <w:tabs>
                <w:tab w:val="left" w:pos="1470"/>
              </w:tabs>
              <w:jc w:val="both"/>
              <w:rPr>
                <w:color w:val="000000"/>
                <w:lang w:val="ro-RO"/>
              </w:rPr>
            </w:pPr>
            <w:r w:rsidRPr="005E43D9">
              <w:rPr>
                <w:color w:val="000000"/>
                <w:lang w:val="ro-RO"/>
              </w:rPr>
              <w:t xml:space="preserve">a) </w:t>
            </w:r>
            <w:r w:rsidR="00991277" w:rsidRPr="005E43D9">
              <w:rPr>
                <w:color w:val="000000"/>
                <w:lang w:val="ro-RO"/>
              </w:rPr>
              <w:t xml:space="preserve">desfăşurarea activităţii  structurii de  primire turistică fără certificat de clasificare  se sancţionează cu amendă de la 300  la  500 de unităţi convenţionale; </w:t>
            </w:r>
          </w:p>
          <w:p w:rsidR="00991277" w:rsidRPr="005E43D9" w:rsidRDefault="00991277" w:rsidP="00991277">
            <w:pPr>
              <w:tabs>
                <w:tab w:val="left" w:pos="1470"/>
              </w:tabs>
              <w:jc w:val="both"/>
              <w:rPr>
                <w:color w:val="000000"/>
                <w:lang w:val="ro-RO"/>
              </w:rPr>
            </w:pPr>
            <w:r w:rsidRPr="005E43D9">
              <w:rPr>
                <w:color w:val="000000"/>
                <w:lang w:val="ro-RO"/>
              </w:rPr>
              <w:t xml:space="preserve"> b</w:t>
            </w:r>
            <w:r w:rsidR="00F714F5" w:rsidRPr="005E43D9">
              <w:rPr>
                <w:color w:val="000000"/>
                <w:lang w:val="ro-RO"/>
              </w:rPr>
              <w:t xml:space="preserve">) </w:t>
            </w:r>
            <w:r w:rsidRPr="005E43D9">
              <w:rPr>
                <w:color w:val="000000"/>
                <w:lang w:val="ro-RO"/>
              </w:rPr>
              <w:t>nerespectarea cerinţelor  impuse de tipul și  categoria atribuită  structurii de  primire turistică</w:t>
            </w:r>
          </w:p>
          <w:p w:rsidR="00991277" w:rsidRPr="005E43D9" w:rsidRDefault="00991277" w:rsidP="00991277">
            <w:pPr>
              <w:tabs>
                <w:tab w:val="left" w:pos="1470"/>
              </w:tabs>
              <w:jc w:val="both"/>
              <w:rPr>
                <w:color w:val="000000"/>
                <w:lang w:val="ro-RO"/>
              </w:rPr>
            </w:pPr>
            <w:r w:rsidRPr="005E43D9">
              <w:rPr>
                <w:color w:val="000000"/>
                <w:lang w:val="ro-RO"/>
              </w:rPr>
              <w:t xml:space="preserve">se sancţionează cu amendă de la 100 la 200 de unităţi convenţionale; </w:t>
            </w:r>
          </w:p>
          <w:p w:rsidR="00991277" w:rsidRPr="005E43D9" w:rsidRDefault="00991277" w:rsidP="00991277">
            <w:pPr>
              <w:tabs>
                <w:tab w:val="left" w:pos="1470"/>
              </w:tabs>
              <w:jc w:val="both"/>
              <w:rPr>
                <w:color w:val="000000"/>
                <w:lang w:val="ro-RO"/>
              </w:rPr>
            </w:pPr>
            <w:r w:rsidRPr="005E43D9">
              <w:rPr>
                <w:color w:val="000000"/>
                <w:lang w:val="ro-RO"/>
              </w:rPr>
              <w:t xml:space="preserve">c) neafişarea la loc vizibil a certificatului de clasificare a structurii  de  primire turistică </w:t>
            </w:r>
          </w:p>
          <w:p w:rsidR="00991277" w:rsidRPr="005E43D9" w:rsidRDefault="00991277" w:rsidP="00991277">
            <w:pPr>
              <w:tabs>
                <w:tab w:val="left" w:pos="1470"/>
              </w:tabs>
              <w:jc w:val="both"/>
              <w:rPr>
                <w:color w:val="000000"/>
                <w:lang w:val="ro-RO"/>
              </w:rPr>
            </w:pPr>
            <w:r w:rsidRPr="005E43D9">
              <w:rPr>
                <w:color w:val="000000"/>
                <w:lang w:val="ro-RO"/>
              </w:rPr>
              <w:t xml:space="preserve">se sancţionează cu amendă de la 100 la 150 de unităţi convenţionale; </w:t>
            </w:r>
          </w:p>
          <w:p w:rsidR="00991277" w:rsidRPr="005E43D9" w:rsidRDefault="00991277" w:rsidP="00991277">
            <w:pPr>
              <w:tabs>
                <w:tab w:val="left" w:pos="1470"/>
              </w:tabs>
              <w:jc w:val="both"/>
              <w:rPr>
                <w:color w:val="000000"/>
                <w:lang w:val="ro-RO"/>
              </w:rPr>
            </w:pPr>
            <w:r w:rsidRPr="005E43D9">
              <w:rPr>
                <w:color w:val="000000"/>
                <w:lang w:val="ro-RO"/>
              </w:rPr>
              <w:t xml:space="preserve">d) prezentarea de informații neveridice  privind  tipul și categoria structurii de primire turistică   pe pagini internet, pe fațadă sau plachetă </w:t>
            </w:r>
          </w:p>
          <w:p w:rsidR="00991277" w:rsidRPr="005E43D9" w:rsidRDefault="00991277" w:rsidP="00991277">
            <w:pPr>
              <w:tabs>
                <w:tab w:val="left" w:pos="1470"/>
              </w:tabs>
              <w:jc w:val="both"/>
              <w:rPr>
                <w:color w:val="000000"/>
                <w:lang w:val="ro-RO"/>
              </w:rPr>
            </w:pPr>
            <w:r w:rsidRPr="005E43D9">
              <w:rPr>
                <w:color w:val="000000"/>
                <w:lang w:val="ro-RO"/>
              </w:rPr>
              <w:t>se sancţionează cu amendă de la 300  la  500 de unităţi convenţionale;</w:t>
            </w:r>
          </w:p>
          <w:p w:rsidR="00991277" w:rsidRPr="005E43D9" w:rsidRDefault="00991277" w:rsidP="00991277">
            <w:pPr>
              <w:tabs>
                <w:tab w:val="left" w:pos="1470"/>
              </w:tabs>
              <w:jc w:val="both"/>
              <w:rPr>
                <w:color w:val="000000"/>
                <w:lang w:val="ro-RO"/>
              </w:rPr>
            </w:pPr>
            <w:r w:rsidRPr="005E43D9">
              <w:rPr>
                <w:color w:val="000000"/>
                <w:lang w:val="ro-RO"/>
              </w:rPr>
              <w:t>e) desfășurarea activității structurii de  primire turistică cu personal necertificat conform legii</w:t>
            </w:r>
          </w:p>
          <w:p w:rsidR="00991277" w:rsidRPr="005E43D9" w:rsidRDefault="00991277" w:rsidP="00991277">
            <w:pPr>
              <w:tabs>
                <w:tab w:val="left" w:pos="1470"/>
              </w:tabs>
              <w:jc w:val="both"/>
              <w:rPr>
                <w:color w:val="000000"/>
                <w:lang w:val="ro-RO"/>
              </w:rPr>
            </w:pPr>
            <w:r w:rsidRPr="005E43D9">
              <w:rPr>
                <w:color w:val="000000"/>
                <w:lang w:val="ro-RO"/>
              </w:rPr>
              <w:t>se sancţionează cu amendă de la 100 la 150 de unităţi convenţionale.</w:t>
            </w:r>
            <w:r w:rsidR="0020527D" w:rsidRPr="005E43D9">
              <w:rPr>
                <w:color w:val="000000"/>
                <w:lang w:val="ro-RO"/>
              </w:rPr>
              <w:t>”</w:t>
            </w:r>
            <w:r w:rsidRPr="005E43D9">
              <w:rPr>
                <w:color w:val="000000"/>
                <w:lang w:val="ro-RO"/>
              </w:rPr>
              <w:t xml:space="preserve">  </w:t>
            </w:r>
          </w:p>
          <w:p w:rsidR="00991277" w:rsidRPr="005E43D9" w:rsidRDefault="0020527D" w:rsidP="00991277">
            <w:pPr>
              <w:tabs>
                <w:tab w:val="left" w:pos="1470"/>
              </w:tabs>
              <w:jc w:val="both"/>
              <w:rPr>
                <w:color w:val="000000"/>
                <w:lang w:val="ro-RO"/>
              </w:rPr>
            </w:pPr>
            <w:r w:rsidRPr="005E43D9">
              <w:rPr>
                <w:color w:val="000000"/>
                <w:lang w:val="ro-RO"/>
              </w:rPr>
              <w:t>- de</w:t>
            </w:r>
            <w:r w:rsidR="00991277" w:rsidRPr="005E43D9">
              <w:rPr>
                <w:color w:val="000000"/>
                <w:lang w:val="ro-RO"/>
              </w:rPr>
              <w:t xml:space="preserve"> introdu</w:t>
            </w:r>
            <w:r w:rsidRPr="005E43D9">
              <w:rPr>
                <w:color w:val="000000"/>
                <w:lang w:val="ro-RO"/>
              </w:rPr>
              <w:t>s</w:t>
            </w:r>
            <w:r w:rsidR="00991277" w:rsidRPr="005E43D9">
              <w:rPr>
                <w:color w:val="000000"/>
                <w:lang w:val="ro-RO"/>
              </w:rPr>
              <w:t xml:space="preserve"> 2 puncte noi </w:t>
            </w:r>
            <w:r w:rsidRPr="005E43D9">
              <w:rPr>
                <w:color w:val="000000"/>
                <w:lang w:val="ro-RO"/>
              </w:rPr>
              <w:t>– 4 și 5, cu următorul conținut:</w:t>
            </w:r>
          </w:p>
          <w:p w:rsidR="00991277" w:rsidRPr="005E43D9" w:rsidRDefault="00D6458B" w:rsidP="00991277">
            <w:pPr>
              <w:tabs>
                <w:tab w:val="left" w:pos="1470"/>
              </w:tabs>
              <w:jc w:val="both"/>
              <w:rPr>
                <w:color w:val="000000"/>
                <w:lang w:val="ro-RO"/>
              </w:rPr>
            </w:pPr>
            <w:r w:rsidRPr="005E43D9">
              <w:rPr>
                <w:color w:val="000000"/>
                <w:lang w:val="ro-RO"/>
              </w:rPr>
              <w:t xml:space="preserve">  </w:t>
            </w:r>
            <w:r w:rsidR="00991277" w:rsidRPr="005E43D9">
              <w:rPr>
                <w:color w:val="000000"/>
                <w:lang w:val="ro-RO"/>
              </w:rPr>
              <w:t>4.  Art.408</w:t>
            </w:r>
          </w:p>
          <w:p w:rsidR="00991277" w:rsidRPr="005E43D9" w:rsidRDefault="00991277" w:rsidP="00991277">
            <w:pPr>
              <w:tabs>
                <w:tab w:val="left" w:pos="1470"/>
              </w:tabs>
              <w:jc w:val="both"/>
              <w:rPr>
                <w:color w:val="000000"/>
                <w:lang w:val="ro-RO"/>
              </w:rPr>
            </w:pPr>
            <w:r w:rsidRPr="005E43D9">
              <w:rPr>
                <w:color w:val="000000"/>
                <w:lang w:val="ro-RO"/>
              </w:rPr>
              <w:t xml:space="preserve">La aliniatul (1),   sintagma  ”273 </w:t>
            </w:r>
            <w:proofErr w:type="spellStart"/>
            <w:r w:rsidRPr="005E43D9">
              <w:rPr>
                <w:color w:val="000000"/>
                <w:lang w:val="ro-RO"/>
              </w:rPr>
              <w:t>pct</w:t>
            </w:r>
            <w:proofErr w:type="spellEnd"/>
            <w:r w:rsidRPr="005E43D9">
              <w:rPr>
                <w:color w:val="000000"/>
                <w:lang w:val="ro-RO"/>
              </w:rPr>
              <w:t xml:space="preserve"> .1)–4), 6)–13)” se substituie prin sintagma  ”273 pct. 1)-4), 6)-11), 13)”.</w:t>
            </w:r>
          </w:p>
          <w:p w:rsidR="00991277" w:rsidRPr="005E43D9" w:rsidRDefault="00D6458B" w:rsidP="00991277">
            <w:pPr>
              <w:tabs>
                <w:tab w:val="left" w:pos="1470"/>
              </w:tabs>
              <w:jc w:val="both"/>
              <w:rPr>
                <w:color w:val="000000"/>
                <w:lang w:val="ro-RO"/>
              </w:rPr>
            </w:pPr>
            <w:r w:rsidRPr="005E43D9">
              <w:rPr>
                <w:color w:val="000000"/>
                <w:lang w:val="ro-RO"/>
              </w:rPr>
              <w:t xml:space="preserve"> </w:t>
            </w:r>
            <w:r w:rsidR="00991277" w:rsidRPr="005E43D9">
              <w:rPr>
                <w:color w:val="000000"/>
                <w:lang w:val="ro-RO"/>
              </w:rPr>
              <w:t>5. După articolul 423</w:t>
            </w:r>
            <w:r w:rsidR="00991277" w:rsidRPr="005E43D9">
              <w:rPr>
                <w:color w:val="000000"/>
                <w:vertAlign w:val="superscript"/>
                <w:lang w:val="ro-RO"/>
              </w:rPr>
              <w:t xml:space="preserve">5 </w:t>
            </w:r>
            <w:r w:rsidR="00991277" w:rsidRPr="005E43D9">
              <w:rPr>
                <w:color w:val="000000"/>
                <w:lang w:val="ro-RO"/>
              </w:rPr>
              <w:t>se introduce articolul 423</w:t>
            </w:r>
            <w:r w:rsidR="00991277" w:rsidRPr="005E43D9">
              <w:rPr>
                <w:color w:val="000000"/>
                <w:vertAlign w:val="superscript"/>
                <w:lang w:val="ro-RO"/>
              </w:rPr>
              <w:t>6</w:t>
            </w:r>
            <w:r w:rsidR="00991277" w:rsidRPr="005E43D9">
              <w:rPr>
                <w:color w:val="000000"/>
                <w:lang w:val="ro-RO"/>
              </w:rPr>
              <w:t xml:space="preserve"> cu următorul cuprins:</w:t>
            </w:r>
          </w:p>
          <w:p w:rsidR="00991277" w:rsidRPr="005E43D9" w:rsidRDefault="00991277" w:rsidP="00991277">
            <w:pPr>
              <w:tabs>
                <w:tab w:val="left" w:pos="1470"/>
              </w:tabs>
              <w:jc w:val="both"/>
              <w:rPr>
                <w:color w:val="000000"/>
                <w:lang w:val="ro-RO"/>
              </w:rPr>
            </w:pPr>
            <w:r w:rsidRPr="005E43D9">
              <w:rPr>
                <w:bCs/>
                <w:color w:val="000000"/>
                <w:lang w:val="ro-RO"/>
              </w:rPr>
              <w:t>Articolul.</w:t>
            </w:r>
            <w:r w:rsidRPr="005E43D9">
              <w:rPr>
                <w:color w:val="000000"/>
                <w:lang w:val="ro-RO"/>
              </w:rPr>
              <w:t xml:space="preserve"> 423</w:t>
            </w:r>
            <w:r w:rsidRPr="005E43D9">
              <w:rPr>
                <w:color w:val="000000"/>
                <w:vertAlign w:val="superscript"/>
                <w:lang w:val="ro-RO"/>
              </w:rPr>
              <w:t>6</w:t>
            </w:r>
            <w:r w:rsidRPr="005E43D9">
              <w:rPr>
                <w:color w:val="000000"/>
                <w:lang w:val="ro-RO"/>
              </w:rPr>
              <w:t xml:space="preserve"> Agenţia Turismului a Republicii Moldova </w:t>
            </w:r>
          </w:p>
          <w:p w:rsidR="00991277" w:rsidRPr="005E43D9" w:rsidRDefault="00991277" w:rsidP="00991277">
            <w:pPr>
              <w:tabs>
                <w:tab w:val="left" w:pos="1470"/>
              </w:tabs>
              <w:jc w:val="both"/>
              <w:rPr>
                <w:color w:val="000000"/>
                <w:lang w:val="ro-RO"/>
              </w:rPr>
            </w:pPr>
            <w:r w:rsidRPr="005E43D9">
              <w:rPr>
                <w:color w:val="000000"/>
                <w:lang w:val="ro-RO"/>
              </w:rPr>
              <w:t>(1) Contravenţiile specificate la art.273 pct. 12)  se constată şi se examinează de Agenţia Turismului a Republicii Moldova.</w:t>
            </w:r>
          </w:p>
          <w:p w:rsidR="00991277" w:rsidRPr="005E43D9" w:rsidRDefault="00991277" w:rsidP="00991277">
            <w:pPr>
              <w:tabs>
                <w:tab w:val="left" w:pos="1470"/>
              </w:tabs>
              <w:jc w:val="both"/>
              <w:rPr>
                <w:color w:val="000000"/>
                <w:lang w:val="ro-RO"/>
              </w:rPr>
            </w:pPr>
            <w:r w:rsidRPr="005E43D9">
              <w:rPr>
                <w:color w:val="000000"/>
                <w:lang w:val="ro-RO"/>
              </w:rPr>
              <w:t xml:space="preserve">(2) </w:t>
            </w:r>
            <w:proofErr w:type="spellStart"/>
            <w:r w:rsidRPr="005E43D9">
              <w:rPr>
                <w:color w:val="000000"/>
                <w:lang w:val="ro-RO"/>
              </w:rPr>
              <w:t>Sînt</w:t>
            </w:r>
            <w:proofErr w:type="spellEnd"/>
            <w:r w:rsidRPr="005E43D9">
              <w:rPr>
                <w:color w:val="000000"/>
                <w:lang w:val="ro-RO"/>
              </w:rPr>
              <w:t xml:space="preserve"> în drept să constate contravenţii şi să încheie procese-verbale directorul general, adjunctul său, precum şi personalul abilitat cu funcții de control al Agenţiei Turismului a Republicii Moldova. </w:t>
            </w:r>
          </w:p>
          <w:p w:rsidR="00991277" w:rsidRPr="005E43D9" w:rsidRDefault="00991277" w:rsidP="00991277">
            <w:pPr>
              <w:tabs>
                <w:tab w:val="left" w:pos="1470"/>
              </w:tabs>
              <w:jc w:val="both"/>
              <w:rPr>
                <w:color w:val="000000"/>
                <w:lang w:val="ro-RO"/>
              </w:rPr>
            </w:pPr>
            <w:r w:rsidRPr="005E43D9">
              <w:rPr>
                <w:color w:val="000000"/>
                <w:lang w:val="ro-RO"/>
              </w:rPr>
              <w:t xml:space="preserve">(3) </w:t>
            </w:r>
            <w:proofErr w:type="spellStart"/>
            <w:r w:rsidRPr="005E43D9">
              <w:rPr>
                <w:color w:val="000000"/>
                <w:lang w:val="ro-RO"/>
              </w:rPr>
              <w:t>Sînt</w:t>
            </w:r>
            <w:proofErr w:type="spellEnd"/>
            <w:r w:rsidRPr="005E43D9">
              <w:rPr>
                <w:color w:val="000000"/>
                <w:lang w:val="ro-RO"/>
              </w:rPr>
              <w:t xml:space="preserve"> în drept să examineze contravenţii şi să aplice sancţiuni directorul general al Agenţiei Turismului a Republicii Moldova şi adjunctul său . </w:t>
            </w:r>
          </w:p>
          <w:p w:rsidR="0081789C" w:rsidRPr="005E43D9" w:rsidRDefault="00991277" w:rsidP="001557B4">
            <w:pPr>
              <w:tabs>
                <w:tab w:val="left" w:pos="1470"/>
              </w:tabs>
              <w:jc w:val="both"/>
              <w:rPr>
                <w:color w:val="000000"/>
                <w:lang w:val="ro-RO"/>
              </w:rPr>
            </w:pPr>
            <w:r w:rsidRPr="005E43D9">
              <w:rPr>
                <w:color w:val="000000"/>
                <w:lang w:val="ro-RO"/>
              </w:rPr>
              <w:t xml:space="preserve">Consideră </w:t>
            </w:r>
            <w:r w:rsidRPr="005E43D9">
              <w:rPr>
                <w:b/>
                <w:color w:val="000000"/>
                <w:lang w:val="ro-RO"/>
              </w:rPr>
              <w:t>necesar</w:t>
            </w:r>
            <w:r w:rsidRPr="005E43D9">
              <w:rPr>
                <w:color w:val="000000"/>
                <w:lang w:val="ro-RO"/>
              </w:rPr>
              <w:t xml:space="preserve"> introducerea Agenției Turismului  ca agent constatator al contravențiilor prevăzute de art. 273 pct. 12), </w:t>
            </w:r>
            <w:r w:rsidR="00AC460A">
              <w:rPr>
                <w:color w:val="000000"/>
                <w:lang w:val="ro-RO"/>
              </w:rPr>
              <w:t xml:space="preserve">- </w:t>
            </w:r>
            <w:r w:rsidRPr="005E43D9">
              <w:rPr>
                <w:color w:val="000000"/>
                <w:lang w:val="ro-RO"/>
              </w:rPr>
              <w:t>Legea privind controlul de stat asupra activității de întreprinzător, nr. 131</w:t>
            </w:r>
            <w:r w:rsidR="00B00525">
              <w:rPr>
                <w:color w:val="000000"/>
                <w:lang w:val="ro-RO"/>
              </w:rPr>
              <w:t>/</w:t>
            </w:r>
            <w:r w:rsidRPr="005E43D9">
              <w:rPr>
                <w:color w:val="000000"/>
                <w:lang w:val="ro-RO"/>
              </w:rPr>
              <w:t>2012, stabilește expres</w:t>
            </w:r>
            <w:r w:rsidR="00AC460A">
              <w:rPr>
                <w:color w:val="000000"/>
                <w:lang w:val="ro-RO"/>
              </w:rPr>
              <w:t xml:space="preserve"> </w:t>
            </w:r>
            <w:r w:rsidR="00AC460A" w:rsidRPr="005E43D9">
              <w:rPr>
                <w:color w:val="000000"/>
                <w:lang w:val="ro-RO"/>
              </w:rPr>
              <w:t>în</w:t>
            </w:r>
            <w:r w:rsidR="00AC460A">
              <w:rPr>
                <w:color w:val="000000"/>
                <w:lang w:val="ro-RO"/>
              </w:rPr>
              <w:t xml:space="preserve"> pct. 17</w:t>
            </w:r>
            <w:r w:rsidRPr="005E43D9">
              <w:rPr>
                <w:color w:val="000000"/>
                <w:lang w:val="ro-RO"/>
              </w:rPr>
              <w:t>, că doar Agenția Turismului este abilitată cu dreptul de a verifica calitatea serviciilor turistice prestate consumatorilor.</w:t>
            </w:r>
          </w:p>
        </w:tc>
        <w:tc>
          <w:tcPr>
            <w:tcW w:w="1560" w:type="dxa"/>
            <w:shd w:val="clear" w:color="auto" w:fill="auto"/>
          </w:tcPr>
          <w:p w:rsidR="00BA3495" w:rsidRDefault="00462B83" w:rsidP="00E377F8">
            <w:pPr>
              <w:rPr>
                <w:color w:val="000000"/>
                <w:lang w:val="ro-RO"/>
              </w:rPr>
            </w:pPr>
            <w:r>
              <w:rPr>
                <w:color w:val="000000"/>
                <w:lang w:val="ro-RO"/>
              </w:rPr>
              <w:t>S</w:t>
            </w:r>
            <w:r w:rsidR="0020527D" w:rsidRPr="005E43D9">
              <w:rPr>
                <w:color w:val="000000"/>
                <w:lang w:val="ro-RO"/>
              </w:rPr>
              <w:t>e acceptă</w:t>
            </w:r>
          </w:p>
          <w:p w:rsidR="00462B83" w:rsidRDefault="00462B83" w:rsidP="00E377F8">
            <w:pPr>
              <w:rPr>
                <w:color w:val="000000"/>
                <w:lang w:val="ro-RO"/>
              </w:rPr>
            </w:pPr>
          </w:p>
          <w:p w:rsidR="00462B83" w:rsidRDefault="00462B83" w:rsidP="00E377F8">
            <w:pPr>
              <w:rPr>
                <w:color w:val="000000"/>
                <w:lang w:val="ro-RO"/>
              </w:rPr>
            </w:pPr>
          </w:p>
          <w:p w:rsidR="00462B83" w:rsidRPr="005E43D9" w:rsidRDefault="00462B83" w:rsidP="00E377F8">
            <w:pPr>
              <w:rPr>
                <w:color w:val="000000"/>
                <w:lang w:val="ro-RO"/>
              </w:rPr>
            </w:pPr>
            <w:r>
              <w:rPr>
                <w:color w:val="000000"/>
                <w:lang w:val="ro-RO"/>
              </w:rPr>
              <w:t>Nu se acceptă</w:t>
            </w:r>
          </w:p>
        </w:tc>
        <w:tc>
          <w:tcPr>
            <w:tcW w:w="3969" w:type="dxa"/>
            <w:shd w:val="clear" w:color="auto" w:fill="auto"/>
          </w:tcPr>
          <w:p w:rsidR="00BA3495" w:rsidRDefault="00BA3495" w:rsidP="005D1D94">
            <w:pPr>
              <w:jc w:val="both"/>
              <w:rPr>
                <w:color w:val="000000"/>
                <w:lang w:val="ro-RO"/>
              </w:rPr>
            </w:pPr>
          </w:p>
          <w:p w:rsidR="00462B83" w:rsidRDefault="00462B83" w:rsidP="005D1D94">
            <w:pPr>
              <w:jc w:val="both"/>
              <w:rPr>
                <w:color w:val="000000"/>
                <w:lang w:val="ro-RO"/>
              </w:rPr>
            </w:pPr>
          </w:p>
          <w:p w:rsidR="00462B83" w:rsidRDefault="00462B83" w:rsidP="00B00525">
            <w:pPr>
              <w:ind w:left="-53" w:right="-68" w:firstLine="53"/>
              <w:jc w:val="both"/>
              <w:rPr>
                <w:color w:val="000000"/>
                <w:lang w:val="ro-RO"/>
              </w:rPr>
            </w:pPr>
          </w:p>
          <w:p w:rsidR="00462B83" w:rsidRDefault="00462B83" w:rsidP="00B00525">
            <w:pPr>
              <w:ind w:left="-53" w:right="-68" w:firstLine="53"/>
              <w:jc w:val="both"/>
              <w:rPr>
                <w:color w:val="000000"/>
                <w:lang w:val="ro-RO"/>
              </w:rPr>
            </w:pPr>
            <w:r>
              <w:rPr>
                <w:color w:val="000000"/>
                <w:lang w:val="ro-RO"/>
              </w:rPr>
              <w:t>Nota informativă conţine argumente privind elaborarea proiectului dat – executarea normei primare din art. XXXVII al Legii nr.324/2013. Astfel, în pct. 12 al art.273 se propune doar precizarea c</w:t>
            </w:r>
            <w:r w:rsidR="006E0A1A">
              <w:rPr>
                <w:color w:val="000000"/>
                <w:lang w:val="ro-RO"/>
              </w:rPr>
              <w:t>ă</w:t>
            </w:r>
            <w:r>
              <w:rPr>
                <w:color w:val="000000"/>
                <w:lang w:val="ro-RO"/>
              </w:rPr>
              <w:t xml:space="preserve"> sancţiune</w:t>
            </w:r>
            <w:r w:rsidR="006E0A1A">
              <w:rPr>
                <w:color w:val="000000"/>
                <w:lang w:val="ro-RO"/>
              </w:rPr>
              <w:t>a</w:t>
            </w:r>
            <w:r>
              <w:rPr>
                <w:color w:val="000000"/>
                <w:lang w:val="ro-RO"/>
              </w:rPr>
              <w:t xml:space="preserve"> administrativă se aplică în cazul activităţii unităţilor de alimentaţie publică încadrate în structuri</w:t>
            </w:r>
            <w:r w:rsidR="00423C0E">
              <w:rPr>
                <w:color w:val="000000"/>
                <w:lang w:val="ro-RO"/>
              </w:rPr>
              <w:t xml:space="preserve"> de primire turistică, doar </w:t>
            </w:r>
            <w:proofErr w:type="spellStart"/>
            <w:r w:rsidR="00423C0E">
              <w:rPr>
                <w:color w:val="000000"/>
                <w:lang w:val="ro-RO"/>
              </w:rPr>
              <w:t>atît</w:t>
            </w:r>
            <w:proofErr w:type="spellEnd"/>
            <w:r w:rsidR="00423C0E">
              <w:rPr>
                <w:color w:val="000000"/>
                <w:lang w:val="ro-RO"/>
              </w:rPr>
              <w:t>.</w:t>
            </w:r>
          </w:p>
          <w:p w:rsidR="0081789C" w:rsidRDefault="00423C0E" w:rsidP="00B00525">
            <w:pPr>
              <w:ind w:left="-53" w:right="-68" w:firstLine="53"/>
              <w:jc w:val="both"/>
              <w:rPr>
                <w:color w:val="000000"/>
                <w:lang w:val="ro-RO"/>
              </w:rPr>
            </w:pPr>
            <w:r>
              <w:rPr>
                <w:color w:val="000000"/>
                <w:lang w:val="ro-RO"/>
              </w:rPr>
              <w:t>Propunerile Agenţiei Turismului urmează să fie examinate şi promovate separat, în special norma de desemnare a acestei Agenţii ca agent constatator. Autorul consideră că există conflicte de interes în situaţia dată: Agenţia elaborează politica privind prestarea serviciilor turistice, eliberează brevete şi certificate de atribuire a categoriilor şi totodată se propune ca Agenţia</w:t>
            </w:r>
            <w:r w:rsidR="0081789C">
              <w:rPr>
                <w:color w:val="000000"/>
                <w:lang w:val="ro-RO"/>
              </w:rPr>
              <w:t xml:space="preserve"> să constate şi să aplice sancţiuni administrative. </w:t>
            </w:r>
          </w:p>
          <w:p w:rsidR="00423C0E" w:rsidRPr="005E43D9" w:rsidRDefault="0081789C" w:rsidP="006E0A1A">
            <w:pPr>
              <w:ind w:left="-53" w:right="-68" w:firstLine="53"/>
              <w:jc w:val="both"/>
              <w:rPr>
                <w:color w:val="000000"/>
                <w:lang w:val="ro-RO"/>
              </w:rPr>
            </w:pPr>
            <w:r>
              <w:rPr>
                <w:color w:val="000000"/>
                <w:lang w:val="ro-RO"/>
              </w:rPr>
              <w:t xml:space="preserve">Propunerile respective necesită examinare suplimentară cu suportul specialiştilor în materie de justiţie. </w:t>
            </w:r>
            <w:proofErr w:type="spellStart"/>
            <w:r>
              <w:rPr>
                <w:color w:val="000000"/>
                <w:lang w:val="ro-RO"/>
              </w:rPr>
              <w:t>Luînd</w:t>
            </w:r>
            <w:proofErr w:type="spellEnd"/>
            <w:r>
              <w:rPr>
                <w:color w:val="000000"/>
                <w:lang w:val="ro-RO"/>
              </w:rPr>
              <w:t xml:space="preserve"> în consideraţie termenul </w:t>
            </w:r>
            <w:proofErr w:type="spellStart"/>
            <w:r>
              <w:rPr>
                <w:color w:val="000000"/>
                <w:lang w:val="ro-RO"/>
              </w:rPr>
              <w:t>restrîns</w:t>
            </w:r>
            <w:proofErr w:type="spellEnd"/>
            <w:r>
              <w:rPr>
                <w:color w:val="000000"/>
                <w:lang w:val="ro-RO"/>
              </w:rPr>
              <w:t xml:space="preserve"> a dispozitivelor finale ale Legii nr. 324/2013 (două luni pentru ajustare) se recomandă Agenţiei Turismului să promoveze separat propunerile vizate.</w:t>
            </w:r>
          </w:p>
        </w:tc>
      </w:tr>
      <w:tr w:rsidR="0065481C" w:rsidRPr="0065481C" w:rsidTr="006E0A1A">
        <w:tc>
          <w:tcPr>
            <w:tcW w:w="540" w:type="dxa"/>
            <w:shd w:val="clear" w:color="auto" w:fill="auto"/>
          </w:tcPr>
          <w:p w:rsidR="0065481C" w:rsidRPr="00E56A4C" w:rsidRDefault="0065481C" w:rsidP="00A01F33">
            <w:pPr>
              <w:numPr>
                <w:ilvl w:val="0"/>
                <w:numId w:val="4"/>
              </w:numPr>
              <w:jc w:val="center"/>
              <w:rPr>
                <w:color w:val="000000"/>
                <w:lang w:val="ro-RO"/>
              </w:rPr>
            </w:pPr>
          </w:p>
        </w:tc>
        <w:tc>
          <w:tcPr>
            <w:tcW w:w="1728" w:type="dxa"/>
            <w:shd w:val="clear" w:color="auto" w:fill="auto"/>
          </w:tcPr>
          <w:p w:rsidR="0065481C" w:rsidRDefault="0065481C" w:rsidP="00E41940">
            <w:pPr>
              <w:jc w:val="center"/>
              <w:rPr>
                <w:color w:val="000000"/>
                <w:lang w:val="ro-RO"/>
              </w:rPr>
            </w:pPr>
            <w:r w:rsidRPr="005E43D9">
              <w:rPr>
                <w:color w:val="000000"/>
                <w:lang w:val="ro-RO"/>
              </w:rPr>
              <w:t>Primăria municipiului Chişinău</w:t>
            </w:r>
          </w:p>
        </w:tc>
        <w:tc>
          <w:tcPr>
            <w:tcW w:w="1620" w:type="dxa"/>
            <w:shd w:val="clear" w:color="auto" w:fill="auto"/>
          </w:tcPr>
          <w:p w:rsidR="0065481C" w:rsidRDefault="0065481C" w:rsidP="00E41940">
            <w:pPr>
              <w:jc w:val="both"/>
              <w:rPr>
                <w:b/>
                <w:color w:val="000000"/>
                <w:lang w:val="ro-RO"/>
              </w:rPr>
            </w:pPr>
          </w:p>
          <w:p w:rsidR="0065481C" w:rsidRDefault="0065481C" w:rsidP="00E41940">
            <w:pPr>
              <w:jc w:val="both"/>
              <w:rPr>
                <w:b/>
                <w:color w:val="000000"/>
                <w:lang w:val="ro-RO"/>
              </w:rPr>
            </w:pPr>
          </w:p>
          <w:p w:rsidR="0065481C" w:rsidRPr="00E56A4C" w:rsidRDefault="0065481C" w:rsidP="00E41940">
            <w:pPr>
              <w:jc w:val="both"/>
              <w:rPr>
                <w:b/>
                <w:color w:val="000000"/>
                <w:lang w:val="ro-RO"/>
              </w:rPr>
            </w:pPr>
            <w:r w:rsidRPr="005E43D9">
              <w:rPr>
                <w:b/>
                <w:color w:val="000000"/>
                <w:lang w:val="ro-RO"/>
              </w:rPr>
              <w:t>Art. 273</w:t>
            </w:r>
          </w:p>
        </w:tc>
        <w:tc>
          <w:tcPr>
            <w:tcW w:w="5751" w:type="dxa"/>
            <w:shd w:val="clear" w:color="auto" w:fill="auto"/>
          </w:tcPr>
          <w:p w:rsidR="0065481C" w:rsidRPr="005E43D9" w:rsidRDefault="0065481C" w:rsidP="0065481C">
            <w:pPr>
              <w:tabs>
                <w:tab w:val="left" w:pos="1470"/>
              </w:tabs>
              <w:jc w:val="both"/>
              <w:rPr>
                <w:color w:val="000000"/>
                <w:lang w:val="ro-RO"/>
              </w:rPr>
            </w:pPr>
            <w:r w:rsidRPr="0065481C">
              <w:rPr>
                <w:b/>
                <w:color w:val="000000"/>
                <w:lang w:val="ro-RO"/>
              </w:rPr>
              <w:t>Susţine modificările respective</w:t>
            </w:r>
            <w:r w:rsidRPr="005E43D9">
              <w:rPr>
                <w:color w:val="000000"/>
                <w:lang w:val="ro-RO"/>
              </w:rPr>
              <w:t xml:space="preserve"> şi intervine cu propuneri de completare.</w:t>
            </w:r>
          </w:p>
          <w:p w:rsidR="0065481C" w:rsidRPr="005E43D9" w:rsidRDefault="0065481C" w:rsidP="0065481C">
            <w:pPr>
              <w:tabs>
                <w:tab w:val="left" w:pos="1470"/>
              </w:tabs>
              <w:jc w:val="both"/>
              <w:rPr>
                <w:color w:val="000000"/>
                <w:lang w:val="ro-RO"/>
              </w:rPr>
            </w:pPr>
            <w:r w:rsidRPr="005E43D9">
              <w:rPr>
                <w:color w:val="000000"/>
                <w:lang w:val="ro-RO"/>
              </w:rPr>
              <w:t>Aliniatul 12) se expune după cum urmează:</w:t>
            </w:r>
          </w:p>
          <w:p w:rsidR="0065481C" w:rsidRPr="005E43D9" w:rsidRDefault="0065481C" w:rsidP="0065481C">
            <w:pPr>
              <w:tabs>
                <w:tab w:val="left" w:pos="1470"/>
              </w:tabs>
              <w:jc w:val="both"/>
              <w:rPr>
                <w:color w:val="000000"/>
                <w:lang w:val="ro-RO"/>
              </w:rPr>
            </w:pPr>
            <w:r w:rsidRPr="005E43D9">
              <w:rPr>
                <w:color w:val="000000"/>
                <w:lang w:val="ro-RO"/>
              </w:rPr>
              <w:t xml:space="preserve">- „12) încălcarea de către persoanele cu funcţie de răspundere a cerinţelor înaintate către tipul respectiv, stabilit în certificatul de clasificare, eliberat unităţii de alimentaţie publică în funcţie de serviciile prestate consumatorilor, iar pentru structurile de primire turistică şi a categoriei de încadrare după nivelul de deservire, în ambele cazuri, indiferent de tipul de proprietate şi forma juridică de organizare, care constă în: </w:t>
            </w:r>
          </w:p>
          <w:p w:rsidR="0065481C" w:rsidRPr="005E43D9" w:rsidRDefault="0065481C" w:rsidP="0065481C">
            <w:pPr>
              <w:tabs>
                <w:tab w:val="left" w:pos="1470"/>
              </w:tabs>
              <w:jc w:val="both"/>
              <w:rPr>
                <w:color w:val="000000"/>
                <w:lang w:val="ro-RO"/>
              </w:rPr>
            </w:pPr>
            <w:r w:rsidRPr="005E43D9">
              <w:rPr>
                <w:color w:val="000000"/>
                <w:lang w:val="ro-RO"/>
              </w:rPr>
              <w:t>- la litera a) se exclude sintagma „în categoria respectivă”, în continuare după text;</w:t>
            </w:r>
          </w:p>
          <w:p w:rsidR="0065481C" w:rsidRPr="005E43D9" w:rsidRDefault="0065481C" w:rsidP="0065481C">
            <w:pPr>
              <w:tabs>
                <w:tab w:val="left" w:pos="1470"/>
              </w:tabs>
              <w:jc w:val="both"/>
              <w:rPr>
                <w:color w:val="000000"/>
                <w:lang w:val="ro-RO"/>
              </w:rPr>
            </w:pPr>
            <w:r w:rsidRPr="005E43D9">
              <w:rPr>
                <w:color w:val="000000"/>
                <w:lang w:val="ro-RO"/>
              </w:rPr>
              <w:t>- litera c) se expune în următoarea redacţie</w:t>
            </w:r>
          </w:p>
          <w:p w:rsidR="0065481C" w:rsidRDefault="0065481C" w:rsidP="0065481C">
            <w:pPr>
              <w:tabs>
                <w:tab w:val="left" w:pos="1470"/>
              </w:tabs>
              <w:jc w:val="both"/>
              <w:rPr>
                <w:color w:val="000000"/>
                <w:lang w:val="ro-RO"/>
              </w:rPr>
            </w:pPr>
            <w:r w:rsidRPr="005E43D9">
              <w:rPr>
                <w:color w:val="000000"/>
                <w:lang w:val="ro-RO"/>
              </w:rPr>
              <w:t xml:space="preserve"> „c) neafişarea la loc vizibil a certificatului de clasificare de către </w:t>
            </w:r>
            <w:proofErr w:type="spellStart"/>
            <w:r w:rsidRPr="005E43D9">
              <w:rPr>
                <w:color w:val="000000"/>
                <w:lang w:val="ro-RO"/>
              </w:rPr>
              <w:t>subiectii</w:t>
            </w:r>
            <w:proofErr w:type="spellEnd"/>
            <w:r w:rsidRPr="005E43D9">
              <w:rPr>
                <w:color w:val="000000"/>
                <w:lang w:val="ro-RO"/>
              </w:rPr>
              <w:t xml:space="preserve"> activităţii comerciale şi turistice”, în continuare după text „se sancţionează cu…”.</w:t>
            </w:r>
          </w:p>
          <w:p w:rsidR="00166ABB" w:rsidRDefault="00166ABB" w:rsidP="00166ABB">
            <w:pPr>
              <w:tabs>
                <w:tab w:val="left" w:pos="1470"/>
              </w:tabs>
              <w:jc w:val="both"/>
              <w:rPr>
                <w:color w:val="000000"/>
                <w:lang w:val="ro-RO"/>
              </w:rPr>
            </w:pPr>
            <w:r w:rsidRPr="005E43D9">
              <w:rPr>
                <w:color w:val="000000"/>
                <w:lang w:val="ro-RO"/>
              </w:rPr>
              <w:t xml:space="preserve">- la litera b) cuvîntul „comerciale” se substituie cu cuvîntul „turistice”; </w:t>
            </w:r>
          </w:p>
        </w:tc>
        <w:tc>
          <w:tcPr>
            <w:tcW w:w="1560" w:type="dxa"/>
            <w:shd w:val="clear" w:color="auto" w:fill="auto"/>
          </w:tcPr>
          <w:p w:rsidR="0065481C" w:rsidRDefault="0065481C" w:rsidP="00E41940">
            <w:pPr>
              <w:rPr>
                <w:color w:val="000000"/>
                <w:lang w:val="ro-RO"/>
              </w:rPr>
            </w:pPr>
          </w:p>
          <w:p w:rsidR="0065481C" w:rsidRDefault="0065481C" w:rsidP="00E41940">
            <w:pPr>
              <w:rPr>
                <w:color w:val="000000"/>
                <w:lang w:val="ro-RO"/>
              </w:rPr>
            </w:pPr>
          </w:p>
          <w:p w:rsidR="00166ABB" w:rsidRDefault="00166ABB" w:rsidP="00E41940">
            <w:pPr>
              <w:rPr>
                <w:color w:val="000000"/>
                <w:lang w:val="ro-RO"/>
              </w:rPr>
            </w:pPr>
          </w:p>
          <w:p w:rsidR="0065481C" w:rsidRDefault="0065481C" w:rsidP="00E41940">
            <w:pPr>
              <w:rPr>
                <w:color w:val="000000"/>
                <w:lang w:val="ro-RO"/>
              </w:rPr>
            </w:pPr>
            <w:r>
              <w:rPr>
                <w:color w:val="000000"/>
                <w:lang w:val="ro-RO"/>
              </w:rPr>
              <w:t>Nu se acceptă</w:t>
            </w: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p>
          <w:p w:rsidR="00166ABB" w:rsidRDefault="00166ABB" w:rsidP="00E41940">
            <w:pPr>
              <w:rPr>
                <w:color w:val="000000"/>
                <w:lang w:val="ro-RO"/>
              </w:rPr>
            </w:pPr>
            <w:r w:rsidRPr="00E56A4C">
              <w:rPr>
                <w:color w:val="000000"/>
                <w:lang w:val="ro-RO"/>
              </w:rPr>
              <w:t>Se acceptă</w:t>
            </w:r>
          </w:p>
        </w:tc>
        <w:tc>
          <w:tcPr>
            <w:tcW w:w="3969" w:type="dxa"/>
            <w:shd w:val="clear" w:color="auto" w:fill="auto"/>
          </w:tcPr>
          <w:p w:rsidR="0065481C" w:rsidRDefault="0065481C" w:rsidP="00D7193C">
            <w:pPr>
              <w:jc w:val="both"/>
              <w:rPr>
                <w:color w:val="000000"/>
                <w:lang w:val="ro-RO"/>
              </w:rPr>
            </w:pPr>
          </w:p>
          <w:p w:rsidR="0065481C" w:rsidRDefault="0065481C" w:rsidP="00D7193C">
            <w:pPr>
              <w:jc w:val="both"/>
              <w:rPr>
                <w:color w:val="000000"/>
                <w:lang w:val="ro-RO"/>
              </w:rPr>
            </w:pPr>
          </w:p>
          <w:p w:rsidR="00166ABB" w:rsidRDefault="00166ABB" w:rsidP="00D7193C">
            <w:pPr>
              <w:jc w:val="both"/>
              <w:rPr>
                <w:color w:val="000000"/>
                <w:lang w:val="ro-RO"/>
              </w:rPr>
            </w:pPr>
          </w:p>
          <w:p w:rsidR="0065481C" w:rsidRDefault="0065481C" w:rsidP="00D7193C">
            <w:pPr>
              <w:jc w:val="both"/>
              <w:rPr>
                <w:color w:val="000000"/>
                <w:lang w:val="ro-RO"/>
              </w:rPr>
            </w:pPr>
            <w:r>
              <w:rPr>
                <w:color w:val="000000"/>
                <w:lang w:val="ro-RO"/>
              </w:rPr>
              <w:t>Cadrul Legal nu prevede certificatul de clasificare pe tipuri a unităţilor de alimentaţie publică în calitate de act permisiv.</w:t>
            </w:r>
          </w:p>
        </w:tc>
      </w:tr>
      <w:tr w:rsidR="00A01F33" w:rsidRPr="0065481C" w:rsidTr="006E0A1A">
        <w:tc>
          <w:tcPr>
            <w:tcW w:w="540" w:type="dxa"/>
            <w:shd w:val="clear" w:color="auto" w:fill="auto"/>
          </w:tcPr>
          <w:p w:rsidR="00A01F33" w:rsidRPr="00E56A4C" w:rsidRDefault="00A01F33" w:rsidP="00A01F33">
            <w:pPr>
              <w:numPr>
                <w:ilvl w:val="0"/>
                <w:numId w:val="4"/>
              </w:numPr>
              <w:jc w:val="center"/>
              <w:rPr>
                <w:color w:val="000000"/>
                <w:lang w:val="ro-RO"/>
              </w:rPr>
            </w:pPr>
          </w:p>
        </w:tc>
        <w:tc>
          <w:tcPr>
            <w:tcW w:w="1728" w:type="dxa"/>
            <w:shd w:val="clear" w:color="auto" w:fill="auto"/>
          </w:tcPr>
          <w:p w:rsidR="00A01F33" w:rsidRPr="00E56A4C" w:rsidRDefault="00A01F33" w:rsidP="00E41940">
            <w:pPr>
              <w:jc w:val="center"/>
              <w:rPr>
                <w:color w:val="000000"/>
                <w:lang w:val="ro-RO"/>
              </w:rPr>
            </w:pPr>
            <w:r>
              <w:rPr>
                <w:color w:val="000000"/>
                <w:lang w:val="ro-RO"/>
              </w:rPr>
              <w:t>Ministerul Justiţiei</w:t>
            </w:r>
          </w:p>
        </w:tc>
        <w:tc>
          <w:tcPr>
            <w:tcW w:w="1620" w:type="dxa"/>
            <w:shd w:val="clear" w:color="auto" w:fill="auto"/>
          </w:tcPr>
          <w:p w:rsidR="00A01F33" w:rsidRPr="00E56A4C" w:rsidRDefault="00A01F33" w:rsidP="00E41940">
            <w:pPr>
              <w:jc w:val="both"/>
              <w:rPr>
                <w:b/>
                <w:color w:val="000000"/>
                <w:lang w:val="ro-RO"/>
              </w:rPr>
            </w:pPr>
          </w:p>
        </w:tc>
        <w:tc>
          <w:tcPr>
            <w:tcW w:w="5751" w:type="dxa"/>
            <w:shd w:val="clear" w:color="auto" w:fill="auto"/>
          </w:tcPr>
          <w:p w:rsidR="00A01F33" w:rsidRDefault="00A01F33" w:rsidP="00E41940">
            <w:pPr>
              <w:tabs>
                <w:tab w:val="left" w:pos="1470"/>
              </w:tabs>
              <w:jc w:val="both"/>
              <w:rPr>
                <w:color w:val="000000"/>
                <w:lang w:val="ro-RO"/>
              </w:rPr>
            </w:pPr>
            <w:r>
              <w:rPr>
                <w:color w:val="000000"/>
                <w:lang w:val="ro-RO"/>
              </w:rPr>
              <w:t>- Î</w:t>
            </w:r>
            <w:r w:rsidRPr="00F5680A">
              <w:rPr>
                <w:color w:val="000000"/>
                <w:lang w:val="ro-RO"/>
              </w:rPr>
              <w:t xml:space="preserve">nainte de a fi prezentat în modul stabilit Ministerului Justiţiei, proiectul definitivat se prezintă Centrului Naţional Anticorupţie pentru efectuarea expertizei coruptibilităţii. </w:t>
            </w:r>
          </w:p>
          <w:p w:rsidR="00A01F33" w:rsidRPr="00F5680A" w:rsidRDefault="00A01F33" w:rsidP="00E41940">
            <w:pPr>
              <w:tabs>
                <w:tab w:val="left" w:pos="1470"/>
              </w:tabs>
              <w:jc w:val="both"/>
              <w:rPr>
                <w:color w:val="000000"/>
                <w:lang w:val="ro-RO"/>
              </w:rPr>
            </w:pPr>
            <w:r>
              <w:rPr>
                <w:color w:val="000000"/>
                <w:lang w:val="ro-RO"/>
              </w:rPr>
              <w:t>- t</w:t>
            </w:r>
            <w:r w:rsidRPr="00F5680A">
              <w:rPr>
                <w:color w:val="000000"/>
                <w:lang w:val="ro-RO"/>
              </w:rPr>
              <w:t>itlul proiectului legii menţionate supra şi conţinutul acestuia urmează a fi ajustat prin modificarea legislaturii din „XIV” în „XVI”.</w:t>
            </w:r>
          </w:p>
          <w:p w:rsidR="00A01F33" w:rsidRPr="00F5680A" w:rsidRDefault="00A01F33" w:rsidP="00E41940">
            <w:pPr>
              <w:tabs>
                <w:tab w:val="left" w:pos="1470"/>
              </w:tabs>
              <w:jc w:val="both"/>
              <w:rPr>
                <w:color w:val="000000"/>
                <w:lang w:val="ro-RO"/>
              </w:rPr>
            </w:pPr>
            <w:r>
              <w:rPr>
                <w:color w:val="000000"/>
                <w:lang w:val="ro-RO"/>
              </w:rPr>
              <w:t xml:space="preserve">- </w:t>
            </w:r>
            <w:r w:rsidRPr="00F5680A">
              <w:rPr>
                <w:color w:val="000000"/>
                <w:lang w:val="ro-RO"/>
              </w:rPr>
              <w:t xml:space="preserve">sancţionarea pentru organizarea şi/sau desfăşurarea „comerţului din </w:t>
            </w:r>
            <w:proofErr w:type="spellStart"/>
            <w:r w:rsidRPr="00F5680A">
              <w:rPr>
                <w:color w:val="000000"/>
                <w:lang w:val="ro-RO"/>
              </w:rPr>
              <w:t>mînă</w:t>
            </w:r>
            <w:proofErr w:type="spellEnd"/>
            <w:r w:rsidRPr="00F5680A">
              <w:rPr>
                <w:color w:val="000000"/>
                <w:lang w:val="ro-RO"/>
              </w:rPr>
              <w:t>” în locuri neautorizate din redacţia alin. (9</w:t>
            </w:r>
            <w:r w:rsidRPr="00F5680A">
              <w:rPr>
                <w:color w:val="000000"/>
                <w:vertAlign w:val="superscript"/>
                <w:lang w:val="ro-RO"/>
              </w:rPr>
              <w:t>1</w:t>
            </w:r>
            <w:r w:rsidRPr="00F5680A">
              <w:rPr>
                <w:color w:val="000000"/>
                <w:lang w:val="ro-RO"/>
              </w:rPr>
              <w:t xml:space="preserve">) al art. 273 nu este judicioasă </w:t>
            </w:r>
            <w:proofErr w:type="spellStart"/>
            <w:r w:rsidRPr="00F5680A">
              <w:rPr>
                <w:color w:val="000000"/>
                <w:lang w:val="ro-RO"/>
              </w:rPr>
              <w:t>atîta</w:t>
            </w:r>
            <w:proofErr w:type="spellEnd"/>
            <w:r w:rsidRPr="00F5680A">
              <w:rPr>
                <w:color w:val="000000"/>
                <w:lang w:val="ro-RO"/>
              </w:rPr>
              <w:t xml:space="preserve"> timp </w:t>
            </w:r>
            <w:proofErr w:type="spellStart"/>
            <w:r w:rsidRPr="00F5680A">
              <w:rPr>
                <w:color w:val="000000"/>
                <w:lang w:val="ro-RO"/>
              </w:rPr>
              <w:t>cît</w:t>
            </w:r>
            <w:proofErr w:type="spellEnd"/>
            <w:r w:rsidRPr="00F5680A">
              <w:rPr>
                <w:color w:val="000000"/>
                <w:lang w:val="ro-RO"/>
              </w:rPr>
              <w:t xml:space="preserve"> nu este reglementată procedura autorizării acestei activităţi. </w:t>
            </w:r>
            <w:r>
              <w:rPr>
                <w:color w:val="000000"/>
                <w:lang w:val="ro-RO"/>
              </w:rPr>
              <w:t>C</w:t>
            </w:r>
            <w:r w:rsidRPr="00F5680A">
              <w:rPr>
                <w:color w:val="000000"/>
                <w:lang w:val="ro-RO"/>
              </w:rPr>
              <w:t>orect ar fi sancţionarea pentru organizarea  şi/sau desfăşurarea comerţului în locuri neautorizate, cu condiţia că cele autorizate sunt stabilite.</w:t>
            </w:r>
          </w:p>
          <w:p w:rsidR="00A01F33" w:rsidRDefault="00A01F33" w:rsidP="00E41940">
            <w:pPr>
              <w:tabs>
                <w:tab w:val="left" w:pos="1470"/>
              </w:tabs>
              <w:jc w:val="both"/>
              <w:rPr>
                <w:color w:val="000000"/>
                <w:lang w:val="ro-RO"/>
              </w:rPr>
            </w:pPr>
            <w:r>
              <w:rPr>
                <w:color w:val="000000"/>
                <w:lang w:val="ro-RO"/>
              </w:rPr>
              <w:t xml:space="preserve">- </w:t>
            </w:r>
            <w:r w:rsidRPr="00F5680A">
              <w:rPr>
                <w:color w:val="000000"/>
                <w:lang w:val="ro-RO"/>
              </w:rPr>
              <w:t>sancţiunile trebuie să fie prevăzute separat pentru persoane fizice şi persoane juridice</w:t>
            </w:r>
          </w:p>
          <w:p w:rsidR="00A01F33" w:rsidRPr="00F5680A" w:rsidRDefault="00A01F33" w:rsidP="00E41940">
            <w:pPr>
              <w:tabs>
                <w:tab w:val="left" w:pos="1470"/>
              </w:tabs>
              <w:jc w:val="both"/>
              <w:rPr>
                <w:color w:val="000000"/>
                <w:lang w:val="ro-RO"/>
              </w:rPr>
            </w:pPr>
            <w:r>
              <w:rPr>
                <w:color w:val="000000"/>
                <w:lang w:val="ro-RO"/>
              </w:rPr>
              <w:t>-</w:t>
            </w:r>
            <w:r w:rsidRPr="00F5680A">
              <w:rPr>
                <w:color w:val="000000"/>
                <w:lang w:val="ro-RO"/>
              </w:rPr>
              <w:t xml:space="preserve"> mărimea amenzii aplicate se va revedea prin prisma limitelor stabilite la art. 34 din Codul contravenţional.</w:t>
            </w:r>
          </w:p>
          <w:p w:rsidR="00A01F33" w:rsidRPr="00F5680A" w:rsidRDefault="00A01F33" w:rsidP="00E41940">
            <w:pPr>
              <w:tabs>
                <w:tab w:val="left" w:pos="1470"/>
              </w:tabs>
              <w:jc w:val="both"/>
              <w:rPr>
                <w:color w:val="000000"/>
                <w:lang w:val="ro-RO"/>
              </w:rPr>
            </w:pPr>
            <w:r>
              <w:rPr>
                <w:color w:val="000000"/>
                <w:lang w:val="ro-RO"/>
              </w:rPr>
              <w:t xml:space="preserve"> (</w:t>
            </w:r>
            <w:r w:rsidRPr="00F5680A">
              <w:rPr>
                <w:color w:val="000000"/>
                <w:lang w:val="ro-RO"/>
              </w:rPr>
              <w:t>Ministerul Justiţiei a elaborat un proiect de lege pentru modificarea Codului contravenţional, care conţine amendamente la art. 274 alin. (5). Respectiv în proiectul dat se propune în calitate de sancţiune amenda de la 70 la 100 unităţi convenţionale aplicată persoanei fizice şi de la 200 la 300 unităţi convenţionale aplicată persoanei cu funcţie de răspundere.</w:t>
            </w:r>
            <w:r>
              <w:rPr>
                <w:color w:val="000000"/>
                <w:lang w:val="ro-RO"/>
              </w:rPr>
              <w:t>)</w:t>
            </w:r>
            <w:r w:rsidRPr="00F5680A">
              <w:rPr>
                <w:color w:val="000000"/>
                <w:lang w:val="ro-RO"/>
              </w:rPr>
              <w:t xml:space="preserve"> </w:t>
            </w:r>
          </w:p>
          <w:p w:rsidR="00A01F33" w:rsidRDefault="00A01F33" w:rsidP="00E41940">
            <w:pPr>
              <w:tabs>
                <w:tab w:val="left" w:pos="1470"/>
              </w:tabs>
              <w:jc w:val="both"/>
              <w:rPr>
                <w:color w:val="000000"/>
                <w:lang w:val="ro-RO"/>
              </w:rPr>
            </w:pPr>
            <w:r>
              <w:rPr>
                <w:color w:val="000000"/>
                <w:lang w:val="ro-RO"/>
              </w:rPr>
              <w:t>- e</w:t>
            </w:r>
            <w:r w:rsidRPr="00F5680A">
              <w:rPr>
                <w:color w:val="000000"/>
                <w:lang w:val="ro-RO"/>
              </w:rPr>
              <w:t xml:space="preserve">xprimarea normativă a intenţiei de modificare a art. 273 pct. 12) propunem sa fie formulată după cum urmează: (la pct. 12) sintagma „întreprinderilor de alimentaţie publică” se substituie cu sintagma „unităţilor de alimentaţie publică încadrate în structuri de primire turistică”). </w:t>
            </w:r>
          </w:p>
          <w:p w:rsidR="00A01F33" w:rsidRPr="00F5680A" w:rsidRDefault="00A01F33" w:rsidP="00E41940">
            <w:pPr>
              <w:tabs>
                <w:tab w:val="left" w:pos="1470"/>
              </w:tabs>
              <w:jc w:val="both"/>
              <w:rPr>
                <w:color w:val="000000"/>
                <w:lang w:val="ro-RO"/>
              </w:rPr>
            </w:pPr>
            <w:r>
              <w:rPr>
                <w:color w:val="000000"/>
                <w:lang w:val="ro-RO"/>
              </w:rPr>
              <w:t>- s</w:t>
            </w:r>
            <w:r w:rsidRPr="00F5680A">
              <w:rPr>
                <w:color w:val="000000"/>
                <w:lang w:val="ro-RO"/>
              </w:rPr>
              <w:t xml:space="preserve">ubstituirea sintagmei „în sfera alimentaţiei publice” de la lit. a) pct.12) din art. 273 este inacceptabilă, deoarece obiect juridic al contravenţiei reprezintă relaţiile din domeniul alimentaţiei publice ale structurilor turistice. Proiectul urmează a fi definitivat din punct de </w:t>
            </w:r>
            <w:r w:rsidR="001557B4">
              <w:rPr>
                <w:color w:val="000000"/>
                <w:lang w:val="ro-RO"/>
              </w:rPr>
              <w:t>vedere al tehnicii legislative -</w:t>
            </w:r>
            <w:r w:rsidRPr="00F5680A">
              <w:rPr>
                <w:color w:val="000000"/>
                <w:lang w:val="ro-RO"/>
              </w:rPr>
              <w:t xml:space="preserve"> numerotarea articolului unic potrivit art. 32 alin. (5) din Legea nr. 780-XV din 27 decembrie 2001 privind actele legislative.</w:t>
            </w:r>
          </w:p>
          <w:p w:rsidR="00A01F33" w:rsidRPr="00F5680A" w:rsidRDefault="00A01F33" w:rsidP="00E41940">
            <w:pPr>
              <w:tabs>
                <w:tab w:val="left" w:pos="1470"/>
              </w:tabs>
              <w:jc w:val="both"/>
              <w:rPr>
                <w:color w:val="000000"/>
                <w:lang w:val="ro-RO"/>
              </w:rPr>
            </w:pPr>
            <w:r>
              <w:rPr>
                <w:color w:val="000000"/>
                <w:lang w:val="ro-RO"/>
              </w:rPr>
              <w:t>- d</w:t>
            </w:r>
            <w:r w:rsidRPr="00F5680A">
              <w:rPr>
                <w:color w:val="000000"/>
                <w:lang w:val="ro-RO"/>
              </w:rPr>
              <w:t>in punct de vedere al tehnicii legislative o normă se abrogă şi nu se exclude. Respectiv reglementările pct. 5) din art. 273 şi  alin. (5) din art. 274 urmează a fi abrogate.</w:t>
            </w:r>
          </w:p>
          <w:p w:rsidR="00A01F33" w:rsidRPr="00E56A4C" w:rsidRDefault="00A01F33" w:rsidP="00773CEC">
            <w:pPr>
              <w:tabs>
                <w:tab w:val="left" w:pos="1470"/>
              </w:tabs>
              <w:jc w:val="both"/>
              <w:rPr>
                <w:b/>
                <w:color w:val="000000"/>
                <w:lang w:val="ro-RO"/>
              </w:rPr>
            </w:pPr>
            <w:r w:rsidRPr="00F5680A">
              <w:rPr>
                <w:color w:val="000000"/>
                <w:lang w:val="ro-RO"/>
              </w:rPr>
              <w:t>Proiectul de lege pentru modificarea Codului contravenţional nr. 218-XVI din 24 octombrie 2008 se va coordona suplimentar cu instituţiile interesate pentru înlăturarea divergenţelor de opinii.</w:t>
            </w:r>
          </w:p>
        </w:tc>
        <w:tc>
          <w:tcPr>
            <w:tcW w:w="1560" w:type="dxa"/>
            <w:shd w:val="clear" w:color="auto" w:fill="auto"/>
          </w:tcPr>
          <w:p w:rsidR="00A01F33" w:rsidRDefault="00A01F33" w:rsidP="00E41940">
            <w:pPr>
              <w:rPr>
                <w:color w:val="000000"/>
                <w:lang w:val="ro-RO"/>
              </w:rPr>
            </w:pPr>
          </w:p>
          <w:p w:rsidR="00D7193C" w:rsidRDefault="00D7193C" w:rsidP="00E41940">
            <w:pPr>
              <w:rPr>
                <w:color w:val="000000"/>
                <w:lang w:val="ro-RO"/>
              </w:rPr>
            </w:pPr>
          </w:p>
          <w:p w:rsidR="00D7193C" w:rsidRDefault="00D7193C" w:rsidP="00E41940">
            <w:pPr>
              <w:rPr>
                <w:color w:val="000000"/>
                <w:lang w:val="ro-RO"/>
              </w:rPr>
            </w:pPr>
          </w:p>
          <w:p w:rsidR="00D7193C" w:rsidRDefault="00D7193C" w:rsidP="00E41940">
            <w:pPr>
              <w:rPr>
                <w:color w:val="000000"/>
                <w:lang w:val="ro-RO"/>
              </w:rPr>
            </w:pPr>
          </w:p>
          <w:p w:rsidR="00A01F33" w:rsidRPr="00E56A4C" w:rsidRDefault="00A01F33" w:rsidP="00E41940">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807BAB" w:rsidRPr="00E56A4C" w:rsidRDefault="00807BAB" w:rsidP="00807BAB">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8C4A3C" w:rsidRPr="00E56A4C" w:rsidRDefault="008C4A3C" w:rsidP="008C4A3C">
            <w:pPr>
              <w:rPr>
                <w:color w:val="000000"/>
                <w:lang w:val="ro-RO"/>
              </w:rPr>
            </w:pPr>
            <w:r w:rsidRPr="00E56A4C">
              <w:rPr>
                <w:color w:val="000000"/>
                <w:lang w:val="ro-RO"/>
              </w:rPr>
              <w:t>Se acceptă</w:t>
            </w: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Default="00A01F33" w:rsidP="00E41940">
            <w:pPr>
              <w:rPr>
                <w:color w:val="000000"/>
                <w:lang w:val="ro-RO"/>
              </w:rPr>
            </w:pPr>
          </w:p>
          <w:p w:rsidR="00A01F33" w:rsidRPr="00E56A4C" w:rsidRDefault="00A01F33" w:rsidP="00E41940">
            <w:pPr>
              <w:rPr>
                <w:color w:val="000000"/>
                <w:lang w:val="ro-RO"/>
              </w:rPr>
            </w:pPr>
          </w:p>
        </w:tc>
        <w:tc>
          <w:tcPr>
            <w:tcW w:w="3969" w:type="dxa"/>
            <w:shd w:val="clear" w:color="auto" w:fill="auto"/>
          </w:tcPr>
          <w:p w:rsidR="00A01F33" w:rsidRPr="00E56A4C" w:rsidRDefault="00D7193C" w:rsidP="00D7193C">
            <w:pPr>
              <w:jc w:val="both"/>
              <w:rPr>
                <w:color w:val="000000"/>
                <w:lang w:val="ro-RO"/>
              </w:rPr>
            </w:pPr>
            <w:r>
              <w:rPr>
                <w:color w:val="000000"/>
                <w:lang w:val="ro-RO"/>
              </w:rPr>
              <w:t>Expertiza coruptibilităţii a fost prezentată Ministerului Justiţiei prin scrisoarea nr.09/2-1595 din 18-03-2014.</w:t>
            </w:r>
          </w:p>
        </w:tc>
      </w:tr>
      <w:tr w:rsidR="00557993" w:rsidRPr="0065481C" w:rsidTr="006E0A1A">
        <w:tc>
          <w:tcPr>
            <w:tcW w:w="540" w:type="dxa"/>
            <w:shd w:val="clear" w:color="auto" w:fill="auto"/>
          </w:tcPr>
          <w:p w:rsidR="00557993" w:rsidRPr="00E56A4C" w:rsidRDefault="00557993" w:rsidP="00A01F33">
            <w:pPr>
              <w:numPr>
                <w:ilvl w:val="0"/>
                <w:numId w:val="4"/>
              </w:numPr>
              <w:jc w:val="center"/>
              <w:rPr>
                <w:color w:val="000000"/>
                <w:lang w:val="ro-RO"/>
              </w:rPr>
            </w:pPr>
          </w:p>
        </w:tc>
        <w:tc>
          <w:tcPr>
            <w:tcW w:w="1728" w:type="dxa"/>
            <w:shd w:val="clear" w:color="auto" w:fill="auto"/>
          </w:tcPr>
          <w:p w:rsidR="00557993" w:rsidRDefault="00557993" w:rsidP="00E41940">
            <w:pPr>
              <w:jc w:val="center"/>
              <w:rPr>
                <w:color w:val="000000"/>
                <w:lang w:val="ro-RO"/>
              </w:rPr>
            </w:pPr>
            <w:r>
              <w:rPr>
                <w:color w:val="000000"/>
                <w:lang w:val="ro-RO"/>
              </w:rPr>
              <w:t>Centrul Naţional Anticorupţie</w:t>
            </w:r>
          </w:p>
        </w:tc>
        <w:tc>
          <w:tcPr>
            <w:tcW w:w="1620" w:type="dxa"/>
            <w:shd w:val="clear" w:color="auto" w:fill="auto"/>
          </w:tcPr>
          <w:p w:rsidR="00557993" w:rsidRPr="00E56A4C" w:rsidRDefault="00557993" w:rsidP="00E41940">
            <w:pPr>
              <w:jc w:val="both"/>
              <w:rPr>
                <w:b/>
                <w:color w:val="000000"/>
                <w:lang w:val="ro-RO"/>
              </w:rPr>
            </w:pPr>
          </w:p>
        </w:tc>
        <w:tc>
          <w:tcPr>
            <w:tcW w:w="5751" w:type="dxa"/>
            <w:shd w:val="clear" w:color="auto" w:fill="auto"/>
          </w:tcPr>
          <w:p w:rsidR="001557B4" w:rsidRPr="001557B4" w:rsidRDefault="00D7193C" w:rsidP="00557993">
            <w:pPr>
              <w:tabs>
                <w:tab w:val="left" w:pos="1470"/>
              </w:tabs>
              <w:jc w:val="both"/>
              <w:rPr>
                <w:b/>
                <w:color w:val="000000"/>
                <w:lang w:val="ro-RO"/>
              </w:rPr>
            </w:pPr>
            <w:r>
              <w:rPr>
                <w:b/>
                <w:color w:val="000000"/>
                <w:lang w:val="ro-RO"/>
              </w:rPr>
              <w:t xml:space="preserve">       </w:t>
            </w:r>
            <w:r w:rsidR="001557B4" w:rsidRPr="001557B4">
              <w:rPr>
                <w:b/>
                <w:color w:val="000000"/>
                <w:lang w:val="ro-RO"/>
              </w:rPr>
              <w:t>Fără obiecţii</w:t>
            </w:r>
            <w:r w:rsidR="001557B4">
              <w:rPr>
                <w:b/>
                <w:color w:val="000000"/>
                <w:lang w:val="ro-RO"/>
              </w:rPr>
              <w:t xml:space="preserve"> -</w:t>
            </w:r>
          </w:p>
          <w:p w:rsidR="00557993" w:rsidRDefault="00557993" w:rsidP="00557993">
            <w:pPr>
              <w:tabs>
                <w:tab w:val="left" w:pos="1470"/>
              </w:tabs>
              <w:jc w:val="both"/>
              <w:rPr>
                <w:color w:val="000000"/>
                <w:lang w:val="ro-RO"/>
              </w:rPr>
            </w:pPr>
            <w:r w:rsidRPr="00557993">
              <w:rPr>
                <w:color w:val="000000"/>
                <w:lang w:val="ro-RO"/>
              </w:rPr>
              <w:t xml:space="preserve">Proiectul </w:t>
            </w:r>
            <w:r w:rsidR="004D0F23">
              <w:rPr>
                <w:color w:val="000000"/>
                <w:lang w:val="ro-RO"/>
              </w:rPr>
              <w:t>de lege</w:t>
            </w:r>
            <w:r w:rsidRPr="00557993">
              <w:rPr>
                <w:color w:val="000000"/>
                <w:lang w:val="ro-RO"/>
              </w:rPr>
              <w:t xml:space="preserve"> este </w:t>
            </w:r>
            <w:r w:rsidRPr="00807BAB">
              <w:rPr>
                <w:b/>
                <w:color w:val="000000"/>
                <w:lang w:val="ro-RO"/>
              </w:rPr>
              <w:t>elaborat în scopul ajustării prevederilor la noile reglementări</w:t>
            </w:r>
            <w:r w:rsidRPr="00557993">
              <w:rPr>
                <w:color w:val="000000"/>
                <w:lang w:val="ro-RO"/>
              </w:rPr>
              <w:t xml:space="preserve"> aprobate prin Legea nr. 231 din 23.09.2010. Prin urmare </w:t>
            </w:r>
            <w:r w:rsidRPr="00557993">
              <w:rPr>
                <w:b/>
                <w:color w:val="000000"/>
                <w:lang w:val="ro-RO"/>
              </w:rPr>
              <w:t xml:space="preserve">este </w:t>
            </w:r>
            <w:r w:rsidRPr="00807BAB">
              <w:rPr>
                <w:color w:val="000000"/>
                <w:lang w:val="ro-RO"/>
              </w:rPr>
              <w:t xml:space="preserve">unul </w:t>
            </w:r>
            <w:r w:rsidRPr="00557993">
              <w:rPr>
                <w:b/>
                <w:color w:val="000000"/>
                <w:lang w:val="ro-RO"/>
              </w:rPr>
              <w:t>justificat</w:t>
            </w:r>
            <w:r w:rsidRPr="00557993">
              <w:rPr>
                <w:color w:val="000000"/>
                <w:lang w:val="ro-RO"/>
              </w:rPr>
              <w:t xml:space="preserve"> din punct de vedere al condiţiilor, care au impus elaborarea acestuia. </w:t>
            </w:r>
          </w:p>
          <w:p w:rsidR="00CE4DF3" w:rsidRPr="00557993" w:rsidRDefault="00CE4DF3" w:rsidP="00557993">
            <w:pPr>
              <w:tabs>
                <w:tab w:val="left" w:pos="1470"/>
              </w:tabs>
              <w:jc w:val="both"/>
              <w:rPr>
                <w:color w:val="000000"/>
                <w:lang w:val="ro-RO"/>
              </w:rPr>
            </w:pPr>
            <w:r>
              <w:rPr>
                <w:color w:val="000000"/>
                <w:lang w:val="ro-RO"/>
              </w:rPr>
              <w:t xml:space="preserve">Implementarea proiectului </w:t>
            </w:r>
            <w:r w:rsidRPr="00807BAB">
              <w:rPr>
                <w:b/>
                <w:color w:val="000000"/>
                <w:lang w:val="ro-RO"/>
              </w:rPr>
              <w:t>nu presupune cheltuieli</w:t>
            </w:r>
            <w:r>
              <w:rPr>
                <w:color w:val="000000"/>
                <w:lang w:val="ro-RO"/>
              </w:rPr>
              <w:t xml:space="preserve"> financiare suplimentare.</w:t>
            </w:r>
          </w:p>
          <w:p w:rsidR="00557993" w:rsidRPr="00557993" w:rsidRDefault="00557993" w:rsidP="00557993">
            <w:pPr>
              <w:tabs>
                <w:tab w:val="left" w:pos="1470"/>
              </w:tabs>
              <w:jc w:val="both"/>
              <w:rPr>
                <w:color w:val="000000"/>
                <w:lang w:val="ro-RO"/>
              </w:rPr>
            </w:pPr>
            <w:r w:rsidRPr="00557993">
              <w:rPr>
                <w:color w:val="000000"/>
                <w:lang w:val="ro-RO"/>
              </w:rPr>
              <w:t xml:space="preserve">Prevederile proiectului </w:t>
            </w:r>
            <w:r w:rsidRPr="00807BAB">
              <w:rPr>
                <w:b/>
                <w:color w:val="000000"/>
                <w:lang w:val="ro-RO"/>
              </w:rPr>
              <w:t>nu promovează şi nu prejudiciază careva interese de grup sau individuale</w:t>
            </w:r>
            <w:r w:rsidRPr="00557993">
              <w:rPr>
                <w:color w:val="000000"/>
                <w:lang w:val="ro-RO"/>
              </w:rPr>
              <w:t xml:space="preserve"> în lipsa justificării interesului public.</w:t>
            </w:r>
          </w:p>
          <w:p w:rsidR="00557993" w:rsidRPr="00557993" w:rsidRDefault="00557993" w:rsidP="00557993">
            <w:pPr>
              <w:tabs>
                <w:tab w:val="left" w:pos="1470"/>
              </w:tabs>
              <w:jc w:val="both"/>
              <w:rPr>
                <w:color w:val="000000"/>
                <w:lang w:val="ro-RO"/>
              </w:rPr>
            </w:pPr>
            <w:r w:rsidRPr="00557993">
              <w:rPr>
                <w:color w:val="000000"/>
                <w:lang w:val="ro-RO"/>
              </w:rPr>
              <w:t xml:space="preserve">În proiect </w:t>
            </w:r>
            <w:r w:rsidRPr="00557993">
              <w:rPr>
                <w:b/>
                <w:color w:val="000000"/>
                <w:lang w:val="ro-RO"/>
              </w:rPr>
              <w:t>nu au fost atestate incompatibilităţi cu standar</w:t>
            </w:r>
            <w:r w:rsidR="00CE4DF3">
              <w:rPr>
                <w:b/>
                <w:color w:val="000000"/>
                <w:lang w:val="ro-RO"/>
              </w:rPr>
              <w:t>d</w:t>
            </w:r>
            <w:r w:rsidRPr="00557993">
              <w:rPr>
                <w:b/>
                <w:color w:val="000000"/>
                <w:lang w:val="ro-RO"/>
              </w:rPr>
              <w:t xml:space="preserve">ele naţionale şi internaţionale anticorupţie </w:t>
            </w:r>
            <w:r w:rsidRPr="00557993">
              <w:rPr>
                <w:color w:val="000000"/>
                <w:lang w:val="ro-RO"/>
              </w:rPr>
              <w:t xml:space="preserve">şi nu au fost identificate domenii în care proiectul nu </w:t>
            </w:r>
          </w:p>
          <w:p w:rsidR="00557993" w:rsidRPr="00557993" w:rsidRDefault="00557993" w:rsidP="00557993">
            <w:pPr>
              <w:tabs>
                <w:tab w:val="left" w:pos="1470"/>
              </w:tabs>
              <w:jc w:val="both"/>
              <w:rPr>
                <w:color w:val="000000"/>
                <w:lang w:val="ro-RO"/>
              </w:rPr>
            </w:pPr>
            <w:r w:rsidRPr="00557993">
              <w:rPr>
                <w:color w:val="000000"/>
                <w:lang w:val="ro-RO"/>
              </w:rPr>
              <w:t>satisface cerinţele sau sunt în contradicţie cu aceste standar</w:t>
            </w:r>
            <w:r w:rsidR="00CE4DF3">
              <w:rPr>
                <w:color w:val="000000"/>
                <w:lang w:val="ro-RO"/>
              </w:rPr>
              <w:t>d</w:t>
            </w:r>
            <w:r w:rsidRPr="00557993">
              <w:rPr>
                <w:color w:val="000000"/>
                <w:lang w:val="ro-RO"/>
              </w:rPr>
              <w:t>e.</w:t>
            </w:r>
          </w:p>
          <w:p w:rsidR="00CE4DF3" w:rsidRDefault="00CE4DF3" w:rsidP="00557993">
            <w:pPr>
              <w:tabs>
                <w:tab w:val="left" w:pos="1470"/>
              </w:tabs>
              <w:jc w:val="both"/>
              <w:rPr>
                <w:color w:val="000000"/>
                <w:lang w:val="ro-RO"/>
              </w:rPr>
            </w:pPr>
            <w:r>
              <w:rPr>
                <w:color w:val="000000"/>
                <w:lang w:val="ro-RO"/>
              </w:rPr>
              <w:t>Proiectul întruneşte cerinţele impuse de prevederile Legii privind transparenţa în procesul decizional nr. 239-XVI din 13.11.2008.</w:t>
            </w:r>
          </w:p>
          <w:p w:rsidR="00557993" w:rsidRPr="00557993" w:rsidRDefault="00CE4DF3" w:rsidP="00557993">
            <w:pPr>
              <w:tabs>
                <w:tab w:val="left" w:pos="1470"/>
              </w:tabs>
              <w:jc w:val="both"/>
              <w:rPr>
                <w:color w:val="000000"/>
                <w:lang w:val="ro-RO"/>
              </w:rPr>
            </w:pPr>
            <w:r>
              <w:rPr>
                <w:color w:val="000000"/>
                <w:lang w:val="ro-RO"/>
              </w:rPr>
              <w:t xml:space="preserve"> </w:t>
            </w:r>
            <w:r w:rsidR="00557993" w:rsidRPr="00557993">
              <w:rPr>
                <w:color w:val="000000"/>
                <w:lang w:val="ro-RO"/>
              </w:rPr>
              <w:t xml:space="preserve">Textul proiectului </w:t>
            </w:r>
            <w:r w:rsidR="00557993" w:rsidRPr="00557993">
              <w:rPr>
                <w:b/>
                <w:color w:val="000000"/>
                <w:lang w:val="ro-RO"/>
              </w:rPr>
              <w:t>corespunde tehnicii legislative</w:t>
            </w:r>
            <w:r w:rsidR="00557993" w:rsidRPr="00557993">
              <w:rPr>
                <w:color w:val="000000"/>
                <w:lang w:val="ro-RO"/>
              </w:rPr>
              <w:t xml:space="preserve"> </w:t>
            </w:r>
            <w:r w:rsidR="00557993" w:rsidRPr="00557993">
              <w:rPr>
                <w:b/>
                <w:color w:val="000000"/>
                <w:lang w:val="ro-RO"/>
              </w:rPr>
              <w:t>şi normative</w:t>
            </w:r>
            <w:r w:rsidR="00557993" w:rsidRPr="00557993">
              <w:rPr>
                <w:color w:val="000000"/>
                <w:lang w:val="ro-RO"/>
              </w:rPr>
              <w:t>, regulilor limbajului şi expresiei juridice.</w:t>
            </w:r>
          </w:p>
          <w:p w:rsidR="00557993" w:rsidRPr="00557993" w:rsidRDefault="00557993" w:rsidP="00557993">
            <w:pPr>
              <w:tabs>
                <w:tab w:val="left" w:pos="1470"/>
              </w:tabs>
              <w:jc w:val="both"/>
              <w:rPr>
                <w:color w:val="000000"/>
                <w:lang w:val="ro-RO"/>
              </w:rPr>
            </w:pPr>
            <w:r w:rsidRPr="00807BAB">
              <w:rPr>
                <w:color w:val="000000"/>
                <w:u w:val="single"/>
                <w:lang w:val="ro-RO"/>
              </w:rPr>
              <w:t>Nu au fost</w:t>
            </w:r>
            <w:r w:rsidRPr="00557993">
              <w:rPr>
                <w:color w:val="000000"/>
                <w:lang w:val="ro-RO"/>
              </w:rPr>
              <w:t xml:space="preserve"> identificate conflicte ale normelor de drept, capabile să genereze coruptibilitate.</w:t>
            </w:r>
          </w:p>
          <w:p w:rsidR="00557993" w:rsidRPr="00557993" w:rsidRDefault="00557993" w:rsidP="00557993">
            <w:pPr>
              <w:tabs>
                <w:tab w:val="left" w:pos="1470"/>
              </w:tabs>
              <w:jc w:val="both"/>
              <w:rPr>
                <w:color w:val="000000"/>
                <w:lang w:val="ro-RO"/>
              </w:rPr>
            </w:pPr>
            <w:r w:rsidRPr="00557993">
              <w:rPr>
                <w:color w:val="000000"/>
                <w:lang w:val="ro-RO"/>
              </w:rPr>
              <w:t xml:space="preserve"> </w:t>
            </w:r>
            <w:r w:rsidRPr="00807BAB">
              <w:rPr>
                <w:color w:val="000000"/>
                <w:u w:val="single"/>
                <w:lang w:val="ro-RO"/>
              </w:rPr>
              <w:t>Nu au fost</w:t>
            </w:r>
            <w:r w:rsidRPr="00557993">
              <w:rPr>
                <w:color w:val="000000"/>
                <w:lang w:val="ro-RO"/>
              </w:rPr>
              <w:t xml:space="preserve"> identificate norme de trimitere, de blanchetă şi norme în alb, capabile să genereze coruptibilitate.</w:t>
            </w:r>
          </w:p>
          <w:p w:rsidR="00557993" w:rsidRPr="00557993" w:rsidRDefault="00557993" w:rsidP="00557993">
            <w:pPr>
              <w:tabs>
                <w:tab w:val="left" w:pos="1470"/>
              </w:tabs>
              <w:jc w:val="both"/>
              <w:rPr>
                <w:color w:val="000000"/>
                <w:lang w:val="ro-RO"/>
              </w:rPr>
            </w:pPr>
            <w:r w:rsidRPr="00807BAB">
              <w:rPr>
                <w:color w:val="000000"/>
                <w:u w:val="single"/>
                <w:lang w:val="ro-RO"/>
              </w:rPr>
              <w:t>Nu sunt</w:t>
            </w:r>
            <w:r w:rsidRPr="00557993">
              <w:rPr>
                <w:color w:val="000000"/>
                <w:lang w:val="ro-RO"/>
              </w:rPr>
              <w:t xml:space="preserve"> identificate discreţii excesive ale autorităţilor publice, capabile să genereze coruptibilitate.</w:t>
            </w:r>
          </w:p>
          <w:p w:rsidR="00557993" w:rsidRPr="00557993" w:rsidRDefault="00557993" w:rsidP="00557993">
            <w:pPr>
              <w:tabs>
                <w:tab w:val="left" w:pos="1470"/>
              </w:tabs>
              <w:jc w:val="both"/>
              <w:rPr>
                <w:color w:val="000000"/>
                <w:lang w:val="ro-RO"/>
              </w:rPr>
            </w:pPr>
            <w:r w:rsidRPr="00557993">
              <w:rPr>
                <w:color w:val="000000"/>
                <w:lang w:val="ro-RO"/>
              </w:rPr>
              <w:t xml:space="preserve"> </w:t>
            </w:r>
            <w:r w:rsidRPr="00807BAB">
              <w:rPr>
                <w:color w:val="000000"/>
                <w:u w:val="single"/>
                <w:lang w:val="ro-RO"/>
              </w:rPr>
              <w:t>Nu sunt</w:t>
            </w:r>
            <w:r w:rsidRPr="00557993">
              <w:rPr>
                <w:color w:val="000000"/>
                <w:lang w:val="ro-RO"/>
              </w:rPr>
              <w:t xml:space="preserve"> identificate cerinţe excesive, care să depăşească cadrul rezonabil pentru realizarea drepturilor sau obligaţiilor subiecţilor vizaţi.</w:t>
            </w:r>
          </w:p>
          <w:p w:rsidR="00557993" w:rsidRPr="00557993" w:rsidRDefault="00557993" w:rsidP="00557993">
            <w:pPr>
              <w:tabs>
                <w:tab w:val="left" w:pos="1470"/>
              </w:tabs>
              <w:jc w:val="both"/>
              <w:rPr>
                <w:color w:val="000000"/>
                <w:lang w:val="ro-RO"/>
              </w:rPr>
            </w:pPr>
            <w:r w:rsidRPr="00557993">
              <w:rPr>
                <w:color w:val="000000"/>
                <w:lang w:val="ro-RO"/>
              </w:rPr>
              <w:t>Textul proiectului nu necesită a fi evaluat prin prisma accesului la informaţie sau asigurării transparenţei.</w:t>
            </w:r>
          </w:p>
          <w:p w:rsidR="00557993" w:rsidRPr="008C4A3C" w:rsidRDefault="00557993" w:rsidP="00557993">
            <w:pPr>
              <w:tabs>
                <w:tab w:val="left" w:pos="1470"/>
              </w:tabs>
              <w:jc w:val="both"/>
              <w:rPr>
                <w:b/>
                <w:color w:val="000000"/>
                <w:lang w:val="ro-RO"/>
              </w:rPr>
            </w:pPr>
            <w:r w:rsidRPr="00557993">
              <w:rPr>
                <w:color w:val="000000"/>
                <w:lang w:val="ro-RO"/>
              </w:rPr>
              <w:t xml:space="preserve">Implementarea prevederilor proiectului </w:t>
            </w:r>
            <w:r w:rsidRPr="008C4A3C">
              <w:rPr>
                <w:b/>
                <w:color w:val="000000"/>
                <w:lang w:val="ro-RO"/>
              </w:rPr>
              <w:t xml:space="preserve">nu presupune aplicarea </w:t>
            </w:r>
            <w:proofErr w:type="spellStart"/>
            <w:r w:rsidRPr="008C4A3C">
              <w:rPr>
                <w:b/>
                <w:color w:val="000000"/>
                <w:lang w:val="ro-RO"/>
              </w:rPr>
              <w:t>cărorva</w:t>
            </w:r>
            <w:proofErr w:type="spellEnd"/>
            <w:r w:rsidRPr="008C4A3C">
              <w:rPr>
                <w:b/>
                <w:color w:val="000000"/>
                <w:lang w:val="ro-RO"/>
              </w:rPr>
              <w:t xml:space="preserve"> mecanisme suplimentare de control.</w:t>
            </w:r>
          </w:p>
          <w:p w:rsidR="00557993" w:rsidRDefault="00557993" w:rsidP="00557993">
            <w:pPr>
              <w:tabs>
                <w:tab w:val="left" w:pos="1470"/>
              </w:tabs>
              <w:jc w:val="both"/>
              <w:rPr>
                <w:color w:val="000000"/>
                <w:lang w:val="ro-RO"/>
              </w:rPr>
            </w:pPr>
            <w:r w:rsidRPr="00557993">
              <w:rPr>
                <w:color w:val="000000"/>
                <w:lang w:val="ro-RO"/>
              </w:rPr>
              <w:t xml:space="preserve">Proiectul nu implică careva responsabilităţi şi </w:t>
            </w:r>
            <w:r w:rsidRPr="008C4A3C">
              <w:rPr>
                <w:b/>
                <w:color w:val="000000"/>
                <w:lang w:val="ro-RO"/>
              </w:rPr>
              <w:t>nu necesită referinţe exprese la responsabilitate şi sancţiunile aplicate pentru încălcarea prevederilor sale.</w:t>
            </w:r>
          </w:p>
        </w:tc>
        <w:tc>
          <w:tcPr>
            <w:tcW w:w="1560" w:type="dxa"/>
            <w:shd w:val="clear" w:color="auto" w:fill="auto"/>
          </w:tcPr>
          <w:p w:rsidR="00557993" w:rsidRDefault="00557993" w:rsidP="00E41940">
            <w:pPr>
              <w:rPr>
                <w:color w:val="000000"/>
                <w:lang w:val="ro-RO"/>
              </w:rPr>
            </w:pPr>
          </w:p>
        </w:tc>
        <w:tc>
          <w:tcPr>
            <w:tcW w:w="3969" w:type="dxa"/>
            <w:shd w:val="clear" w:color="auto" w:fill="auto"/>
          </w:tcPr>
          <w:p w:rsidR="00557993" w:rsidRPr="00E56A4C" w:rsidRDefault="00557993" w:rsidP="00E41940">
            <w:pPr>
              <w:jc w:val="both"/>
              <w:rPr>
                <w:color w:val="000000"/>
                <w:lang w:val="ro-RO"/>
              </w:rPr>
            </w:pPr>
          </w:p>
        </w:tc>
      </w:tr>
    </w:tbl>
    <w:p w:rsidR="00AB7798" w:rsidRPr="005E43D9" w:rsidRDefault="00AB7798" w:rsidP="00BF4021">
      <w:pPr>
        <w:rPr>
          <w:color w:val="000000"/>
          <w:sz w:val="12"/>
          <w:szCs w:val="12"/>
          <w:lang w:val="ro-RO"/>
        </w:rPr>
      </w:pPr>
    </w:p>
    <w:sectPr w:rsidR="00AB7798" w:rsidRPr="005E43D9" w:rsidSect="001A60A3">
      <w:pgSz w:w="16838" w:h="11906" w:orient="landscape"/>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DFD"/>
    <w:multiLevelType w:val="hybridMultilevel"/>
    <w:tmpl w:val="E5BC2134"/>
    <w:lvl w:ilvl="0" w:tplc="0E0E8C0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D842B3"/>
    <w:multiLevelType w:val="hybridMultilevel"/>
    <w:tmpl w:val="1A1E6230"/>
    <w:lvl w:ilvl="0" w:tplc="0E8ECB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5A3EE3"/>
    <w:multiLevelType w:val="hybridMultilevel"/>
    <w:tmpl w:val="E58CAC8A"/>
    <w:lvl w:ilvl="0" w:tplc="D336432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FD6A1A"/>
    <w:multiLevelType w:val="hybridMultilevel"/>
    <w:tmpl w:val="ACA0247E"/>
    <w:lvl w:ilvl="0" w:tplc="11EE184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910EA4"/>
    <w:multiLevelType w:val="hybridMultilevel"/>
    <w:tmpl w:val="AAE21DE0"/>
    <w:lvl w:ilvl="0" w:tplc="1D7C825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1A50EF"/>
    <w:multiLevelType w:val="hybridMultilevel"/>
    <w:tmpl w:val="02920CDA"/>
    <w:lvl w:ilvl="0" w:tplc="36DACEB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C722E9"/>
    <w:multiLevelType w:val="multilevel"/>
    <w:tmpl w:val="37C25EF2"/>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566B92"/>
    <w:multiLevelType w:val="hybridMultilevel"/>
    <w:tmpl w:val="0150D566"/>
    <w:lvl w:ilvl="0" w:tplc="3E7C9A8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483C93"/>
    <w:multiLevelType w:val="hybridMultilevel"/>
    <w:tmpl w:val="C19E6344"/>
    <w:lvl w:ilvl="0" w:tplc="C4BAC2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66417F"/>
    <w:multiLevelType w:val="multilevel"/>
    <w:tmpl w:val="2DB03FD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D8318CC"/>
    <w:multiLevelType w:val="hybridMultilevel"/>
    <w:tmpl w:val="DE2CEE9A"/>
    <w:lvl w:ilvl="0" w:tplc="61DC93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D8A1FE1"/>
    <w:multiLevelType w:val="multilevel"/>
    <w:tmpl w:val="37C25EF2"/>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65508"/>
    <w:multiLevelType w:val="hybridMultilevel"/>
    <w:tmpl w:val="8C809BF6"/>
    <w:lvl w:ilvl="0" w:tplc="C1A8CB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4BA48F7"/>
    <w:multiLevelType w:val="hybridMultilevel"/>
    <w:tmpl w:val="47142684"/>
    <w:lvl w:ilvl="0" w:tplc="7D7CA25C">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DE3761"/>
    <w:multiLevelType w:val="hybridMultilevel"/>
    <w:tmpl w:val="1388CEE0"/>
    <w:lvl w:ilvl="0" w:tplc="1250D1B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8826E72"/>
    <w:multiLevelType w:val="hybridMultilevel"/>
    <w:tmpl w:val="AFC6B260"/>
    <w:lvl w:ilvl="0" w:tplc="AF001F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0D12746"/>
    <w:multiLevelType w:val="hybridMultilevel"/>
    <w:tmpl w:val="40DCB13C"/>
    <w:lvl w:ilvl="0" w:tplc="24866AC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161831"/>
    <w:multiLevelType w:val="hybridMultilevel"/>
    <w:tmpl w:val="CACA4E3E"/>
    <w:lvl w:ilvl="0" w:tplc="5DA84EBC">
      <w:start w:val="1"/>
      <w:numFmt w:val="decimal"/>
      <w:lvlText w:val="%1."/>
      <w:lvlJc w:val="left"/>
      <w:pPr>
        <w:tabs>
          <w:tab w:val="num" w:pos="720"/>
        </w:tabs>
        <w:ind w:left="720" w:hanging="607"/>
      </w:pPr>
      <w:rPr>
        <w:rFonts w:hint="default"/>
      </w:rPr>
    </w:lvl>
    <w:lvl w:ilvl="1" w:tplc="A5FC39C4">
      <w:start w:val="1"/>
      <w:numFmt w:val="bullet"/>
      <w:lvlText w:val=""/>
      <w:lvlJc w:val="left"/>
      <w:pPr>
        <w:tabs>
          <w:tab w:val="num" w:pos="964"/>
        </w:tabs>
        <w:ind w:left="907" w:hanging="907"/>
      </w:pPr>
      <w:rPr>
        <w:rFonts w:ascii="Symbol" w:hAnsi="Symbol" w:hint="default"/>
      </w:rPr>
    </w:lvl>
    <w:lvl w:ilvl="2" w:tplc="382089F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E33E8A"/>
    <w:multiLevelType w:val="hybridMultilevel"/>
    <w:tmpl w:val="40B0FAD4"/>
    <w:lvl w:ilvl="0" w:tplc="E4CACF46">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792923"/>
    <w:multiLevelType w:val="hybridMultilevel"/>
    <w:tmpl w:val="3F9EE5AE"/>
    <w:lvl w:ilvl="0" w:tplc="41C6A3B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EBC249F"/>
    <w:multiLevelType w:val="hybridMultilevel"/>
    <w:tmpl w:val="13A4FC4A"/>
    <w:lvl w:ilvl="0" w:tplc="15D616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0DC26B4"/>
    <w:multiLevelType w:val="multilevel"/>
    <w:tmpl w:val="640A321C"/>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15139FA"/>
    <w:multiLevelType w:val="hybridMultilevel"/>
    <w:tmpl w:val="01C66690"/>
    <w:lvl w:ilvl="0" w:tplc="BC50E6E8">
      <w:start w:val="17"/>
      <w:numFmt w:val="bullet"/>
      <w:lvlText w:val="-"/>
      <w:lvlJc w:val="left"/>
      <w:pPr>
        <w:tabs>
          <w:tab w:val="num" w:pos="915"/>
        </w:tabs>
        <w:ind w:left="915" w:hanging="5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59C681C"/>
    <w:multiLevelType w:val="hybridMultilevel"/>
    <w:tmpl w:val="19AC3E42"/>
    <w:lvl w:ilvl="0" w:tplc="CE88C6DA">
      <w:start w:val="16"/>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DE339F"/>
    <w:multiLevelType w:val="hybridMultilevel"/>
    <w:tmpl w:val="04243940"/>
    <w:lvl w:ilvl="0" w:tplc="1810A1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A8704A9"/>
    <w:multiLevelType w:val="hybridMultilevel"/>
    <w:tmpl w:val="868C2B90"/>
    <w:lvl w:ilvl="0" w:tplc="0798A9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A857E5"/>
    <w:multiLevelType w:val="hybridMultilevel"/>
    <w:tmpl w:val="0BE820CE"/>
    <w:lvl w:ilvl="0" w:tplc="D368B9E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C9969D6"/>
    <w:multiLevelType w:val="multilevel"/>
    <w:tmpl w:val="B2CA6488"/>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3A4B7F"/>
    <w:multiLevelType w:val="hybridMultilevel"/>
    <w:tmpl w:val="4E7C6B68"/>
    <w:lvl w:ilvl="0" w:tplc="2F8EB2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A7B071A"/>
    <w:multiLevelType w:val="hybridMultilevel"/>
    <w:tmpl w:val="D06C790A"/>
    <w:lvl w:ilvl="0" w:tplc="CFE4F96A">
      <w:start w:val="1"/>
      <w:numFmt w:val="decimal"/>
      <w:lvlText w:val="%1."/>
      <w:lvlJc w:val="left"/>
      <w:pPr>
        <w:tabs>
          <w:tab w:val="num" w:pos="1290"/>
        </w:tabs>
        <w:ind w:left="1290" w:hanging="375"/>
      </w:pPr>
      <w:rPr>
        <w:rFonts w:hint="default"/>
        <w:i w:val="0"/>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0">
    <w:nsid w:val="4EC639D2"/>
    <w:multiLevelType w:val="hybridMultilevel"/>
    <w:tmpl w:val="ED8818FC"/>
    <w:lvl w:ilvl="0" w:tplc="4E58E3A0">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415431"/>
    <w:multiLevelType w:val="hybridMultilevel"/>
    <w:tmpl w:val="4B6A7904"/>
    <w:lvl w:ilvl="0" w:tplc="39D85D1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C00125"/>
    <w:multiLevelType w:val="hybridMultilevel"/>
    <w:tmpl w:val="40E864F0"/>
    <w:lvl w:ilvl="0" w:tplc="EF54200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7FC36BC"/>
    <w:multiLevelType w:val="multilevel"/>
    <w:tmpl w:val="E06E8B3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2B72D9"/>
    <w:multiLevelType w:val="multilevel"/>
    <w:tmpl w:val="2DB03FD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B51DAA"/>
    <w:multiLevelType w:val="hybridMultilevel"/>
    <w:tmpl w:val="861A162C"/>
    <w:lvl w:ilvl="0" w:tplc="33129780">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1E093D"/>
    <w:multiLevelType w:val="hybridMultilevel"/>
    <w:tmpl w:val="60449BD4"/>
    <w:lvl w:ilvl="0" w:tplc="F36887FC">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19069C"/>
    <w:multiLevelType w:val="hybridMultilevel"/>
    <w:tmpl w:val="DE2CD48C"/>
    <w:lvl w:ilvl="0" w:tplc="3F2AAF4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053BF9"/>
    <w:multiLevelType w:val="hybridMultilevel"/>
    <w:tmpl w:val="EA149F70"/>
    <w:lvl w:ilvl="0" w:tplc="ECF0791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F706CA"/>
    <w:multiLevelType w:val="hybridMultilevel"/>
    <w:tmpl w:val="AF3C01D6"/>
    <w:lvl w:ilvl="0" w:tplc="6548F4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78B63CF8"/>
    <w:multiLevelType w:val="hybridMultilevel"/>
    <w:tmpl w:val="E2FA47BC"/>
    <w:lvl w:ilvl="0" w:tplc="6BBC85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E00124B"/>
    <w:multiLevelType w:val="multilevel"/>
    <w:tmpl w:val="7D7C9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36"/>
  </w:num>
  <w:num w:numId="3">
    <w:abstractNumId w:val="39"/>
  </w:num>
  <w:num w:numId="4">
    <w:abstractNumId w:val="17"/>
  </w:num>
  <w:num w:numId="5">
    <w:abstractNumId w:val="41"/>
  </w:num>
  <w:num w:numId="6">
    <w:abstractNumId w:val="29"/>
  </w:num>
  <w:num w:numId="7">
    <w:abstractNumId w:val="27"/>
  </w:num>
  <w:num w:numId="8">
    <w:abstractNumId w:val="34"/>
  </w:num>
  <w:num w:numId="9">
    <w:abstractNumId w:val="9"/>
  </w:num>
  <w:num w:numId="10">
    <w:abstractNumId w:val="33"/>
  </w:num>
  <w:num w:numId="11">
    <w:abstractNumId w:val="6"/>
  </w:num>
  <w:num w:numId="12">
    <w:abstractNumId w:val="11"/>
  </w:num>
  <w:num w:numId="13">
    <w:abstractNumId w:val="21"/>
  </w:num>
  <w:num w:numId="14">
    <w:abstractNumId w:val="4"/>
  </w:num>
  <w:num w:numId="15">
    <w:abstractNumId w:val="23"/>
  </w:num>
  <w:num w:numId="16">
    <w:abstractNumId w:val="35"/>
  </w:num>
  <w:num w:numId="17">
    <w:abstractNumId w:val="37"/>
  </w:num>
  <w:num w:numId="18">
    <w:abstractNumId w:val="14"/>
  </w:num>
  <w:num w:numId="19">
    <w:abstractNumId w:val="5"/>
  </w:num>
  <w:num w:numId="20">
    <w:abstractNumId w:val="2"/>
  </w:num>
  <w:num w:numId="21">
    <w:abstractNumId w:val="32"/>
  </w:num>
  <w:num w:numId="22">
    <w:abstractNumId w:val="13"/>
  </w:num>
  <w:num w:numId="23">
    <w:abstractNumId w:val="38"/>
  </w:num>
  <w:num w:numId="24">
    <w:abstractNumId w:val="7"/>
  </w:num>
  <w:num w:numId="25">
    <w:abstractNumId w:val="31"/>
  </w:num>
  <w:num w:numId="26">
    <w:abstractNumId w:val="3"/>
  </w:num>
  <w:num w:numId="27">
    <w:abstractNumId w:val="25"/>
  </w:num>
  <w:num w:numId="28">
    <w:abstractNumId w:val="8"/>
  </w:num>
  <w:num w:numId="29">
    <w:abstractNumId w:val="30"/>
  </w:num>
  <w:num w:numId="30">
    <w:abstractNumId w:val="18"/>
  </w:num>
  <w:num w:numId="31">
    <w:abstractNumId w:val="1"/>
  </w:num>
  <w:num w:numId="32">
    <w:abstractNumId w:val="22"/>
  </w:num>
  <w:num w:numId="33">
    <w:abstractNumId w:val="15"/>
  </w:num>
  <w:num w:numId="34">
    <w:abstractNumId w:val="24"/>
  </w:num>
  <w:num w:numId="35">
    <w:abstractNumId w:val="10"/>
  </w:num>
  <w:num w:numId="36">
    <w:abstractNumId w:val="16"/>
  </w:num>
  <w:num w:numId="37">
    <w:abstractNumId w:val="0"/>
  </w:num>
  <w:num w:numId="38">
    <w:abstractNumId w:val="28"/>
  </w:num>
  <w:num w:numId="39">
    <w:abstractNumId w:val="19"/>
  </w:num>
  <w:num w:numId="40">
    <w:abstractNumId w:val="12"/>
  </w:num>
  <w:num w:numId="41">
    <w:abstractNumId w:val="4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3EF"/>
    <w:rsid w:val="0000550F"/>
    <w:rsid w:val="0001014D"/>
    <w:rsid w:val="00015BE0"/>
    <w:rsid w:val="00021F06"/>
    <w:rsid w:val="000254BF"/>
    <w:rsid w:val="00026915"/>
    <w:rsid w:val="00027179"/>
    <w:rsid w:val="0003654D"/>
    <w:rsid w:val="00047205"/>
    <w:rsid w:val="00073D7B"/>
    <w:rsid w:val="00081098"/>
    <w:rsid w:val="0008511B"/>
    <w:rsid w:val="00085A3B"/>
    <w:rsid w:val="00087A2D"/>
    <w:rsid w:val="00092722"/>
    <w:rsid w:val="00093109"/>
    <w:rsid w:val="000A7915"/>
    <w:rsid w:val="000B427F"/>
    <w:rsid w:val="000B697B"/>
    <w:rsid w:val="000C2769"/>
    <w:rsid w:val="000F2FB4"/>
    <w:rsid w:val="00100D97"/>
    <w:rsid w:val="00100FC3"/>
    <w:rsid w:val="0012123A"/>
    <w:rsid w:val="00145045"/>
    <w:rsid w:val="00147F91"/>
    <w:rsid w:val="001557B4"/>
    <w:rsid w:val="00163DD0"/>
    <w:rsid w:val="00166ABB"/>
    <w:rsid w:val="00172914"/>
    <w:rsid w:val="001800CF"/>
    <w:rsid w:val="00184A9B"/>
    <w:rsid w:val="001951F6"/>
    <w:rsid w:val="001A60A3"/>
    <w:rsid w:val="001B23EF"/>
    <w:rsid w:val="001B3035"/>
    <w:rsid w:val="001B48FE"/>
    <w:rsid w:val="001B5B59"/>
    <w:rsid w:val="001C39B0"/>
    <w:rsid w:val="001E3543"/>
    <w:rsid w:val="001E46F0"/>
    <w:rsid w:val="001F1439"/>
    <w:rsid w:val="001F1E20"/>
    <w:rsid w:val="001F382B"/>
    <w:rsid w:val="0020527D"/>
    <w:rsid w:val="002114C8"/>
    <w:rsid w:val="00211BFB"/>
    <w:rsid w:val="00233DD7"/>
    <w:rsid w:val="00242D6A"/>
    <w:rsid w:val="00264767"/>
    <w:rsid w:val="00274387"/>
    <w:rsid w:val="002829B9"/>
    <w:rsid w:val="00287D79"/>
    <w:rsid w:val="002A0194"/>
    <w:rsid w:val="002B7357"/>
    <w:rsid w:val="002D1F4B"/>
    <w:rsid w:val="002D583C"/>
    <w:rsid w:val="002F37CC"/>
    <w:rsid w:val="00301762"/>
    <w:rsid w:val="00302CAF"/>
    <w:rsid w:val="003041E8"/>
    <w:rsid w:val="00305644"/>
    <w:rsid w:val="00315FFF"/>
    <w:rsid w:val="0033379A"/>
    <w:rsid w:val="00333CF4"/>
    <w:rsid w:val="00336DFE"/>
    <w:rsid w:val="00340B23"/>
    <w:rsid w:val="003457F4"/>
    <w:rsid w:val="00356AF3"/>
    <w:rsid w:val="0036012C"/>
    <w:rsid w:val="00362676"/>
    <w:rsid w:val="003662EA"/>
    <w:rsid w:val="00367F96"/>
    <w:rsid w:val="003709F5"/>
    <w:rsid w:val="00374A8C"/>
    <w:rsid w:val="003A34BD"/>
    <w:rsid w:val="003A363A"/>
    <w:rsid w:val="003C092F"/>
    <w:rsid w:val="003C40CF"/>
    <w:rsid w:val="003C66D4"/>
    <w:rsid w:val="00410486"/>
    <w:rsid w:val="00413ADA"/>
    <w:rsid w:val="00416E13"/>
    <w:rsid w:val="004207C0"/>
    <w:rsid w:val="00423C0E"/>
    <w:rsid w:val="00426600"/>
    <w:rsid w:val="00431E56"/>
    <w:rsid w:val="004324C7"/>
    <w:rsid w:val="0044641A"/>
    <w:rsid w:val="00454E2A"/>
    <w:rsid w:val="00461082"/>
    <w:rsid w:val="0046226B"/>
    <w:rsid w:val="00462B83"/>
    <w:rsid w:val="00481E4F"/>
    <w:rsid w:val="00482D39"/>
    <w:rsid w:val="00490C70"/>
    <w:rsid w:val="00492691"/>
    <w:rsid w:val="004A05E0"/>
    <w:rsid w:val="004A1859"/>
    <w:rsid w:val="004B7D6D"/>
    <w:rsid w:val="004C6872"/>
    <w:rsid w:val="004D0F23"/>
    <w:rsid w:val="004D35C8"/>
    <w:rsid w:val="004E2C9B"/>
    <w:rsid w:val="004F097B"/>
    <w:rsid w:val="004F38DD"/>
    <w:rsid w:val="00516B8D"/>
    <w:rsid w:val="00520907"/>
    <w:rsid w:val="00524264"/>
    <w:rsid w:val="00540ECF"/>
    <w:rsid w:val="0054145E"/>
    <w:rsid w:val="00541B78"/>
    <w:rsid w:val="00543A6F"/>
    <w:rsid w:val="005470A2"/>
    <w:rsid w:val="00557993"/>
    <w:rsid w:val="00561E5C"/>
    <w:rsid w:val="005668F0"/>
    <w:rsid w:val="00571C47"/>
    <w:rsid w:val="005749D4"/>
    <w:rsid w:val="00591A41"/>
    <w:rsid w:val="005926A7"/>
    <w:rsid w:val="00597A7E"/>
    <w:rsid w:val="005A62C3"/>
    <w:rsid w:val="005A6830"/>
    <w:rsid w:val="005D1B9D"/>
    <w:rsid w:val="005D1D94"/>
    <w:rsid w:val="005E0C4E"/>
    <w:rsid w:val="005E43D9"/>
    <w:rsid w:val="005F439F"/>
    <w:rsid w:val="005F588A"/>
    <w:rsid w:val="00601391"/>
    <w:rsid w:val="00614164"/>
    <w:rsid w:val="00617298"/>
    <w:rsid w:val="006214F6"/>
    <w:rsid w:val="00625116"/>
    <w:rsid w:val="00634667"/>
    <w:rsid w:val="0065481C"/>
    <w:rsid w:val="00660870"/>
    <w:rsid w:val="006679E8"/>
    <w:rsid w:val="00670C88"/>
    <w:rsid w:val="00672629"/>
    <w:rsid w:val="0067265F"/>
    <w:rsid w:val="00673FDE"/>
    <w:rsid w:val="0068262A"/>
    <w:rsid w:val="00694B20"/>
    <w:rsid w:val="00694F5F"/>
    <w:rsid w:val="00695456"/>
    <w:rsid w:val="006B65B4"/>
    <w:rsid w:val="006C3ABE"/>
    <w:rsid w:val="006C641F"/>
    <w:rsid w:val="006E0A1A"/>
    <w:rsid w:val="006E22A1"/>
    <w:rsid w:val="006F461F"/>
    <w:rsid w:val="00700549"/>
    <w:rsid w:val="00704950"/>
    <w:rsid w:val="007140DB"/>
    <w:rsid w:val="007176BA"/>
    <w:rsid w:val="00747A15"/>
    <w:rsid w:val="0076164F"/>
    <w:rsid w:val="0076235A"/>
    <w:rsid w:val="00773CEC"/>
    <w:rsid w:val="00774481"/>
    <w:rsid w:val="00780BC7"/>
    <w:rsid w:val="00780FB1"/>
    <w:rsid w:val="007A63DE"/>
    <w:rsid w:val="007C1C83"/>
    <w:rsid w:val="007C310E"/>
    <w:rsid w:val="007C45CF"/>
    <w:rsid w:val="007C4E16"/>
    <w:rsid w:val="007C5615"/>
    <w:rsid w:val="007E4B1A"/>
    <w:rsid w:val="00803B84"/>
    <w:rsid w:val="00806DF5"/>
    <w:rsid w:val="00807BAB"/>
    <w:rsid w:val="00810803"/>
    <w:rsid w:val="00810CF7"/>
    <w:rsid w:val="008115AF"/>
    <w:rsid w:val="0081789C"/>
    <w:rsid w:val="008248AF"/>
    <w:rsid w:val="008305AA"/>
    <w:rsid w:val="0083141F"/>
    <w:rsid w:val="0083458A"/>
    <w:rsid w:val="00835DB1"/>
    <w:rsid w:val="00836866"/>
    <w:rsid w:val="008369CF"/>
    <w:rsid w:val="00846C04"/>
    <w:rsid w:val="0085107B"/>
    <w:rsid w:val="0085171F"/>
    <w:rsid w:val="00860097"/>
    <w:rsid w:val="00861D4A"/>
    <w:rsid w:val="00864168"/>
    <w:rsid w:val="0086522B"/>
    <w:rsid w:val="00867133"/>
    <w:rsid w:val="00870C58"/>
    <w:rsid w:val="00881CA8"/>
    <w:rsid w:val="00890DF5"/>
    <w:rsid w:val="008934A9"/>
    <w:rsid w:val="008952BF"/>
    <w:rsid w:val="00896194"/>
    <w:rsid w:val="008A343D"/>
    <w:rsid w:val="008B2390"/>
    <w:rsid w:val="008B70B3"/>
    <w:rsid w:val="008C0E89"/>
    <w:rsid w:val="008C274F"/>
    <w:rsid w:val="008C4A3C"/>
    <w:rsid w:val="008C6C29"/>
    <w:rsid w:val="008C77A5"/>
    <w:rsid w:val="008D2EA9"/>
    <w:rsid w:val="008D5540"/>
    <w:rsid w:val="008E0009"/>
    <w:rsid w:val="008F2338"/>
    <w:rsid w:val="008F54C6"/>
    <w:rsid w:val="00904619"/>
    <w:rsid w:val="00912099"/>
    <w:rsid w:val="00913197"/>
    <w:rsid w:val="00925856"/>
    <w:rsid w:val="009261A7"/>
    <w:rsid w:val="00934198"/>
    <w:rsid w:val="00937A22"/>
    <w:rsid w:val="00937B9A"/>
    <w:rsid w:val="009564DA"/>
    <w:rsid w:val="0096044F"/>
    <w:rsid w:val="0097143A"/>
    <w:rsid w:val="009721EF"/>
    <w:rsid w:val="00991277"/>
    <w:rsid w:val="00993C4B"/>
    <w:rsid w:val="009A093C"/>
    <w:rsid w:val="009B1272"/>
    <w:rsid w:val="009B188C"/>
    <w:rsid w:val="009B2A28"/>
    <w:rsid w:val="009B604E"/>
    <w:rsid w:val="009C1B0C"/>
    <w:rsid w:val="009C6C81"/>
    <w:rsid w:val="009D06A7"/>
    <w:rsid w:val="009D3B97"/>
    <w:rsid w:val="009D55C5"/>
    <w:rsid w:val="009E202F"/>
    <w:rsid w:val="009E6345"/>
    <w:rsid w:val="009E71DE"/>
    <w:rsid w:val="009E7B8D"/>
    <w:rsid w:val="00A01F33"/>
    <w:rsid w:val="00A06552"/>
    <w:rsid w:val="00A069C2"/>
    <w:rsid w:val="00A13A40"/>
    <w:rsid w:val="00A1450C"/>
    <w:rsid w:val="00A27F22"/>
    <w:rsid w:val="00A330B6"/>
    <w:rsid w:val="00A33362"/>
    <w:rsid w:val="00A355FB"/>
    <w:rsid w:val="00A377E1"/>
    <w:rsid w:val="00A4444E"/>
    <w:rsid w:val="00A46236"/>
    <w:rsid w:val="00A6684C"/>
    <w:rsid w:val="00A71063"/>
    <w:rsid w:val="00A727A4"/>
    <w:rsid w:val="00A81F47"/>
    <w:rsid w:val="00A93501"/>
    <w:rsid w:val="00AA3055"/>
    <w:rsid w:val="00AB0029"/>
    <w:rsid w:val="00AB7798"/>
    <w:rsid w:val="00AC00AD"/>
    <w:rsid w:val="00AC0DBD"/>
    <w:rsid w:val="00AC133B"/>
    <w:rsid w:val="00AC2972"/>
    <w:rsid w:val="00AC460A"/>
    <w:rsid w:val="00AD3EE0"/>
    <w:rsid w:val="00AE61EC"/>
    <w:rsid w:val="00AF37DB"/>
    <w:rsid w:val="00B00525"/>
    <w:rsid w:val="00B14D2D"/>
    <w:rsid w:val="00B16813"/>
    <w:rsid w:val="00B171F7"/>
    <w:rsid w:val="00B2032B"/>
    <w:rsid w:val="00B20BA6"/>
    <w:rsid w:val="00B27336"/>
    <w:rsid w:val="00B411CC"/>
    <w:rsid w:val="00B415AA"/>
    <w:rsid w:val="00B46F40"/>
    <w:rsid w:val="00B52396"/>
    <w:rsid w:val="00B62C03"/>
    <w:rsid w:val="00B65C00"/>
    <w:rsid w:val="00B72037"/>
    <w:rsid w:val="00B72249"/>
    <w:rsid w:val="00B772C6"/>
    <w:rsid w:val="00B82E51"/>
    <w:rsid w:val="00B83523"/>
    <w:rsid w:val="00BA2980"/>
    <w:rsid w:val="00BA3495"/>
    <w:rsid w:val="00BA42D4"/>
    <w:rsid w:val="00BB0C29"/>
    <w:rsid w:val="00BB21CA"/>
    <w:rsid w:val="00BB2620"/>
    <w:rsid w:val="00BC4ED9"/>
    <w:rsid w:val="00BC75FE"/>
    <w:rsid w:val="00BD3E02"/>
    <w:rsid w:val="00BD5334"/>
    <w:rsid w:val="00BD646E"/>
    <w:rsid w:val="00BE529B"/>
    <w:rsid w:val="00BF3C34"/>
    <w:rsid w:val="00BF4021"/>
    <w:rsid w:val="00C00D1E"/>
    <w:rsid w:val="00C01C03"/>
    <w:rsid w:val="00C026F4"/>
    <w:rsid w:val="00C030DA"/>
    <w:rsid w:val="00C05F43"/>
    <w:rsid w:val="00C07A2F"/>
    <w:rsid w:val="00C209A8"/>
    <w:rsid w:val="00C2258D"/>
    <w:rsid w:val="00C22719"/>
    <w:rsid w:val="00C3487C"/>
    <w:rsid w:val="00C36D59"/>
    <w:rsid w:val="00C37E94"/>
    <w:rsid w:val="00C37F73"/>
    <w:rsid w:val="00C416C4"/>
    <w:rsid w:val="00C473A3"/>
    <w:rsid w:val="00C57438"/>
    <w:rsid w:val="00C57F6B"/>
    <w:rsid w:val="00C6425A"/>
    <w:rsid w:val="00C94083"/>
    <w:rsid w:val="00C96857"/>
    <w:rsid w:val="00CB1581"/>
    <w:rsid w:val="00CB6BA6"/>
    <w:rsid w:val="00CC0D98"/>
    <w:rsid w:val="00CC153B"/>
    <w:rsid w:val="00CC3BD1"/>
    <w:rsid w:val="00CC3DDD"/>
    <w:rsid w:val="00CE27BB"/>
    <w:rsid w:val="00CE4DF3"/>
    <w:rsid w:val="00CE74F8"/>
    <w:rsid w:val="00CF0F4D"/>
    <w:rsid w:val="00CF32A8"/>
    <w:rsid w:val="00CF3855"/>
    <w:rsid w:val="00D02C3B"/>
    <w:rsid w:val="00D03D61"/>
    <w:rsid w:val="00D04AD7"/>
    <w:rsid w:val="00D138A9"/>
    <w:rsid w:val="00D22BCE"/>
    <w:rsid w:val="00D26D9B"/>
    <w:rsid w:val="00D320F3"/>
    <w:rsid w:val="00D326E5"/>
    <w:rsid w:val="00D33734"/>
    <w:rsid w:val="00D35DF9"/>
    <w:rsid w:val="00D41A18"/>
    <w:rsid w:val="00D60943"/>
    <w:rsid w:val="00D62024"/>
    <w:rsid w:val="00D6458B"/>
    <w:rsid w:val="00D7193C"/>
    <w:rsid w:val="00D77873"/>
    <w:rsid w:val="00D97518"/>
    <w:rsid w:val="00DA2789"/>
    <w:rsid w:val="00DB6DBD"/>
    <w:rsid w:val="00DD7815"/>
    <w:rsid w:val="00DE151B"/>
    <w:rsid w:val="00DE1D6D"/>
    <w:rsid w:val="00DE3CEA"/>
    <w:rsid w:val="00E02658"/>
    <w:rsid w:val="00E17BF7"/>
    <w:rsid w:val="00E3598D"/>
    <w:rsid w:val="00E377F8"/>
    <w:rsid w:val="00E50BC9"/>
    <w:rsid w:val="00E6285C"/>
    <w:rsid w:val="00E708D3"/>
    <w:rsid w:val="00E73972"/>
    <w:rsid w:val="00E75184"/>
    <w:rsid w:val="00E9177F"/>
    <w:rsid w:val="00E95FF4"/>
    <w:rsid w:val="00EA28ED"/>
    <w:rsid w:val="00EA498E"/>
    <w:rsid w:val="00EB2EE3"/>
    <w:rsid w:val="00EB623B"/>
    <w:rsid w:val="00EC4498"/>
    <w:rsid w:val="00EC5063"/>
    <w:rsid w:val="00EC557B"/>
    <w:rsid w:val="00ED202E"/>
    <w:rsid w:val="00EF3CC8"/>
    <w:rsid w:val="00F10961"/>
    <w:rsid w:val="00F110F4"/>
    <w:rsid w:val="00F23D53"/>
    <w:rsid w:val="00F25CDC"/>
    <w:rsid w:val="00F3045D"/>
    <w:rsid w:val="00F37D9E"/>
    <w:rsid w:val="00F42973"/>
    <w:rsid w:val="00F43DBF"/>
    <w:rsid w:val="00F52A9E"/>
    <w:rsid w:val="00F5339B"/>
    <w:rsid w:val="00F608C7"/>
    <w:rsid w:val="00F61F94"/>
    <w:rsid w:val="00F6235E"/>
    <w:rsid w:val="00F6681B"/>
    <w:rsid w:val="00F67C1F"/>
    <w:rsid w:val="00F71184"/>
    <w:rsid w:val="00F714F5"/>
    <w:rsid w:val="00F71680"/>
    <w:rsid w:val="00F735D2"/>
    <w:rsid w:val="00F73828"/>
    <w:rsid w:val="00F80F82"/>
    <w:rsid w:val="00F83EC3"/>
    <w:rsid w:val="00F84A86"/>
    <w:rsid w:val="00F8523D"/>
    <w:rsid w:val="00F87AC5"/>
    <w:rsid w:val="00F95F5B"/>
    <w:rsid w:val="00FA01E9"/>
    <w:rsid w:val="00FA248C"/>
    <w:rsid w:val="00FB0E2A"/>
    <w:rsid w:val="00FC126C"/>
    <w:rsid w:val="00FC7A15"/>
    <w:rsid w:val="00FD3EF5"/>
    <w:rsid w:val="00FD4CA1"/>
    <w:rsid w:val="00FD7391"/>
    <w:rsid w:val="00FE45A9"/>
    <w:rsid w:val="00FE5CF9"/>
    <w:rsid w:val="00FE64EA"/>
    <w:rsid w:val="00FF377C"/>
    <w:rsid w:val="00FF4B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1E8"/>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304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rsid w:val="00F110F4"/>
    <w:pPr>
      <w:ind w:left="360"/>
    </w:pPr>
    <w:rPr>
      <w:lang w:val="ro-MO"/>
    </w:rPr>
  </w:style>
  <w:style w:type="paragraph" w:styleId="Textbloc">
    <w:name w:val="Block Text"/>
    <w:basedOn w:val="Normal"/>
    <w:rsid w:val="00A93501"/>
    <w:pPr>
      <w:autoSpaceDE w:val="0"/>
      <w:autoSpaceDN w:val="0"/>
      <w:adjustRightInd w:val="0"/>
      <w:spacing w:line="240" w:lineRule="atLeast"/>
      <w:ind w:left="360" w:right="72" w:firstLine="360"/>
      <w:jc w:val="both"/>
    </w:pPr>
    <w:rPr>
      <w:color w:val="000000"/>
      <w:lang w:val="ro-MO"/>
    </w:rPr>
  </w:style>
  <w:style w:type="paragraph" w:styleId="TextnBalon">
    <w:name w:val="Balloon Text"/>
    <w:basedOn w:val="Normal"/>
    <w:semiHidden/>
    <w:rsid w:val="008B70B3"/>
    <w:rPr>
      <w:rFonts w:ascii="Tahoma" w:hAnsi="Tahoma" w:cs="Tahoma"/>
      <w:sz w:val="16"/>
      <w:szCs w:val="16"/>
    </w:rPr>
  </w:style>
  <w:style w:type="paragraph" w:styleId="PreformatatHTML">
    <w:name w:val="HTML Preformatted"/>
    <w:basedOn w:val="Normal"/>
    <w:rsid w:val="00F3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docheader">
    <w:name w:val="doc_header"/>
    <w:basedOn w:val="Fontdeparagrafimplicit"/>
    <w:rsid w:val="00416E13"/>
  </w:style>
  <w:style w:type="paragraph" w:styleId="Frspaiere">
    <w:name w:val="No Spacing"/>
    <w:uiPriority w:val="1"/>
    <w:qFormat/>
    <w:rsid w:val="00B83523"/>
    <w:rPr>
      <w:rFonts w:ascii="Calibri" w:eastAsia="Calibri" w:hAnsi="Calibri"/>
      <w:sz w:val="22"/>
      <w:szCs w:val="22"/>
      <w:lang w:val="ru-RU" w:eastAsia="en-US"/>
    </w:rPr>
  </w:style>
  <w:style w:type="paragraph" w:styleId="NormalWeb">
    <w:name w:val="Normal (Web)"/>
    <w:basedOn w:val="Normal"/>
    <w:uiPriority w:val="99"/>
    <w:unhideWhenUsed/>
    <w:rsid w:val="00540ECF"/>
    <w:pPr>
      <w:ind w:firstLine="567"/>
      <w:jc w:val="both"/>
    </w:pPr>
    <w:rPr>
      <w:lang w:val="ro-RO" w:eastAsia="ro-RO"/>
    </w:rPr>
  </w:style>
  <w:style w:type="paragraph" w:styleId="Listparagraf">
    <w:name w:val="List Paragraph"/>
    <w:basedOn w:val="Normal"/>
    <w:uiPriority w:val="34"/>
    <w:qFormat/>
    <w:rsid w:val="000A791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7482">
      <w:bodyDiv w:val="1"/>
      <w:marLeft w:val="0"/>
      <w:marRight w:val="0"/>
      <w:marTop w:val="0"/>
      <w:marBottom w:val="0"/>
      <w:divBdr>
        <w:top w:val="none" w:sz="0" w:space="0" w:color="auto"/>
        <w:left w:val="none" w:sz="0" w:space="0" w:color="auto"/>
        <w:bottom w:val="none" w:sz="0" w:space="0" w:color="auto"/>
        <w:right w:val="none" w:sz="0" w:space="0" w:color="auto"/>
      </w:divBdr>
    </w:div>
    <w:div w:id="1095632951">
      <w:bodyDiv w:val="1"/>
      <w:marLeft w:val="0"/>
      <w:marRight w:val="0"/>
      <w:marTop w:val="0"/>
      <w:marBottom w:val="0"/>
      <w:divBdr>
        <w:top w:val="none" w:sz="0" w:space="0" w:color="auto"/>
        <w:left w:val="none" w:sz="0" w:space="0" w:color="auto"/>
        <w:bottom w:val="none" w:sz="0" w:space="0" w:color="auto"/>
        <w:right w:val="none" w:sz="0" w:space="0" w:color="auto"/>
      </w:divBdr>
      <w:divsChild>
        <w:div w:id="131948592">
          <w:marLeft w:val="0"/>
          <w:marRight w:val="0"/>
          <w:marTop w:val="0"/>
          <w:marBottom w:val="0"/>
          <w:divBdr>
            <w:top w:val="none" w:sz="0" w:space="0" w:color="auto"/>
            <w:left w:val="none" w:sz="0" w:space="0" w:color="auto"/>
            <w:bottom w:val="none" w:sz="0" w:space="0" w:color="auto"/>
            <w:right w:val="none" w:sz="0" w:space="0" w:color="auto"/>
          </w:divBdr>
        </w:div>
      </w:divsChild>
    </w:div>
    <w:div w:id="1182284250">
      <w:bodyDiv w:val="1"/>
      <w:marLeft w:val="0"/>
      <w:marRight w:val="0"/>
      <w:marTop w:val="0"/>
      <w:marBottom w:val="0"/>
      <w:divBdr>
        <w:top w:val="none" w:sz="0" w:space="0" w:color="auto"/>
        <w:left w:val="none" w:sz="0" w:space="0" w:color="auto"/>
        <w:bottom w:val="none" w:sz="0" w:space="0" w:color="auto"/>
        <w:right w:val="none" w:sz="0" w:space="0" w:color="auto"/>
      </w:divBdr>
    </w:div>
    <w:div w:id="1250431486">
      <w:bodyDiv w:val="1"/>
      <w:marLeft w:val="0"/>
      <w:marRight w:val="0"/>
      <w:marTop w:val="0"/>
      <w:marBottom w:val="0"/>
      <w:divBdr>
        <w:top w:val="none" w:sz="0" w:space="0" w:color="auto"/>
        <w:left w:val="none" w:sz="0" w:space="0" w:color="auto"/>
        <w:bottom w:val="none" w:sz="0" w:space="0" w:color="auto"/>
        <w:right w:val="none" w:sz="0" w:space="0" w:color="auto"/>
      </w:divBdr>
    </w:div>
    <w:div w:id="1685670110">
      <w:bodyDiv w:val="1"/>
      <w:marLeft w:val="0"/>
      <w:marRight w:val="0"/>
      <w:marTop w:val="0"/>
      <w:marBottom w:val="0"/>
      <w:divBdr>
        <w:top w:val="none" w:sz="0" w:space="0" w:color="auto"/>
        <w:left w:val="none" w:sz="0" w:space="0" w:color="auto"/>
        <w:bottom w:val="none" w:sz="0" w:space="0" w:color="auto"/>
        <w:right w:val="none" w:sz="0" w:space="0" w:color="auto"/>
      </w:divBdr>
      <w:divsChild>
        <w:div w:id="720902222">
          <w:marLeft w:val="0"/>
          <w:marRight w:val="0"/>
          <w:marTop w:val="0"/>
          <w:marBottom w:val="0"/>
          <w:divBdr>
            <w:top w:val="none" w:sz="0" w:space="0" w:color="auto"/>
            <w:left w:val="none" w:sz="0" w:space="0" w:color="auto"/>
            <w:bottom w:val="none" w:sz="0" w:space="0" w:color="auto"/>
            <w:right w:val="none" w:sz="0" w:space="0" w:color="auto"/>
          </w:divBdr>
        </w:div>
      </w:divsChild>
    </w:div>
    <w:div w:id="1702196088">
      <w:bodyDiv w:val="1"/>
      <w:marLeft w:val="0"/>
      <w:marRight w:val="0"/>
      <w:marTop w:val="0"/>
      <w:marBottom w:val="0"/>
      <w:divBdr>
        <w:top w:val="none" w:sz="0" w:space="0" w:color="auto"/>
        <w:left w:val="none" w:sz="0" w:space="0" w:color="auto"/>
        <w:bottom w:val="none" w:sz="0" w:space="0" w:color="auto"/>
        <w:right w:val="none" w:sz="0" w:space="0" w:color="auto"/>
      </w:divBdr>
    </w:div>
    <w:div w:id="17225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2266</Words>
  <Characters>13149</Characters>
  <Application>Microsoft Office Word</Application>
  <DocSecurity>0</DocSecurity>
  <Lines>109</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L I S T A</vt:lpstr>
      <vt:lpstr>L I S T A</vt:lpstr>
    </vt:vector>
  </TitlesOfParts>
  <Company>NoOnE</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I S T A</dc:title>
  <dc:subject/>
  <dc:creator>Utilizator PC</dc:creator>
  <cp:keywords/>
  <dc:description/>
  <cp:lastModifiedBy>Rodica</cp:lastModifiedBy>
  <cp:revision>11</cp:revision>
  <cp:lastPrinted>2014-04-01T08:02:00Z</cp:lastPrinted>
  <dcterms:created xsi:type="dcterms:W3CDTF">2014-02-13T13:41:00Z</dcterms:created>
  <dcterms:modified xsi:type="dcterms:W3CDTF">2014-04-01T08:04:00Z</dcterms:modified>
</cp:coreProperties>
</file>