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9C6" w:rsidRPr="007747BD" w:rsidRDefault="0062238C" w:rsidP="00F029C6">
      <w:pPr>
        <w:tabs>
          <w:tab w:val="left" w:pos="6213"/>
          <w:tab w:val="center" w:pos="6782"/>
        </w:tabs>
        <w:jc w:val="center"/>
        <w:rPr>
          <w:b/>
          <w:lang w:val="ro-RO"/>
        </w:rPr>
      </w:pPr>
      <w:r w:rsidRPr="007747BD">
        <w:rPr>
          <w:b/>
          <w:lang w:val="ro-RO"/>
        </w:rPr>
        <w:t>SINTEZA</w:t>
      </w:r>
    </w:p>
    <w:p w:rsidR="00F029C6" w:rsidRPr="007747BD" w:rsidRDefault="0062238C" w:rsidP="00F029C6">
      <w:pPr>
        <w:pStyle w:val="a3"/>
        <w:jc w:val="center"/>
        <w:rPr>
          <w:b/>
          <w:lang w:val="ro-RO"/>
        </w:rPr>
      </w:pPr>
      <w:r w:rsidRPr="007747BD">
        <w:rPr>
          <w:b/>
          <w:lang w:val="ro-RO"/>
        </w:rPr>
        <w:t xml:space="preserve">propunerilor și </w:t>
      </w:r>
      <w:r w:rsidR="00F029C6" w:rsidRPr="007747BD">
        <w:rPr>
          <w:b/>
          <w:lang w:val="ro-RO"/>
        </w:rPr>
        <w:t xml:space="preserve">obiecţiilor la proiectul Legii de modificare şi completarea unor acte legislative prezentate de autorităţile şi instituţiile interesate </w:t>
      </w:r>
    </w:p>
    <w:p w:rsidR="001969AD" w:rsidRPr="007747BD" w:rsidRDefault="001969AD" w:rsidP="00F029C6">
      <w:pPr>
        <w:jc w:val="center"/>
        <w:rPr>
          <w:lang w:val="ro-RO"/>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1336"/>
        <w:gridCol w:w="1789"/>
        <w:gridCol w:w="5261"/>
        <w:gridCol w:w="1768"/>
        <w:gridCol w:w="61"/>
        <w:gridCol w:w="3661"/>
      </w:tblGrid>
      <w:tr w:rsidR="008474FE" w:rsidRPr="008474FE" w:rsidTr="00780294">
        <w:tc>
          <w:tcPr>
            <w:tcW w:w="1150" w:type="dxa"/>
          </w:tcPr>
          <w:p w:rsidR="00F029C6" w:rsidRPr="008474FE" w:rsidRDefault="00F029C6" w:rsidP="00780294">
            <w:pPr>
              <w:pStyle w:val="a3"/>
              <w:ind w:left="-108" w:firstLine="108"/>
              <w:jc w:val="center"/>
              <w:rPr>
                <w:b/>
                <w:lang w:val="ro-RO"/>
              </w:rPr>
            </w:pPr>
            <w:r w:rsidRPr="008474FE">
              <w:rPr>
                <w:lang w:val="ro-RO"/>
              </w:rPr>
              <w:t>Nr. d/o</w:t>
            </w:r>
          </w:p>
        </w:tc>
        <w:tc>
          <w:tcPr>
            <w:tcW w:w="1336" w:type="dxa"/>
          </w:tcPr>
          <w:p w:rsidR="00F029C6" w:rsidRPr="008474FE" w:rsidRDefault="00F029C6" w:rsidP="00780294">
            <w:pPr>
              <w:pStyle w:val="a3"/>
              <w:jc w:val="center"/>
              <w:rPr>
                <w:b/>
                <w:lang w:val="ro-RO"/>
              </w:rPr>
            </w:pPr>
            <w:r w:rsidRPr="008474FE">
              <w:rPr>
                <w:lang w:val="ro-RO"/>
              </w:rPr>
              <w:t>Punctul</w:t>
            </w:r>
          </w:p>
        </w:tc>
        <w:tc>
          <w:tcPr>
            <w:tcW w:w="1789" w:type="dxa"/>
          </w:tcPr>
          <w:p w:rsidR="00F029C6" w:rsidRPr="008474FE" w:rsidRDefault="00F029C6" w:rsidP="00780294">
            <w:pPr>
              <w:pStyle w:val="a3"/>
              <w:jc w:val="center"/>
              <w:rPr>
                <w:b/>
                <w:lang w:val="ro-RO"/>
              </w:rPr>
            </w:pPr>
            <w:r w:rsidRPr="008474FE">
              <w:rPr>
                <w:lang w:val="ro-RO"/>
              </w:rPr>
              <w:t>Denumirea organizaţiei</w:t>
            </w:r>
          </w:p>
        </w:tc>
        <w:tc>
          <w:tcPr>
            <w:tcW w:w="5261" w:type="dxa"/>
          </w:tcPr>
          <w:p w:rsidR="00F029C6" w:rsidRPr="008474FE" w:rsidRDefault="00F029C6" w:rsidP="00780294">
            <w:pPr>
              <w:pStyle w:val="a3"/>
              <w:jc w:val="center"/>
              <w:rPr>
                <w:b/>
                <w:lang w:val="ro-RO"/>
              </w:rPr>
            </w:pPr>
            <w:r w:rsidRPr="008474FE">
              <w:rPr>
                <w:lang w:val="ro-RO"/>
              </w:rPr>
              <w:t>Obiecţii şi propuneri</w:t>
            </w:r>
          </w:p>
        </w:tc>
        <w:tc>
          <w:tcPr>
            <w:tcW w:w="1829" w:type="dxa"/>
            <w:gridSpan w:val="2"/>
          </w:tcPr>
          <w:p w:rsidR="00F029C6" w:rsidRPr="008474FE" w:rsidRDefault="00F029C6" w:rsidP="00780294">
            <w:pPr>
              <w:pStyle w:val="a3"/>
              <w:jc w:val="center"/>
              <w:rPr>
                <w:b/>
                <w:lang w:val="ro-RO"/>
              </w:rPr>
            </w:pPr>
            <w:r w:rsidRPr="008474FE">
              <w:rPr>
                <w:lang w:val="ro-RO"/>
              </w:rPr>
              <w:t>Date despre acceptare</w:t>
            </w:r>
          </w:p>
        </w:tc>
        <w:tc>
          <w:tcPr>
            <w:tcW w:w="3661" w:type="dxa"/>
          </w:tcPr>
          <w:p w:rsidR="00F029C6" w:rsidRPr="008474FE" w:rsidRDefault="00F029C6" w:rsidP="00780294">
            <w:pPr>
              <w:pStyle w:val="a3"/>
              <w:jc w:val="center"/>
              <w:rPr>
                <w:b/>
                <w:lang w:val="ro-RO"/>
              </w:rPr>
            </w:pPr>
            <w:r w:rsidRPr="008474FE">
              <w:rPr>
                <w:lang w:val="ro-RO"/>
              </w:rPr>
              <w:t>Argumente</w:t>
            </w:r>
          </w:p>
        </w:tc>
      </w:tr>
      <w:tr w:rsidR="008474FE" w:rsidRPr="008474FE" w:rsidTr="00C66183">
        <w:trPr>
          <w:trHeight w:val="440"/>
        </w:trPr>
        <w:tc>
          <w:tcPr>
            <w:tcW w:w="15026" w:type="dxa"/>
            <w:gridSpan w:val="7"/>
          </w:tcPr>
          <w:p w:rsidR="00F029C6" w:rsidRPr="008474FE" w:rsidRDefault="00F029C6" w:rsidP="00780294">
            <w:pPr>
              <w:pStyle w:val="a3"/>
              <w:jc w:val="center"/>
              <w:rPr>
                <w:lang w:val="ro-RO"/>
              </w:rPr>
            </w:pPr>
            <w:r w:rsidRPr="008474FE">
              <w:rPr>
                <w:b/>
                <w:lang w:val="ro-RO"/>
              </w:rPr>
              <w:t>La proiectul Legii de modificare şi completarea unor acte legislative</w:t>
            </w:r>
          </w:p>
        </w:tc>
      </w:tr>
      <w:tr w:rsidR="008474FE" w:rsidRPr="008474FE" w:rsidTr="00780294">
        <w:tc>
          <w:tcPr>
            <w:tcW w:w="1150" w:type="dxa"/>
          </w:tcPr>
          <w:p w:rsidR="0096106F" w:rsidRPr="008474FE" w:rsidRDefault="0096106F" w:rsidP="00780294">
            <w:pPr>
              <w:pStyle w:val="a3"/>
              <w:numPr>
                <w:ilvl w:val="0"/>
                <w:numId w:val="2"/>
              </w:numPr>
              <w:tabs>
                <w:tab w:val="left" w:pos="352"/>
              </w:tabs>
              <w:jc w:val="center"/>
              <w:rPr>
                <w:lang w:val="ro-RO"/>
              </w:rPr>
            </w:pPr>
          </w:p>
        </w:tc>
        <w:tc>
          <w:tcPr>
            <w:tcW w:w="1336" w:type="dxa"/>
          </w:tcPr>
          <w:p w:rsidR="0096106F" w:rsidRPr="008474FE" w:rsidRDefault="0096106F" w:rsidP="00780294">
            <w:pPr>
              <w:pStyle w:val="a8"/>
              <w:tabs>
                <w:tab w:val="center" w:pos="4844"/>
                <w:tab w:val="right" w:pos="9689"/>
              </w:tabs>
              <w:ind w:left="0"/>
              <w:jc w:val="center"/>
              <w:rPr>
                <w:szCs w:val="24"/>
                <w:lang w:val="ro-RO" w:eastAsia="en-US"/>
              </w:rPr>
            </w:pPr>
            <w:r w:rsidRPr="008474FE">
              <w:rPr>
                <w:szCs w:val="24"/>
                <w:lang w:val="ro-RO" w:eastAsia="en-US"/>
              </w:rPr>
              <w:t>Art. I</w:t>
            </w:r>
          </w:p>
          <w:p w:rsidR="0096106F" w:rsidRPr="008474FE" w:rsidRDefault="0096106F" w:rsidP="00780294">
            <w:pPr>
              <w:pStyle w:val="a8"/>
              <w:tabs>
                <w:tab w:val="center" w:pos="4844"/>
                <w:tab w:val="right" w:pos="9689"/>
              </w:tabs>
              <w:ind w:left="0"/>
              <w:jc w:val="center"/>
              <w:rPr>
                <w:szCs w:val="24"/>
                <w:lang w:val="ro-RO" w:eastAsia="en-US"/>
              </w:rPr>
            </w:pPr>
          </w:p>
        </w:tc>
        <w:tc>
          <w:tcPr>
            <w:tcW w:w="1789" w:type="dxa"/>
          </w:tcPr>
          <w:p w:rsidR="0096106F" w:rsidRPr="008474FE" w:rsidRDefault="0096106F"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96106F" w:rsidRPr="008474FE" w:rsidRDefault="0096106F" w:rsidP="00780294">
            <w:pPr>
              <w:jc w:val="both"/>
              <w:rPr>
                <w:lang w:val="ro-RO" w:eastAsia="ru-RU"/>
              </w:rPr>
            </w:pPr>
            <w:r w:rsidRPr="008474FE">
              <w:rPr>
                <w:lang w:val="ro-RO"/>
              </w:rPr>
              <w:t xml:space="preserve">1. Titlul Legii </w:t>
            </w:r>
            <w:r w:rsidRPr="008474FE">
              <w:rPr>
                <w:lang w:val="ro-RO" w:eastAsia="ru-RU"/>
              </w:rPr>
              <w:t xml:space="preserve">nr. 105-XV din 13 martie 2003 privind protecția consumatorilor se va suplini cu sintagma ”și completările ulterioare”, deoarece, din data republicării, legea prenotată a fost supusă procedeului tehnic de completare. În acest sens, se vor revedea și articolele II și VII. </w:t>
            </w:r>
            <w:r w:rsidRPr="008474FE">
              <w:rPr>
                <w:lang w:val="ro-RO" w:eastAsia="ru-RU"/>
              </w:rPr>
              <w:tab/>
            </w:r>
          </w:p>
        </w:tc>
        <w:tc>
          <w:tcPr>
            <w:tcW w:w="1768" w:type="dxa"/>
          </w:tcPr>
          <w:p w:rsidR="0096106F" w:rsidRPr="008474FE" w:rsidRDefault="0096106F"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96106F" w:rsidRPr="008474FE" w:rsidRDefault="0096106F" w:rsidP="00780294">
            <w:pPr>
              <w:pStyle w:val="a8"/>
              <w:tabs>
                <w:tab w:val="center" w:pos="4844"/>
                <w:tab w:val="right" w:pos="9689"/>
              </w:tabs>
              <w:ind w:left="0"/>
              <w:rPr>
                <w:szCs w:val="24"/>
                <w:lang w:val="ro-RO" w:eastAsia="en-US"/>
              </w:rPr>
            </w:pPr>
            <w:r w:rsidRPr="008474FE">
              <w:rPr>
                <w:szCs w:val="24"/>
                <w:lang w:val="ro-RO" w:eastAsia="en-US"/>
              </w:rPr>
              <w:t>S-a redactat conform propunerii</w:t>
            </w:r>
          </w:p>
        </w:tc>
      </w:tr>
      <w:tr w:rsidR="008474FE" w:rsidRPr="008474FE" w:rsidTr="00780294">
        <w:tc>
          <w:tcPr>
            <w:tcW w:w="1150" w:type="dxa"/>
          </w:tcPr>
          <w:p w:rsidR="00EA0F8B" w:rsidRPr="008474FE" w:rsidRDefault="00EA0F8B" w:rsidP="00780294">
            <w:pPr>
              <w:pStyle w:val="a3"/>
              <w:numPr>
                <w:ilvl w:val="0"/>
                <w:numId w:val="2"/>
              </w:numPr>
              <w:tabs>
                <w:tab w:val="left" w:pos="352"/>
              </w:tabs>
              <w:jc w:val="center"/>
              <w:rPr>
                <w:lang w:val="ro-RO"/>
              </w:rPr>
            </w:pPr>
          </w:p>
        </w:tc>
        <w:tc>
          <w:tcPr>
            <w:tcW w:w="1336" w:type="dxa"/>
          </w:tcPr>
          <w:p w:rsidR="00EA0F8B" w:rsidRPr="008474FE" w:rsidRDefault="00EA0F8B" w:rsidP="00780294">
            <w:pPr>
              <w:pStyle w:val="a8"/>
              <w:tabs>
                <w:tab w:val="center" w:pos="4844"/>
                <w:tab w:val="right" w:pos="9689"/>
              </w:tabs>
              <w:ind w:left="0"/>
              <w:jc w:val="center"/>
              <w:rPr>
                <w:szCs w:val="24"/>
                <w:lang w:val="ro-RO" w:eastAsia="en-US"/>
              </w:rPr>
            </w:pPr>
            <w:r w:rsidRPr="008474FE">
              <w:rPr>
                <w:szCs w:val="24"/>
                <w:lang w:val="ro-RO" w:eastAsia="en-US"/>
              </w:rPr>
              <w:t>Art. I</w:t>
            </w:r>
          </w:p>
          <w:p w:rsidR="00EA0F8B" w:rsidRPr="008474FE" w:rsidRDefault="00EA0F8B" w:rsidP="00780294">
            <w:pPr>
              <w:pStyle w:val="a8"/>
              <w:tabs>
                <w:tab w:val="center" w:pos="4844"/>
                <w:tab w:val="right" w:pos="9689"/>
              </w:tabs>
              <w:ind w:left="0"/>
              <w:jc w:val="center"/>
              <w:rPr>
                <w:szCs w:val="24"/>
                <w:lang w:val="ro-RO" w:eastAsia="en-US"/>
              </w:rPr>
            </w:pPr>
          </w:p>
        </w:tc>
        <w:tc>
          <w:tcPr>
            <w:tcW w:w="1789" w:type="dxa"/>
          </w:tcPr>
          <w:p w:rsidR="00EA0F8B" w:rsidRPr="008474FE" w:rsidRDefault="00EA0F8B"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EA0F8B" w:rsidRPr="008474FE" w:rsidRDefault="00EA0F8B" w:rsidP="00780294">
            <w:pPr>
              <w:jc w:val="both"/>
              <w:rPr>
                <w:lang w:val="ro-RO" w:eastAsia="ru-RU"/>
              </w:rPr>
            </w:pPr>
            <w:r w:rsidRPr="008474FE">
              <w:rPr>
                <w:lang w:val="ro-RO" w:eastAsia="ru-RU"/>
              </w:rPr>
              <w:t>2. Luînd în considerație faptul că la art. I sunt prevăzute doar prevederi de modificare, sintagma „și se completează” se va exclude.</w:t>
            </w:r>
          </w:p>
          <w:p w:rsidR="00EA0F8B" w:rsidRPr="008474FE" w:rsidRDefault="00EA0F8B" w:rsidP="00780294">
            <w:pPr>
              <w:jc w:val="both"/>
              <w:rPr>
                <w:lang w:val="ro-RO" w:eastAsia="ru-RU"/>
              </w:rPr>
            </w:pPr>
            <w:r w:rsidRPr="008474FE">
              <w:rPr>
                <w:lang w:val="ro-RO" w:eastAsia="ru-RU"/>
              </w:rPr>
              <w:tab/>
              <w:t>2. În cuprinsul proiectului legii, pentru formularea coerentă a dispozițiilor de modificare, cuvîntul „cuvintele” se va substitui cu cuvîntul „sintagma”.</w:t>
            </w:r>
          </w:p>
        </w:tc>
        <w:tc>
          <w:tcPr>
            <w:tcW w:w="1768" w:type="dxa"/>
          </w:tcPr>
          <w:p w:rsidR="00EA0F8B" w:rsidRPr="008474FE" w:rsidRDefault="00EA0F8B"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EA0F8B" w:rsidRPr="008474FE" w:rsidRDefault="00EA0F8B" w:rsidP="00780294">
            <w:pPr>
              <w:pStyle w:val="a8"/>
              <w:tabs>
                <w:tab w:val="center" w:pos="4844"/>
                <w:tab w:val="right" w:pos="9689"/>
              </w:tabs>
              <w:ind w:left="0"/>
              <w:rPr>
                <w:szCs w:val="24"/>
                <w:lang w:val="ro-RO" w:eastAsia="en-US"/>
              </w:rPr>
            </w:pPr>
            <w:r w:rsidRPr="008474FE">
              <w:rPr>
                <w:szCs w:val="24"/>
                <w:lang w:val="ro-RO" w:eastAsia="en-US"/>
              </w:rPr>
              <w:t>S-a red</w:t>
            </w:r>
            <w:bookmarkStart w:id="0" w:name="_GoBack"/>
            <w:bookmarkEnd w:id="0"/>
            <w:r w:rsidRPr="008474FE">
              <w:rPr>
                <w:szCs w:val="24"/>
                <w:lang w:val="ro-RO" w:eastAsia="en-US"/>
              </w:rPr>
              <w:t>actat conform propunerii</w:t>
            </w:r>
          </w:p>
        </w:tc>
      </w:tr>
      <w:tr w:rsidR="008474FE" w:rsidRPr="008474FE" w:rsidTr="00780294">
        <w:tc>
          <w:tcPr>
            <w:tcW w:w="1150" w:type="dxa"/>
          </w:tcPr>
          <w:p w:rsidR="008474FE" w:rsidRPr="008474FE" w:rsidRDefault="008474FE" w:rsidP="00780294">
            <w:pPr>
              <w:pStyle w:val="a3"/>
              <w:numPr>
                <w:ilvl w:val="0"/>
                <w:numId w:val="2"/>
              </w:numPr>
              <w:tabs>
                <w:tab w:val="left" w:pos="352"/>
              </w:tabs>
              <w:jc w:val="center"/>
              <w:rPr>
                <w:lang w:val="ro-RO"/>
              </w:rPr>
            </w:pPr>
          </w:p>
        </w:tc>
        <w:tc>
          <w:tcPr>
            <w:tcW w:w="1336" w:type="dxa"/>
          </w:tcPr>
          <w:p w:rsidR="008474FE" w:rsidRPr="008474FE" w:rsidRDefault="008474FE" w:rsidP="008474FE">
            <w:pPr>
              <w:pStyle w:val="a8"/>
              <w:tabs>
                <w:tab w:val="center" w:pos="4844"/>
                <w:tab w:val="right" w:pos="9689"/>
              </w:tabs>
              <w:ind w:left="0"/>
              <w:jc w:val="center"/>
              <w:rPr>
                <w:szCs w:val="24"/>
                <w:lang w:val="ro-RO" w:eastAsia="en-US"/>
              </w:rPr>
            </w:pPr>
            <w:r w:rsidRPr="008474FE">
              <w:rPr>
                <w:szCs w:val="24"/>
                <w:lang w:val="ro-RO" w:eastAsia="en-US"/>
              </w:rPr>
              <w:t>Art. I</w:t>
            </w:r>
          </w:p>
          <w:p w:rsidR="008474FE" w:rsidRPr="008474FE" w:rsidRDefault="008474FE" w:rsidP="00780294">
            <w:pPr>
              <w:pStyle w:val="a8"/>
              <w:tabs>
                <w:tab w:val="center" w:pos="4844"/>
                <w:tab w:val="right" w:pos="9689"/>
              </w:tabs>
              <w:ind w:left="0"/>
              <w:jc w:val="center"/>
              <w:rPr>
                <w:szCs w:val="24"/>
                <w:lang w:val="ro-RO" w:eastAsia="en-US"/>
              </w:rPr>
            </w:pPr>
          </w:p>
        </w:tc>
        <w:tc>
          <w:tcPr>
            <w:tcW w:w="1789" w:type="dxa"/>
          </w:tcPr>
          <w:p w:rsidR="008474FE" w:rsidRPr="008474FE" w:rsidRDefault="008474FE" w:rsidP="00780294">
            <w:pPr>
              <w:pStyle w:val="a8"/>
              <w:tabs>
                <w:tab w:val="center" w:pos="4844"/>
                <w:tab w:val="right" w:pos="9689"/>
              </w:tabs>
              <w:ind w:left="0"/>
              <w:rPr>
                <w:szCs w:val="24"/>
                <w:lang w:val="ro-RO" w:eastAsia="en-US"/>
              </w:rPr>
            </w:pPr>
            <w:r w:rsidRPr="008474FE">
              <w:rPr>
                <w:lang w:val="ro-RO"/>
              </w:rPr>
              <w:t>Agenția pentru Protecția Consumatorilor</w:t>
            </w:r>
          </w:p>
        </w:tc>
        <w:tc>
          <w:tcPr>
            <w:tcW w:w="5261" w:type="dxa"/>
          </w:tcPr>
          <w:p w:rsidR="008474FE" w:rsidRPr="008474FE" w:rsidRDefault="008474FE" w:rsidP="008474FE">
            <w:pPr>
              <w:pStyle w:val="ad"/>
              <w:tabs>
                <w:tab w:val="left" w:pos="360"/>
              </w:tabs>
              <w:ind w:left="-378" w:right="72"/>
              <w:jc w:val="both"/>
              <w:rPr>
                <w:szCs w:val="24"/>
                <w:lang w:val="ro-RO"/>
              </w:rPr>
            </w:pPr>
            <w:r w:rsidRPr="008474FE">
              <w:rPr>
                <w:sz w:val="28"/>
                <w:szCs w:val="28"/>
                <w:lang w:val="ro-RO"/>
              </w:rPr>
              <w:t xml:space="preserve">la </w:t>
            </w:r>
            <w:r w:rsidRPr="008474FE">
              <w:rPr>
                <w:szCs w:val="24"/>
                <w:lang w:val="ro-RO"/>
              </w:rPr>
              <w:t>art. 1, la noţiunea de viciu ascuns de înlocuit cuvîntul „</w:t>
            </w:r>
            <w:r w:rsidRPr="008474FE">
              <w:rPr>
                <w:i/>
                <w:szCs w:val="24"/>
                <w:lang w:val="ro-RO"/>
              </w:rPr>
              <w:t>control</w:t>
            </w:r>
            <w:r w:rsidRPr="008474FE">
              <w:rPr>
                <w:szCs w:val="24"/>
                <w:lang w:val="ro-RO"/>
              </w:rPr>
              <w:t>” cu cuvîntul „</w:t>
            </w:r>
            <w:r w:rsidRPr="008474FE">
              <w:rPr>
                <w:i/>
                <w:szCs w:val="24"/>
                <w:lang w:val="ro-RO"/>
              </w:rPr>
              <w:t>verificare</w:t>
            </w:r>
            <w:r w:rsidRPr="008474FE">
              <w:rPr>
                <w:szCs w:val="24"/>
                <w:lang w:val="ro-RO"/>
              </w:rPr>
              <w:t>”;</w:t>
            </w:r>
          </w:p>
          <w:p w:rsidR="008474FE" w:rsidRPr="008474FE" w:rsidRDefault="008474FE" w:rsidP="00780294">
            <w:pPr>
              <w:jc w:val="both"/>
              <w:rPr>
                <w:lang w:val="ro-RO" w:eastAsia="ru-RU"/>
              </w:rPr>
            </w:pPr>
          </w:p>
        </w:tc>
        <w:tc>
          <w:tcPr>
            <w:tcW w:w="1768" w:type="dxa"/>
          </w:tcPr>
          <w:p w:rsidR="008474FE" w:rsidRPr="008474FE" w:rsidRDefault="008474FE" w:rsidP="00780294">
            <w:pPr>
              <w:pStyle w:val="a8"/>
              <w:tabs>
                <w:tab w:val="center" w:pos="4844"/>
                <w:tab w:val="right" w:pos="9689"/>
              </w:tabs>
              <w:ind w:left="0"/>
              <w:rPr>
                <w:szCs w:val="24"/>
                <w:lang w:val="ro-RO" w:eastAsia="en-US"/>
              </w:rPr>
            </w:pPr>
            <w:r w:rsidRPr="008474FE">
              <w:rPr>
                <w:lang w:val="ro-RO"/>
              </w:rPr>
              <w:t>Se acceptă</w:t>
            </w:r>
          </w:p>
        </w:tc>
        <w:tc>
          <w:tcPr>
            <w:tcW w:w="3722" w:type="dxa"/>
            <w:gridSpan w:val="2"/>
          </w:tcPr>
          <w:p w:rsidR="008474FE" w:rsidRPr="008474FE" w:rsidRDefault="008474FE" w:rsidP="00780294">
            <w:pPr>
              <w:pStyle w:val="a8"/>
              <w:tabs>
                <w:tab w:val="center" w:pos="4844"/>
                <w:tab w:val="right" w:pos="9689"/>
              </w:tabs>
              <w:ind w:left="0"/>
              <w:rPr>
                <w:szCs w:val="24"/>
                <w:lang w:val="ro-RO" w:eastAsia="en-US"/>
              </w:rPr>
            </w:pPr>
            <w:r w:rsidRPr="008474FE">
              <w:rPr>
                <w:lang w:val="ro-RO"/>
              </w:rPr>
              <w:t>S-a redactat conform propunerii</w:t>
            </w:r>
          </w:p>
        </w:tc>
      </w:tr>
      <w:tr w:rsidR="008474FE" w:rsidRPr="008474FE" w:rsidTr="00780294">
        <w:tc>
          <w:tcPr>
            <w:tcW w:w="1150" w:type="dxa"/>
          </w:tcPr>
          <w:p w:rsidR="000E0D76" w:rsidRPr="008474FE" w:rsidRDefault="000E0D76" w:rsidP="00780294">
            <w:pPr>
              <w:pStyle w:val="a3"/>
              <w:numPr>
                <w:ilvl w:val="0"/>
                <w:numId w:val="2"/>
              </w:numPr>
              <w:tabs>
                <w:tab w:val="left" w:pos="352"/>
              </w:tabs>
              <w:jc w:val="center"/>
              <w:rPr>
                <w:lang w:val="ro-RO"/>
              </w:rPr>
            </w:pPr>
          </w:p>
        </w:tc>
        <w:tc>
          <w:tcPr>
            <w:tcW w:w="1336" w:type="dxa"/>
          </w:tcPr>
          <w:p w:rsidR="000E0D76" w:rsidRPr="008474FE" w:rsidRDefault="000E0D76" w:rsidP="00780294">
            <w:pPr>
              <w:pStyle w:val="a8"/>
              <w:tabs>
                <w:tab w:val="center" w:pos="4844"/>
                <w:tab w:val="right" w:pos="9689"/>
              </w:tabs>
              <w:ind w:left="0"/>
              <w:jc w:val="center"/>
              <w:rPr>
                <w:szCs w:val="24"/>
                <w:lang w:val="ro-RO" w:eastAsia="en-US"/>
              </w:rPr>
            </w:pPr>
            <w:r w:rsidRPr="008474FE">
              <w:rPr>
                <w:szCs w:val="24"/>
                <w:lang w:val="ro-RO" w:eastAsia="en-US"/>
              </w:rPr>
              <w:t>Art. II</w:t>
            </w:r>
          </w:p>
          <w:p w:rsidR="000E0D76" w:rsidRPr="008474FE" w:rsidRDefault="000E0D76" w:rsidP="00780294">
            <w:pPr>
              <w:pStyle w:val="a8"/>
              <w:tabs>
                <w:tab w:val="center" w:pos="4844"/>
                <w:tab w:val="right" w:pos="9689"/>
              </w:tabs>
              <w:ind w:left="0"/>
              <w:jc w:val="center"/>
              <w:rPr>
                <w:szCs w:val="24"/>
                <w:lang w:val="ro-RO" w:eastAsia="en-US"/>
              </w:rPr>
            </w:pPr>
          </w:p>
        </w:tc>
        <w:tc>
          <w:tcPr>
            <w:tcW w:w="1789" w:type="dxa"/>
          </w:tcPr>
          <w:p w:rsidR="000E0D76" w:rsidRPr="008474FE" w:rsidRDefault="000E0D76"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0E0D76" w:rsidRPr="008474FE" w:rsidRDefault="000E0D76" w:rsidP="00780294">
            <w:pPr>
              <w:jc w:val="both"/>
              <w:rPr>
                <w:lang w:val="ro-RO" w:eastAsia="ru-RU"/>
              </w:rPr>
            </w:pPr>
            <w:r w:rsidRPr="008474FE">
              <w:rPr>
                <w:lang w:val="ro-RO" w:eastAsia="ru-RU"/>
              </w:rPr>
              <w:t xml:space="preserve">3. La pct. 2, întrucît în art. 1 al Legii nr. 105-XV din 13 martie 2003 și în art. 2 al Legii nr. 422-XVI din 22 decembrie 2006 privind securitatea generală a produselor, noțiunea „plasarea pe piață” este substituită cu noțiunea „punerea la dispoziție pe piață” (pentru conformare cu prevederile art. 2 din Regulamentului (CE) nr. 765 din 2008), la art. 2 din Legea nr. 420-XVI din 22 decembrie 2006 privind </w:t>
            </w:r>
            <w:r w:rsidRPr="008474FE">
              <w:rPr>
                <w:lang w:val="ro-RO" w:eastAsia="ru-RU"/>
              </w:rPr>
              <w:lastRenderedPageBreak/>
              <w:t>activitatea de reglementare tehnică, noțiunea „plasarea pe piață a produselor” se va substitui cu noțiunea „punerea la dispoziție pe piață”.</w:t>
            </w:r>
          </w:p>
        </w:tc>
        <w:tc>
          <w:tcPr>
            <w:tcW w:w="1768" w:type="dxa"/>
          </w:tcPr>
          <w:p w:rsidR="000E0D76" w:rsidRPr="008474FE" w:rsidRDefault="000E0D76" w:rsidP="00780294">
            <w:pPr>
              <w:pStyle w:val="a8"/>
              <w:tabs>
                <w:tab w:val="center" w:pos="4844"/>
                <w:tab w:val="right" w:pos="9689"/>
              </w:tabs>
              <w:ind w:left="0"/>
              <w:rPr>
                <w:szCs w:val="24"/>
                <w:lang w:val="ro-RO" w:eastAsia="en-US"/>
              </w:rPr>
            </w:pPr>
            <w:r w:rsidRPr="008474FE">
              <w:rPr>
                <w:szCs w:val="24"/>
                <w:lang w:val="ro-RO" w:eastAsia="en-US"/>
              </w:rPr>
              <w:lastRenderedPageBreak/>
              <w:t>Se acceptă</w:t>
            </w:r>
          </w:p>
        </w:tc>
        <w:tc>
          <w:tcPr>
            <w:tcW w:w="3722" w:type="dxa"/>
            <w:gridSpan w:val="2"/>
          </w:tcPr>
          <w:p w:rsidR="000E0D76" w:rsidRPr="008474FE" w:rsidRDefault="000E0D76" w:rsidP="00780294">
            <w:pPr>
              <w:pStyle w:val="a8"/>
              <w:tabs>
                <w:tab w:val="center" w:pos="4844"/>
                <w:tab w:val="right" w:pos="9689"/>
              </w:tabs>
              <w:ind w:left="0"/>
              <w:rPr>
                <w:szCs w:val="24"/>
                <w:lang w:val="ro-RO" w:eastAsia="en-US"/>
              </w:rPr>
            </w:pPr>
            <w:r w:rsidRPr="008474FE">
              <w:rPr>
                <w:szCs w:val="24"/>
                <w:lang w:val="ro-RO" w:eastAsia="en-US"/>
              </w:rPr>
              <w:t>S-a redactat conform propunerii</w:t>
            </w:r>
          </w:p>
        </w:tc>
      </w:tr>
      <w:tr w:rsidR="008474FE" w:rsidRPr="008474FE" w:rsidTr="00780294">
        <w:tc>
          <w:tcPr>
            <w:tcW w:w="1150" w:type="dxa"/>
          </w:tcPr>
          <w:p w:rsidR="000E0D76" w:rsidRPr="008474FE" w:rsidRDefault="000E0D76" w:rsidP="00780294">
            <w:pPr>
              <w:pStyle w:val="a3"/>
              <w:numPr>
                <w:ilvl w:val="0"/>
                <w:numId w:val="2"/>
              </w:numPr>
              <w:tabs>
                <w:tab w:val="left" w:pos="352"/>
              </w:tabs>
              <w:jc w:val="center"/>
              <w:rPr>
                <w:lang w:val="ro-RO"/>
              </w:rPr>
            </w:pPr>
          </w:p>
        </w:tc>
        <w:tc>
          <w:tcPr>
            <w:tcW w:w="1336" w:type="dxa"/>
          </w:tcPr>
          <w:p w:rsidR="000E0D76" w:rsidRPr="008474FE" w:rsidRDefault="000E0D76" w:rsidP="00780294">
            <w:pPr>
              <w:pStyle w:val="a8"/>
              <w:tabs>
                <w:tab w:val="center" w:pos="4844"/>
                <w:tab w:val="right" w:pos="9689"/>
              </w:tabs>
              <w:ind w:left="0"/>
              <w:jc w:val="center"/>
              <w:rPr>
                <w:szCs w:val="24"/>
                <w:lang w:val="ro-RO" w:eastAsia="en-US"/>
              </w:rPr>
            </w:pPr>
            <w:r w:rsidRPr="008474FE">
              <w:rPr>
                <w:szCs w:val="24"/>
                <w:lang w:val="ro-RO" w:eastAsia="en-US"/>
              </w:rPr>
              <w:t>Art. II</w:t>
            </w:r>
          </w:p>
          <w:p w:rsidR="000E0D76" w:rsidRPr="008474FE" w:rsidRDefault="000E0D76" w:rsidP="00780294">
            <w:pPr>
              <w:pStyle w:val="a8"/>
              <w:tabs>
                <w:tab w:val="center" w:pos="4844"/>
                <w:tab w:val="right" w:pos="9689"/>
              </w:tabs>
              <w:ind w:left="0"/>
              <w:jc w:val="center"/>
              <w:rPr>
                <w:szCs w:val="24"/>
                <w:lang w:val="ro-RO" w:eastAsia="en-US"/>
              </w:rPr>
            </w:pPr>
          </w:p>
        </w:tc>
        <w:tc>
          <w:tcPr>
            <w:tcW w:w="1789" w:type="dxa"/>
          </w:tcPr>
          <w:p w:rsidR="000E0D76" w:rsidRPr="008474FE" w:rsidRDefault="000E0D76"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0E0D76" w:rsidRPr="008474FE" w:rsidRDefault="000E0D76" w:rsidP="00780294">
            <w:pPr>
              <w:jc w:val="both"/>
              <w:rPr>
                <w:lang w:val="ro-RO" w:eastAsia="ru-RU"/>
              </w:rPr>
            </w:pPr>
            <w:r w:rsidRPr="008474FE">
              <w:rPr>
                <w:lang w:val="ro-RO" w:eastAsia="ru-RU"/>
              </w:rPr>
              <w:tab/>
              <w:t>Avînd în vedere că se dispune excluderea noțiunii „inspector de stat”, noțiunea „control (inspecție de stat)”, care utilizează termenul „inspectori de stat”, necesită a fi revizuită.</w:t>
            </w:r>
          </w:p>
        </w:tc>
        <w:tc>
          <w:tcPr>
            <w:tcW w:w="1768" w:type="dxa"/>
          </w:tcPr>
          <w:p w:rsidR="000E0D76" w:rsidRPr="008474FE" w:rsidRDefault="000E0D76"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0E0D76" w:rsidRPr="008474FE" w:rsidRDefault="000E0D76" w:rsidP="00780294">
            <w:pPr>
              <w:pStyle w:val="a8"/>
              <w:tabs>
                <w:tab w:val="center" w:pos="4844"/>
                <w:tab w:val="right" w:pos="9689"/>
              </w:tabs>
              <w:ind w:left="0"/>
              <w:rPr>
                <w:szCs w:val="24"/>
                <w:lang w:val="ro-RO" w:eastAsia="en-US"/>
              </w:rPr>
            </w:pPr>
            <w:r w:rsidRPr="008474FE">
              <w:rPr>
                <w:szCs w:val="24"/>
                <w:lang w:val="ro-RO" w:eastAsia="en-US"/>
              </w:rPr>
              <w:t>S-a redactat conform propunerii</w:t>
            </w:r>
          </w:p>
        </w:tc>
      </w:tr>
      <w:tr w:rsidR="008474FE" w:rsidRPr="008474FE" w:rsidTr="00780294">
        <w:tc>
          <w:tcPr>
            <w:tcW w:w="1150" w:type="dxa"/>
          </w:tcPr>
          <w:p w:rsidR="00F029C6" w:rsidRPr="008474FE" w:rsidRDefault="00F029C6" w:rsidP="00780294">
            <w:pPr>
              <w:pStyle w:val="a3"/>
              <w:numPr>
                <w:ilvl w:val="0"/>
                <w:numId w:val="2"/>
              </w:numPr>
              <w:tabs>
                <w:tab w:val="left" w:pos="352"/>
              </w:tabs>
              <w:jc w:val="center"/>
              <w:rPr>
                <w:lang w:val="ro-RO"/>
              </w:rPr>
            </w:pPr>
          </w:p>
        </w:tc>
        <w:tc>
          <w:tcPr>
            <w:tcW w:w="1336" w:type="dxa"/>
          </w:tcPr>
          <w:p w:rsidR="00F029C6" w:rsidRPr="008474FE" w:rsidRDefault="00F029C6" w:rsidP="00780294">
            <w:pPr>
              <w:pStyle w:val="a8"/>
              <w:tabs>
                <w:tab w:val="center" w:pos="4844"/>
                <w:tab w:val="right" w:pos="9689"/>
              </w:tabs>
              <w:ind w:left="0"/>
              <w:jc w:val="center"/>
              <w:rPr>
                <w:szCs w:val="24"/>
                <w:lang w:val="ro-RO" w:eastAsia="en-US"/>
              </w:rPr>
            </w:pPr>
            <w:r w:rsidRPr="008474FE">
              <w:rPr>
                <w:szCs w:val="24"/>
                <w:lang w:val="ro-RO" w:eastAsia="en-US"/>
              </w:rPr>
              <w:t>Art. II</w:t>
            </w:r>
            <w:r w:rsidR="000E0D76" w:rsidRPr="008474FE">
              <w:rPr>
                <w:szCs w:val="24"/>
                <w:lang w:val="ro-RO" w:eastAsia="en-US"/>
              </w:rPr>
              <w:t>I</w:t>
            </w:r>
          </w:p>
          <w:p w:rsidR="00F029C6" w:rsidRPr="008474FE" w:rsidRDefault="00F029C6" w:rsidP="00780294">
            <w:pPr>
              <w:pStyle w:val="a8"/>
              <w:tabs>
                <w:tab w:val="center" w:pos="4844"/>
                <w:tab w:val="right" w:pos="9689"/>
              </w:tabs>
              <w:ind w:left="0"/>
              <w:jc w:val="center"/>
              <w:rPr>
                <w:szCs w:val="24"/>
                <w:lang w:val="ro-RO" w:eastAsia="en-US"/>
              </w:rPr>
            </w:pPr>
            <w:r w:rsidRPr="008474FE">
              <w:rPr>
                <w:szCs w:val="24"/>
                <w:lang w:val="ro-RO" w:eastAsia="en-US"/>
              </w:rPr>
              <w:t>alin.(5)</w:t>
            </w:r>
          </w:p>
        </w:tc>
        <w:tc>
          <w:tcPr>
            <w:tcW w:w="1789" w:type="dxa"/>
          </w:tcPr>
          <w:p w:rsidR="00F029C6" w:rsidRPr="008474FE" w:rsidRDefault="00F029C6" w:rsidP="00780294">
            <w:pPr>
              <w:pStyle w:val="a8"/>
              <w:tabs>
                <w:tab w:val="center" w:pos="4844"/>
                <w:tab w:val="right" w:pos="9689"/>
              </w:tabs>
              <w:ind w:left="0"/>
              <w:rPr>
                <w:szCs w:val="24"/>
                <w:lang w:val="ro-RO" w:eastAsia="en-US"/>
              </w:rPr>
            </w:pPr>
            <w:r w:rsidRPr="008474FE">
              <w:rPr>
                <w:szCs w:val="24"/>
                <w:lang w:val="ro-RO" w:eastAsia="en-US"/>
              </w:rPr>
              <w:t>Centrul Naţional Anticorupţie</w:t>
            </w:r>
          </w:p>
        </w:tc>
        <w:tc>
          <w:tcPr>
            <w:tcW w:w="5261" w:type="dxa"/>
          </w:tcPr>
          <w:p w:rsidR="00F029C6" w:rsidRPr="008474FE" w:rsidRDefault="00F029C6" w:rsidP="00780294">
            <w:pPr>
              <w:autoSpaceDE w:val="0"/>
              <w:autoSpaceDN w:val="0"/>
              <w:adjustRightInd w:val="0"/>
              <w:jc w:val="both"/>
              <w:rPr>
                <w:rFonts w:eastAsia="Arial-BoldMT"/>
                <w:b/>
                <w:bCs/>
                <w:lang w:val="ro-RO"/>
              </w:rPr>
            </w:pPr>
            <w:r w:rsidRPr="008474FE">
              <w:rPr>
                <w:rFonts w:eastAsia="Arial-BoldMT"/>
                <w:b/>
                <w:bCs/>
                <w:lang w:val="ro-RO"/>
              </w:rPr>
              <w:t>Alin. 5. al art. II din proiectul de lege, fraza „(1) Producătorii sunt obligaţi să pună la dispoziţie pe piaţă numai produse sigure.”</w:t>
            </w:r>
          </w:p>
          <w:p w:rsidR="00F029C6" w:rsidRPr="008474FE" w:rsidRDefault="00F029C6" w:rsidP="00780294">
            <w:pPr>
              <w:autoSpaceDE w:val="0"/>
              <w:autoSpaceDN w:val="0"/>
              <w:adjustRightInd w:val="0"/>
              <w:jc w:val="both"/>
              <w:rPr>
                <w:rFonts w:eastAsia="ArialMT"/>
                <w:lang w:val="ro-RO"/>
              </w:rPr>
            </w:pPr>
            <w:r w:rsidRPr="008474FE">
              <w:rPr>
                <w:rFonts w:eastAsia="ArialMT"/>
                <w:lang w:val="ro-RO"/>
              </w:rPr>
              <w:t>Fraza citată reprezintă noua redacţie a alin.(1) al art.3 din Legea nr. 422 din 2006. Dat fiind faptul că proiectul legii privind supravegherea pieţei include în categoria agenţilor economici nu doar producătorii, dar şi importatorii şi distribuitorii, considerăm că propunerea citată mai sus este limitativă şi nu reglementează acţiunile tuturor subiecţilor care activează pe piaţă. De altfel, redacţia actuală a alin. (1) din art. 3 prevede producătorii şi distribuitorii. Nu este clar care este finalitatea omisiunii unor subiecţi din categoria agenţilor economici în sensul Legii nr. 422 din 2006. Prin urmare, este evidentă necesitatea completării normei supuse examinării.</w:t>
            </w:r>
          </w:p>
          <w:p w:rsidR="00F029C6" w:rsidRPr="008474FE" w:rsidRDefault="00F029C6" w:rsidP="00780294">
            <w:pPr>
              <w:autoSpaceDE w:val="0"/>
              <w:autoSpaceDN w:val="0"/>
              <w:adjustRightInd w:val="0"/>
              <w:jc w:val="both"/>
              <w:rPr>
                <w:rFonts w:eastAsia="Arial-BoldItalicMT"/>
                <w:b/>
                <w:bCs/>
                <w:i/>
                <w:iCs/>
                <w:lang w:val="ro-RO"/>
              </w:rPr>
            </w:pPr>
            <w:r w:rsidRPr="008474FE">
              <w:rPr>
                <w:rFonts w:eastAsia="Arial-BoldItalicMT"/>
                <w:b/>
                <w:bCs/>
                <w:i/>
                <w:iCs/>
                <w:lang w:val="ro-RO"/>
              </w:rPr>
              <w:t>Recomandarea: În vederea asigurării unui cadru legal uniform, recomandăm autorului de a completa noua redacţie a alin. (1) al art.3, după cuvântul „Producătorii” cu cuvintele „ , importatorii şi distribuitorii”.</w:t>
            </w:r>
          </w:p>
        </w:tc>
        <w:tc>
          <w:tcPr>
            <w:tcW w:w="1768" w:type="dxa"/>
          </w:tcPr>
          <w:p w:rsidR="00F029C6" w:rsidRPr="008474FE" w:rsidRDefault="00F029C6"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F029C6" w:rsidRPr="008474FE" w:rsidRDefault="00F029C6" w:rsidP="00780294">
            <w:pPr>
              <w:pStyle w:val="a8"/>
              <w:tabs>
                <w:tab w:val="center" w:pos="4844"/>
                <w:tab w:val="right" w:pos="9689"/>
              </w:tabs>
              <w:ind w:left="0"/>
              <w:rPr>
                <w:szCs w:val="24"/>
                <w:lang w:val="ro-RO" w:eastAsia="en-US"/>
              </w:rPr>
            </w:pPr>
            <w:r w:rsidRPr="008474FE">
              <w:rPr>
                <w:szCs w:val="24"/>
                <w:lang w:val="ro-RO" w:eastAsia="en-US"/>
              </w:rPr>
              <w:t>S-a redactat conform propunerii</w:t>
            </w:r>
          </w:p>
        </w:tc>
      </w:tr>
      <w:tr w:rsidR="008474FE" w:rsidRPr="008474FE" w:rsidTr="00780294">
        <w:tc>
          <w:tcPr>
            <w:tcW w:w="1150" w:type="dxa"/>
          </w:tcPr>
          <w:p w:rsidR="00F029C6" w:rsidRPr="008474FE" w:rsidRDefault="00F029C6" w:rsidP="00780294">
            <w:pPr>
              <w:pStyle w:val="a3"/>
              <w:numPr>
                <w:ilvl w:val="0"/>
                <w:numId w:val="2"/>
              </w:numPr>
              <w:tabs>
                <w:tab w:val="left" w:pos="352"/>
              </w:tabs>
              <w:jc w:val="center"/>
              <w:rPr>
                <w:lang w:val="ro-RO"/>
              </w:rPr>
            </w:pPr>
          </w:p>
        </w:tc>
        <w:tc>
          <w:tcPr>
            <w:tcW w:w="1336" w:type="dxa"/>
          </w:tcPr>
          <w:p w:rsidR="00F029C6" w:rsidRPr="008474FE" w:rsidRDefault="00F029C6" w:rsidP="00780294">
            <w:pPr>
              <w:pStyle w:val="a8"/>
              <w:tabs>
                <w:tab w:val="center" w:pos="4844"/>
                <w:tab w:val="right" w:pos="9689"/>
              </w:tabs>
              <w:ind w:left="0"/>
              <w:jc w:val="center"/>
              <w:rPr>
                <w:szCs w:val="24"/>
                <w:lang w:val="ro-RO" w:eastAsia="en-US"/>
              </w:rPr>
            </w:pPr>
            <w:r w:rsidRPr="008474FE">
              <w:rPr>
                <w:szCs w:val="24"/>
                <w:lang w:val="ro-RO" w:eastAsia="en-US"/>
              </w:rPr>
              <w:t>Art. II</w:t>
            </w:r>
            <w:r w:rsidR="000E0D76" w:rsidRPr="008474FE">
              <w:rPr>
                <w:szCs w:val="24"/>
                <w:lang w:val="ro-RO" w:eastAsia="en-US"/>
              </w:rPr>
              <w:t>I</w:t>
            </w:r>
          </w:p>
          <w:p w:rsidR="00F029C6" w:rsidRPr="008474FE" w:rsidRDefault="00F029C6" w:rsidP="00780294">
            <w:pPr>
              <w:pStyle w:val="a8"/>
              <w:tabs>
                <w:tab w:val="center" w:pos="4844"/>
                <w:tab w:val="right" w:pos="9689"/>
              </w:tabs>
              <w:ind w:left="0"/>
              <w:jc w:val="center"/>
              <w:rPr>
                <w:szCs w:val="24"/>
                <w:lang w:val="ro-RO" w:eastAsia="en-US"/>
              </w:rPr>
            </w:pPr>
            <w:r w:rsidRPr="008474FE">
              <w:rPr>
                <w:szCs w:val="24"/>
                <w:lang w:val="ro-RO" w:eastAsia="en-US"/>
              </w:rPr>
              <w:t>pct.13)</w:t>
            </w:r>
          </w:p>
        </w:tc>
        <w:tc>
          <w:tcPr>
            <w:tcW w:w="1789" w:type="dxa"/>
          </w:tcPr>
          <w:p w:rsidR="00F029C6" w:rsidRPr="008474FE" w:rsidRDefault="00F029C6" w:rsidP="00780294">
            <w:pPr>
              <w:pStyle w:val="a8"/>
              <w:tabs>
                <w:tab w:val="center" w:pos="4844"/>
                <w:tab w:val="right" w:pos="9689"/>
              </w:tabs>
              <w:ind w:left="0"/>
              <w:rPr>
                <w:szCs w:val="24"/>
                <w:lang w:val="ro-RO" w:eastAsia="en-US"/>
              </w:rPr>
            </w:pPr>
            <w:r w:rsidRPr="008474FE">
              <w:rPr>
                <w:szCs w:val="24"/>
                <w:lang w:val="ro-RO" w:eastAsia="en-US"/>
              </w:rPr>
              <w:t xml:space="preserve">Centrul Naţional pentru Protecţia </w:t>
            </w:r>
            <w:r w:rsidRPr="008474FE">
              <w:rPr>
                <w:szCs w:val="24"/>
                <w:lang w:val="ro-RO" w:eastAsia="en-US"/>
              </w:rPr>
              <w:lastRenderedPageBreak/>
              <w:t>Datelor cu Caracter Personal</w:t>
            </w:r>
          </w:p>
        </w:tc>
        <w:tc>
          <w:tcPr>
            <w:tcW w:w="5261" w:type="dxa"/>
          </w:tcPr>
          <w:p w:rsidR="00F029C6" w:rsidRPr="008474FE" w:rsidRDefault="00F029C6" w:rsidP="00780294">
            <w:pPr>
              <w:jc w:val="both"/>
              <w:rPr>
                <w:lang w:val="ro-RO"/>
              </w:rPr>
            </w:pPr>
            <w:r w:rsidRPr="008474FE">
              <w:rPr>
                <w:lang w:val="ro-RO"/>
              </w:rPr>
              <w:lastRenderedPageBreak/>
              <w:t>La art. II, pct.13, art. 8</w:t>
            </w:r>
            <w:r w:rsidRPr="008474FE">
              <w:rPr>
                <w:vertAlign w:val="superscript"/>
                <w:lang w:val="ro-RO"/>
              </w:rPr>
              <w:t>1</w:t>
            </w:r>
            <w:r w:rsidRPr="008474FE">
              <w:rPr>
                <w:lang w:val="ro-RO"/>
              </w:rPr>
              <w:t xml:space="preserve"> alin. (5) al proiectului de lege pentru modificarea şi completarea unor acte legislative, sugerăm substituirea sintagmei </w:t>
            </w:r>
            <w:r w:rsidRPr="008474FE">
              <w:rPr>
                <w:i/>
                <w:lang w:val="ro-RO"/>
              </w:rPr>
              <w:t xml:space="preserve">„organul </w:t>
            </w:r>
            <w:r w:rsidRPr="008474FE">
              <w:rPr>
                <w:i/>
                <w:lang w:val="ro-RO"/>
              </w:rPr>
              <w:lastRenderedPageBreak/>
              <w:t>central al puterii executive”</w:t>
            </w:r>
            <w:r w:rsidRPr="008474FE">
              <w:rPr>
                <w:lang w:val="ro-RO"/>
              </w:rPr>
              <w:t xml:space="preserve"> cu „</w:t>
            </w:r>
            <w:r w:rsidRPr="008474FE">
              <w:rPr>
                <w:i/>
                <w:lang w:val="ro-RO"/>
              </w:rPr>
              <w:t>autoritatea administraţiei publice centrale”</w:t>
            </w:r>
            <w:r w:rsidRPr="008474FE">
              <w:rPr>
                <w:lang w:val="ro-RO"/>
              </w:rPr>
              <w:t>.</w:t>
            </w:r>
          </w:p>
        </w:tc>
        <w:tc>
          <w:tcPr>
            <w:tcW w:w="1768" w:type="dxa"/>
          </w:tcPr>
          <w:p w:rsidR="00F029C6" w:rsidRPr="008474FE" w:rsidRDefault="00F029C6" w:rsidP="00780294">
            <w:pPr>
              <w:pStyle w:val="a8"/>
              <w:tabs>
                <w:tab w:val="center" w:pos="4844"/>
                <w:tab w:val="right" w:pos="9689"/>
              </w:tabs>
              <w:ind w:left="0"/>
              <w:rPr>
                <w:szCs w:val="24"/>
                <w:lang w:val="ro-RO" w:eastAsia="en-US"/>
              </w:rPr>
            </w:pPr>
            <w:r w:rsidRPr="008474FE">
              <w:rPr>
                <w:szCs w:val="24"/>
                <w:lang w:val="ro-RO" w:eastAsia="en-US"/>
              </w:rPr>
              <w:lastRenderedPageBreak/>
              <w:t>Se acceptă</w:t>
            </w:r>
          </w:p>
        </w:tc>
        <w:tc>
          <w:tcPr>
            <w:tcW w:w="3722" w:type="dxa"/>
            <w:gridSpan w:val="2"/>
          </w:tcPr>
          <w:p w:rsidR="00F029C6" w:rsidRPr="008474FE" w:rsidRDefault="00F029C6" w:rsidP="00780294">
            <w:pPr>
              <w:pStyle w:val="a8"/>
              <w:ind w:left="0" w:firstLine="89"/>
              <w:jc w:val="both"/>
              <w:rPr>
                <w:szCs w:val="24"/>
                <w:lang w:val="ro-RO"/>
              </w:rPr>
            </w:pPr>
            <w:r w:rsidRPr="008474FE">
              <w:rPr>
                <w:szCs w:val="24"/>
                <w:lang w:val="ro-RO"/>
              </w:rPr>
              <w:t>S-a redactat conform propunerii</w:t>
            </w:r>
          </w:p>
        </w:tc>
      </w:tr>
      <w:tr w:rsidR="008474FE" w:rsidRPr="008474FE" w:rsidTr="00780294">
        <w:tc>
          <w:tcPr>
            <w:tcW w:w="1150" w:type="dxa"/>
          </w:tcPr>
          <w:p w:rsidR="00B217A9" w:rsidRPr="008474FE" w:rsidRDefault="00B217A9" w:rsidP="00780294">
            <w:pPr>
              <w:pStyle w:val="a3"/>
              <w:numPr>
                <w:ilvl w:val="0"/>
                <w:numId w:val="2"/>
              </w:numPr>
              <w:tabs>
                <w:tab w:val="left" w:pos="352"/>
              </w:tabs>
              <w:jc w:val="center"/>
              <w:rPr>
                <w:lang w:val="ro-RO"/>
              </w:rPr>
            </w:pPr>
          </w:p>
        </w:tc>
        <w:tc>
          <w:tcPr>
            <w:tcW w:w="1336" w:type="dxa"/>
          </w:tcPr>
          <w:p w:rsidR="00B217A9" w:rsidRPr="008474FE" w:rsidRDefault="00B217A9" w:rsidP="00780294">
            <w:pPr>
              <w:pStyle w:val="a8"/>
              <w:tabs>
                <w:tab w:val="center" w:pos="4844"/>
                <w:tab w:val="right" w:pos="9689"/>
              </w:tabs>
              <w:ind w:left="0"/>
              <w:jc w:val="center"/>
              <w:rPr>
                <w:szCs w:val="24"/>
                <w:lang w:val="ro-RO" w:eastAsia="en-US"/>
              </w:rPr>
            </w:pPr>
            <w:r w:rsidRPr="008474FE">
              <w:rPr>
                <w:szCs w:val="24"/>
                <w:lang w:val="ro-RO" w:eastAsia="en-US"/>
              </w:rPr>
              <w:t>Art. III</w:t>
            </w:r>
          </w:p>
          <w:p w:rsidR="00B217A9" w:rsidRPr="008474FE" w:rsidRDefault="00B217A9" w:rsidP="00780294">
            <w:pPr>
              <w:pStyle w:val="a8"/>
              <w:tabs>
                <w:tab w:val="center" w:pos="4844"/>
                <w:tab w:val="right" w:pos="9689"/>
              </w:tabs>
              <w:ind w:left="0"/>
              <w:jc w:val="center"/>
              <w:rPr>
                <w:szCs w:val="24"/>
                <w:lang w:val="ro-RO" w:eastAsia="en-US"/>
              </w:rPr>
            </w:pPr>
          </w:p>
        </w:tc>
        <w:tc>
          <w:tcPr>
            <w:tcW w:w="1789" w:type="dxa"/>
          </w:tcPr>
          <w:p w:rsidR="00B217A9" w:rsidRPr="008474FE" w:rsidRDefault="00B217A9"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B217A9" w:rsidRPr="008474FE" w:rsidRDefault="00B217A9" w:rsidP="00780294">
            <w:pPr>
              <w:jc w:val="both"/>
              <w:rPr>
                <w:lang w:val="ro-RO" w:eastAsia="ru-RU"/>
              </w:rPr>
            </w:pPr>
            <w:r w:rsidRPr="008474FE">
              <w:rPr>
                <w:sz w:val="28"/>
                <w:szCs w:val="28"/>
                <w:lang w:val="ro-RO" w:eastAsia="ru-RU"/>
              </w:rPr>
              <w:t>4</w:t>
            </w:r>
            <w:r w:rsidRPr="008474FE">
              <w:rPr>
                <w:lang w:val="ro-RO" w:eastAsia="ru-RU"/>
              </w:rPr>
              <w:t>. Conform art. 1 alin. (1) din Legea nr. 422-XVI din 22 decembrie 2006, acest act legislativ se aplică tuturor produselor care se încadrează în noțiunea „produs”, prevăzută de art. 2 și din această prevedere rezultă cu certitudine că legea precitată nu are ca obiect de reglementare serviciile. Astfel, considerăm inutil de a specifica la art. 1 alin. (4) că Legea nr. 422-XVI din 22 decembrie 2006 nu se aplică referitor la servicii.</w:t>
            </w:r>
          </w:p>
        </w:tc>
        <w:tc>
          <w:tcPr>
            <w:tcW w:w="1768" w:type="dxa"/>
          </w:tcPr>
          <w:p w:rsidR="00B217A9" w:rsidRPr="008474FE" w:rsidRDefault="00B217A9"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B217A9" w:rsidRPr="008474FE" w:rsidRDefault="00B217A9" w:rsidP="00780294">
            <w:pPr>
              <w:pStyle w:val="a8"/>
              <w:tabs>
                <w:tab w:val="center" w:pos="4844"/>
                <w:tab w:val="right" w:pos="9689"/>
              </w:tabs>
              <w:ind w:left="0"/>
              <w:rPr>
                <w:szCs w:val="24"/>
                <w:lang w:val="ro-RO" w:eastAsia="en-US"/>
              </w:rPr>
            </w:pPr>
            <w:r w:rsidRPr="008474FE">
              <w:rPr>
                <w:szCs w:val="24"/>
                <w:lang w:val="ro-RO" w:eastAsia="en-US"/>
              </w:rPr>
              <w:t>S-a exclus conform propunerii</w:t>
            </w:r>
          </w:p>
        </w:tc>
      </w:tr>
      <w:tr w:rsidR="008474FE" w:rsidRPr="008474FE" w:rsidTr="00780294">
        <w:tc>
          <w:tcPr>
            <w:tcW w:w="1150" w:type="dxa"/>
          </w:tcPr>
          <w:p w:rsidR="005A66BD" w:rsidRPr="008474FE" w:rsidRDefault="005A66BD" w:rsidP="00780294">
            <w:pPr>
              <w:pStyle w:val="a3"/>
              <w:numPr>
                <w:ilvl w:val="0"/>
                <w:numId w:val="2"/>
              </w:numPr>
              <w:tabs>
                <w:tab w:val="left" w:pos="352"/>
              </w:tabs>
              <w:jc w:val="center"/>
              <w:rPr>
                <w:lang w:val="ro-RO"/>
              </w:rPr>
            </w:pPr>
          </w:p>
        </w:tc>
        <w:tc>
          <w:tcPr>
            <w:tcW w:w="1336" w:type="dxa"/>
          </w:tcPr>
          <w:p w:rsidR="005A66BD" w:rsidRPr="008474FE" w:rsidRDefault="005A66BD" w:rsidP="00780294">
            <w:pPr>
              <w:pStyle w:val="a8"/>
              <w:tabs>
                <w:tab w:val="center" w:pos="4844"/>
                <w:tab w:val="right" w:pos="9689"/>
              </w:tabs>
              <w:ind w:left="0"/>
              <w:jc w:val="center"/>
              <w:rPr>
                <w:szCs w:val="24"/>
                <w:lang w:val="ro-RO" w:eastAsia="en-US"/>
              </w:rPr>
            </w:pPr>
            <w:r w:rsidRPr="008474FE">
              <w:rPr>
                <w:szCs w:val="24"/>
                <w:lang w:val="ro-RO" w:eastAsia="en-US"/>
              </w:rPr>
              <w:t>Art. III</w:t>
            </w:r>
          </w:p>
          <w:p w:rsidR="005A66BD" w:rsidRPr="008474FE" w:rsidRDefault="005A66BD" w:rsidP="00780294">
            <w:pPr>
              <w:pStyle w:val="a8"/>
              <w:tabs>
                <w:tab w:val="center" w:pos="4844"/>
                <w:tab w:val="right" w:pos="9689"/>
              </w:tabs>
              <w:ind w:left="0"/>
              <w:jc w:val="center"/>
              <w:rPr>
                <w:szCs w:val="24"/>
                <w:lang w:val="ro-RO" w:eastAsia="en-US"/>
              </w:rPr>
            </w:pPr>
          </w:p>
        </w:tc>
        <w:tc>
          <w:tcPr>
            <w:tcW w:w="1789" w:type="dxa"/>
          </w:tcPr>
          <w:p w:rsidR="005A66BD" w:rsidRPr="008474FE" w:rsidRDefault="005A66BD"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5A66BD" w:rsidRPr="008474FE" w:rsidRDefault="005A66BD" w:rsidP="00780294">
            <w:pPr>
              <w:autoSpaceDE w:val="0"/>
              <w:autoSpaceDN w:val="0"/>
              <w:adjustRightInd w:val="0"/>
              <w:jc w:val="both"/>
              <w:rPr>
                <w:lang w:val="ro-RO" w:eastAsia="ru-RU"/>
              </w:rPr>
            </w:pPr>
            <w:r w:rsidRPr="008474FE">
              <w:rPr>
                <w:lang w:val="ro-RO" w:eastAsia="ru-RU"/>
              </w:rPr>
              <w:t>Completarea art. 1 cu alin. (4) cu lit. g) constituie manifestarea intenției de transpunere a prevederilor alin. (5) din preambulul Regulamentului (CE) nr. 765 din 9 iulie 2008, care aplică termenul „autovehicul”.</w:t>
            </w:r>
          </w:p>
          <w:p w:rsidR="005A66BD" w:rsidRPr="008474FE" w:rsidRDefault="005A66BD" w:rsidP="00780294">
            <w:pPr>
              <w:autoSpaceDE w:val="0"/>
              <w:autoSpaceDN w:val="0"/>
              <w:adjustRightInd w:val="0"/>
              <w:jc w:val="both"/>
              <w:rPr>
                <w:lang w:val="ro-RO" w:eastAsia="ru-RU"/>
              </w:rPr>
            </w:pPr>
            <w:r w:rsidRPr="008474FE">
              <w:rPr>
                <w:lang w:val="ro-RO" w:eastAsia="ru-RU"/>
              </w:rPr>
              <w:tab/>
              <w:t>Astfel, la art. 1 alin. (4) lit. g), pentru o armonizare justă și corespunzătoare a prevederilor Regulamentului precitat, recomandăm de a substitui cuvîntul „automobilelor” cu cuvîntul „autovehiculelor” întrucît, în aspect juridic, termenul „autovehicul” este unul general și cuprinde, pe lîngă automobile, și alte vehicule autopropulsate: autocamioanele, autobuzele, troleibuzele, motocicletele (a se vedea pct. 7 din Regulamentul circulației rutiere, aprobat prin Hotărîrea Guvernului nr. 357 din 13 mai 2009).</w:t>
            </w:r>
          </w:p>
        </w:tc>
        <w:tc>
          <w:tcPr>
            <w:tcW w:w="1768" w:type="dxa"/>
          </w:tcPr>
          <w:p w:rsidR="005A66BD" w:rsidRPr="008474FE" w:rsidRDefault="005A66BD"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5A66BD" w:rsidRPr="008474FE" w:rsidRDefault="005A66BD" w:rsidP="00780294">
            <w:pPr>
              <w:pStyle w:val="a8"/>
              <w:tabs>
                <w:tab w:val="center" w:pos="4844"/>
                <w:tab w:val="right" w:pos="9689"/>
              </w:tabs>
              <w:ind w:left="0"/>
              <w:rPr>
                <w:szCs w:val="24"/>
                <w:lang w:val="ro-RO" w:eastAsia="en-US"/>
              </w:rPr>
            </w:pPr>
            <w:r w:rsidRPr="008474FE">
              <w:rPr>
                <w:szCs w:val="24"/>
                <w:lang w:val="ro-RO" w:eastAsia="en-US"/>
              </w:rPr>
              <w:t>S-a redactat conform propunerii</w:t>
            </w:r>
          </w:p>
        </w:tc>
      </w:tr>
      <w:tr w:rsidR="008474FE" w:rsidRPr="008474FE" w:rsidTr="00780294">
        <w:tc>
          <w:tcPr>
            <w:tcW w:w="1150" w:type="dxa"/>
          </w:tcPr>
          <w:p w:rsidR="00B217A9" w:rsidRPr="008474FE" w:rsidRDefault="00B217A9" w:rsidP="00780294">
            <w:pPr>
              <w:pStyle w:val="a3"/>
              <w:numPr>
                <w:ilvl w:val="0"/>
                <w:numId w:val="2"/>
              </w:numPr>
              <w:tabs>
                <w:tab w:val="left" w:pos="352"/>
              </w:tabs>
              <w:jc w:val="center"/>
              <w:rPr>
                <w:lang w:val="ro-RO"/>
              </w:rPr>
            </w:pPr>
          </w:p>
        </w:tc>
        <w:tc>
          <w:tcPr>
            <w:tcW w:w="1336" w:type="dxa"/>
          </w:tcPr>
          <w:p w:rsidR="00B217A9" w:rsidRPr="008474FE" w:rsidRDefault="00B217A9" w:rsidP="00780294">
            <w:pPr>
              <w:pStyle w:val="a8"/>
              <w:tabs>
                <w:tab w:val="center" w:pos="4844"/>
                <w:tab w:val="right" w:pos="9689"/>
              </w:tabs>
              <w:ind w:left="0"/>
              <w:jc w:val="center"/>
              <w:rPr>
                <w:szCs w:val="24"/>
                <w:lang w:val="ro-RO" w:eastAsia="en-US"/>
              </w:rPr>
            </w:pPr>
            <w:r w:rsidRPr="008474FE">
              <w:rPr>
                <w:szCs w:val="24"/>
                <w:lang w:val="ro-RO" w:eastAsia="en-US"/>
              </w:rPr>
              <w:t>Art. III</w:t>
            </w:r>
          </w:p>
          <w:p w:rsidR="00B217A9" w:rsidRPr="008474FE" w:rsidRDefault="00B217A9" w:rsidP="00780294">
            <w:pPr>
              <w:pStyle w:val="a8"/>
              <w:tabs>
                <w:tab w:val="center" w:pos="4844"/>
                <w:tab w:val="right" w:pos="9689"/>
              </w:tabs>
              <w:ind w:left="0"/>
              <w:jc w:val="center"/>
              <w:rPr>
                <w:szCs w:val="24"/>
                <w:lang w:val="ro-RO" w:eastAsia="en-US"/>
              </w:rPr>
            </w:pPr>
          </w:p>
        </w:tc>
        <w:tc>
          <w:tcPr>
            <w:tcW w:w="1789" w:type="dxa"/>
          </w:tcPr>
          <w:p w:rsidR="00B217A9" w:rsidRPr="008474FE" w:rsidRDefault="00B217A9"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B217A9" w:rsidRPr="008474FE" w:rsidRDefault="00B217A9" w:rsidP="00780294">
            <w:pPr>
              <w:jc w:val="both"/>
              <w:rPr>
                <w:lang w:val="ro-RO" w:eastAsia="ru-RU"/>
              </w:rPr>
            </w:pPr>
            <w:r w:rsidRPr="008474FE">
              <w:rPr>
                <w:lang w:val="ro-RO" w:eastAsia="ru-RU"/>
              </w:rPr>
              <w:t xml:space="preserve">Ținem să menționăm, că Legea nr. 422-XVI din 22 decembrie 2006 privind securitatea generală a produselor instituie reglementări cu caracter de principiu și reprezintă un act legislativ cu caracter </w:t>
            </w:r>
            <w:r w:rsidRPr="008474FE">
              <w:rPr>
                <w:lang w:val="ro-RO" w:eastAsia="ru-RU"/>
              </w:rPr>
              <w:lastRenderedPageBreak/>
              <w:t>general în raport cu actele legislative care se aplică față de fiecare din categoriile de produse enumerate la art. 1 alin. (4). Prin urmare, pentru a exclude eventuale carențe de reglementare a cerințelor de securitate față de fiecare din produsele enumerate la art. 1 alin. (4), propunem reformularea art. 1 alin. (4) astfel încît Legea nr. 422-XVI din 22 decembrie 2006 să se aplice subsidiar actelor legislative speciale (în ipoteza în care actul legislativ special nu reglementează anumite relații sociale).</w:t>
            </w:r>
          </w:p>
        </w:tc>
        <w:tc>
          <w:tcPr>
            <w:tcW w:w="1768" w:type="dxa"/>
          </w:tcPr>
          <w:p w:rsidR="00B217A9" w:rsidRPr="008474FE" w:rsidRDefault="005A66BD" w:rsidP="00780294">
            <w:pPr>
              <w:pStyle w:val="a8"/>
              <w:tabs>
                <w:tab w:val="center" w:pos="4844"/>
                <w:tab w:val="right" w:pos="9689"/>
              </w:tabs>
              <w:ind w:left="0"/>
              <w:rPr>
                <w:szCs w:val="24"/>
                <w:lang w:val="ro-RO" w:eastAsia="en-US"/>
              </w:rPr>
            </w:pPr>
            <w:r w:rsidRPr="008474FE">
              <w:rPr>
                <w:szCs w:val="24"/>
                <w:lang w:val="ro-RO" w:eastAsia="en-US"/>
              </w:rPr>
              <w:lastRenderedPageBreak/>
              <w:t>Nu se acceptă</w:t>
            </w:r>
          </w:p>
        </w:tc>
        <w:tc>
          <w:tcPr>
            <w:tcW w:w="3722" w:type="dxa"/>
            <w:gridSpan w:val="2"/>
          </w:tcPr>
          <w:p w:rsidR="009576DC" w:rsidRPr="008474FE" w:rsidRDefault="009576DC" w:rsidP="00780294">
            <w:pPr>
              <w:pStyle w:val="a8"/>
              <w:ind w:left="147" w:firstLine="425"/>
              <w:jc w:val="both"/>
              <w:rPr>
                <w:lang w:val="ro-RO"/>
              </w:rPr>
            </w:pPr>
            <w:r w:rsidRPr="008474FE">
              <w:rPr>
                <w:lang w:val="ro-RO"/>
              </w:rPr>
              <w:t xml:space="preserve">Art.1 alin. (2) și (3) al Legii nr. 422-XVI din 22 decembrie 2006 privind securitatea generală a produselor stabileșște clar </w:t>
            </w:r>
            <w:r w:rsidRPr="008474FE">
              <w:rPr>
                <w:lang w:val="ro-RO"/>
              </w:rPr>
              <w:lastRenderedPageBreak/>
              <w:t>domeniul de acoperire în cazul în care nu există reglementări tehnice specifice:</w:t>
            </w:r>
          </w:p>
          <w:p w:rsidR="009576DC" w:rsidRPr="008474FE" w:rsidRDefault="009576DC" w:rsidP="00780294">
            <w:pPr>
              <w:pStyle w:val="a8"/>
              <w:ind w:left="147" w:firstLine="425"/>
              <w:jc w:val="both"/>
              <w:rPr>
                <w:lang w:val="ro-RO"/>
              </w:rPr>
            </w:pPr>
            <w:r w:rsidRPr="008474FE">
              <w:rPr>
                <w:b/>
                <w:bCs/>
                <w:lang w:val="ro-RO"/>
              </w:rPr>
              <w:t>„</w:t>
            </w:r>
            <w:r w:rsidRPr="008474FE">
              <w:rPr>
                <w:lang w:val="ro-RO"/>
              </w:rPr>
              <w:t xml:space="preserve">(2) Prevederile prezentei legi se aplică în măsura în care nu există reglementări tehnice specifice privind securitatea produselor respective. </w:t>
            </w:r>
          </w:p>
          <w:p w:rsidR="009576DC" w:rsidRPr="008474FE" w:rsidRDefault="009576DC" w:rsidP="00780294">
            <w:pPr>
              <w:pStyle w:val="a8"/>
              <w:ind w:left="147" w:firstLine="425"/>
              <w:jc w:val="both"/>
              <w:rPr>
                <w:lang w:val="ro-RO"/>
              </w:rPr>
            </w:pPr>
            <w:r w:rsidRPr="008474FE">
              <w:rPr>
                <w:lang w:val="ro-RO"/>
              </w:rPr>
              <w:t xml:space="preserve">(3) În cazul în care securitatea produselor este acoperită de reglementări tehnice specifice, prezenta lege se aplică numai pentru aspectele şi riscurile sau categoriile de riscuri neacoperite de reglementările tehnice specifice, după cum urmează: </w:t>
            </w:r>
          </w:p>
          <w:p w:rsidR="009576DC" w:rsidRPr="008474FE" w:rsidRDefault="009576DC" w:rsidP="00780294">
            <w:pPr>
              <w:pStyle w:val="a8"/>
              <w:ind w:left="147" w:firstLine="425"/>
              <w:jc w:val="both"/>
              <w:rPr>
                <w:lang w:val="ro-RO"/>
              </w:rPr>
            </w:pPr>
            <w:r w:rsidRPr="008474FE">
              <w:rPr>
                <w:lang w:val="ro-RO"/>
              </w:rPr>
              <w:t xml:space="preserve">a) art.2, noţiunile “produs sigur” şi “produs periculos”, şi art.3 alin.(2)-(5) nu se aplică acestor produse în privinţa riscurilor sau categoriilor de riscuri prevăzute de reglementările tehnice specifice; </w:t>
            </w:r>
          </w:p>
          <w:p w:rsidR="00B217A9" w:rsidRPr="008474FE" w:rsidRDefault="009576DC" w:rsidP="00780294">
            <w:pPr>
              <w:pStyle w:val="a8"/>
              <w:ind w:left="147" w:firstLine="425"/>
              <w:jc w:val="both"/>
              <w:rPr>
                <w:szCs w:val="24"/>
                <w:lang w:val="ro-RO" w:eastAsia="en-US"/>
              </w:rPr>
            </w:pPr>
            <w:r w:rsidRPr="008474FE">
              <w:rPr>
                <w:lang w:val="ro-RO"/>
              </w:rPr>
              <w:t>b) art.4-9 se aplică în orice situaţie, cu excepţia cazurilor în care există reglementări specifice privind aspectele acoperite de articolele menţionate.”</w:t>
            </w:r>
          </w:p>
        </w:tc>
      </w:tr>
      <w:tr w:rsidR="008474FE" w:rsidRPr="008474FE" w:rsidTr="00780294">
        <w:tc>
          <w:tcPr>
            <w:tcW w:w="1150" w:type="dxa"/>
          </w:tcPr>
          <w:p w:rsidR="005A66BD" w:rsidRPr="008474FE" w:rsidRDefault="005A66BD" w:rsidP="00780294">
            <w:pPr>
              <w:pStyle w:val="a3"/>
              <w:numPr>
                <w:ilvl w:val="0"/>
                <w:numId w:val="2"/>
              </w:numPr>
              <w:tabs>
                <w:tab w:val="left" w:pos="352"/>
              </w:tabs>
              <w:jc w:val="center"/>
              <w:rPr>
                <w:lang w:val="ro-RO"/>
              </w:rPr>
            </w:pPr>
          </w:p>
        </w:tc>
        <w:tc>
          <w:tcPr>
            <w:tcW w:w="1336" w:type="dxa"/>
          </w:tcPr>
          <w:p w:rsidR="005A66BD" w:rsidRPr="008474FE" w:rsidRDefault="005A66BD" w:rsidP="00780294">
            <w:pPr>
              <w:pStyle w:val="a8"/>
              <w:tabs>
                <w:tab w:val="center" w:pos="4844"/>
                <w:tab w:val="right" w:pos="9689"/>
              </w:tabs>
              <w:ind w:left="0"/>
              <w:jc w:val="center"/>
              <w:rPr>
                <w:szCs w:val="24"/>
                <w:lang w:val="ro-RO" w:eastAsia="en-US"/>
              </w:rPr>
            </w:pPr>
            <w:r w:rsidRPr="008474FE">
              <w:rPr>
                <w:szCs w:val="24"/>
                <w:lang w:val="ro-RO" w:eastAsia="en-US"/>
              </w:rPr>
              <w:t>Art. III</w:t>
            </w:r>
          </w:p>
          <w:p w:rsidR="005A66BD" w:rsidRPr="008474FE" w:rsidRDefault="00115694" w:rsidP="00780294">
            <w:pPr>
              <w:pStyle w:val="a8"/>
              <w:tabs>
                <w:tab w:val="center" w:pos="4844"/>
                <w:tab w:val="right" w:pos="9689"/>
              </w:tabs>
              <w:ind w:left="0"/>
              <w:jc w:val="center"/>
              <w:rPr>
                <w:szCs w:val="24"/>
                <w:lang w:val="ro-RO" w:eastAsia="en-US"/>
              </w:rPr>
            </w:pPr>
            <w:r w:rsidRPr="008474FE">
              <w:rPr>
                <w:szCs w:val="24"/>
                <w:lang w:val="ro-RO"/>
              </w:rPr>
              <w:t>pct. 3 și pct. 7</w:t>
            </w:r>
          </w:p>
        </w:tc>
        <w:tc>
          <w:tcPr>
            <w:tcW w:w="1789" w:type="dxa"/>
          </w:tcPr>
          <w:p w:rsidR="005A66BD" w:rsidRPr="008474FE" w:rsidRDefault="005A66BD"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5A66BD" w:rsidRPr="008474FE" w:rsidRDefault="005A66BD" w:rsidP="00780294">
            <w:pPr>
              <w:jc w:val="both"/>
              <w:rPr>
                <w:lang w:val="ro-RO"/>
              </w:rPr>
            </w:pPr>
            <w:r w:rsidRPr="008474FE">
              <w:rPr>
                <w:lang w:val="ro-RO" w:eastAsia="ru-RU"/>
              </w:rPr>
              <w:t>5. P</w:t>
            </w:r>
            <w:r w:rsidRPr="008474FE">
              <w:rPr>
                <w:lang w:val="ro-RO"/>
              </w:rPr>
              <w:t xml:space="preserve">entru exprimarea normativă a intenţiei de modificare a actului normativ se nominalizează expres textul vizat, cu toate elementele de identificare necesare, iar dispoziţia propriu-zisă se </w:t>
            </w:r>
            <w:r w:rsidRPr="008474FE">
              <w:rPr>
                <w:lang w:val="ro-RO"/>
              </w:rPr>
              <w:lastRenderedPageBreak/>
              <w:t>formulează utilizîndu-se sintagma "se modifică şi va avea următorul cuprins:", urmată de redarea noului text. Astfel, se vor revizui dispozițiile de modificare formulate la pct. 3 și pct. 7</w:t>
            </w:r>
          </w:p>
        </w:tc>
        <w:tc>
          <w:tcPr>
            <w:tcW w:w="1768" w:type="dxa"/>
          </w:tcPr>
          <w:p w:rsidR="005A66BD" w:rsidRPr="008474FE" w:rsidRDefault="005A66BD" w:rsidP="00780294">
            <w:pPr>
              <w:pStyle w:val="a8"/>
              <w:tabs>
                <w:tab w:val="center" w:pos="4844"/>
                <w:tab w:val="right" w:pos="9689"/>
              </w:tabs>
              <w:ind w:left="0"/>
              <w:rPr>
                <w:szCs w:val="24"/>
                <w:lang w:val="ro-RO" w:eastAsia="en-US"/>
              </w:rPr>
            </w:pPr>
            <w:r w:rsidRPr="008474FE">
              <w:rPr>
                <w:szCs w:val="24"/>
                <w:lang w:val="ro-RO" w:eastAsia="en-US"/>
              </w:rPr>
              <w:lastRenderedPageBreak/>
              <w:t>Se acceptă</w:t>
            </w:r>
          </w:p>
        </w:tc>
        <w:tc>
          <w:tcPr>
            <w:tcW w:w="3722" w:type="dxa"/>
            <w:gridSpan w:val="2"/>
          </w:tcPr>
          <w:p w:rsidR="005A66BD" w:rsidRPr="008474FE" w:rsidRDefault="005A66BD" w:rsidP="00780294">
            <w:pPr>
              <w:pStyle w:val="a8"/>
              <w:tabs>
                <w:tab w:val="center" w:pos="4844"/>
                <w:tab w:val="right" w:pos="9689"/>
              </w:tabs>
              <w:ind w:left="0"/>
              <w:rPr>
                <w:szCs w:val="24"/>
                <w:lang w:val="ro-RO" w:eastAsia="en-US"/>
              </w:rPr>
            </w:pPr>
            <w:r w:rsidRPr="008474FE">
              <w:rPr>
                <w:szCs w:val="24"/>
                <w:lang w:val="ro-RO" w:eastAsia="en-US"/>
              </w:rPr>
              <w:t>S-a redactat conform propunerii</w:t>
            </w:r>
          </w:p>
        </w:tc>
      </w:tr>
      <w:tr w:rsidR="008474FE" w:rsidRPr="008474FE" w:rsidTr="00780294">
        <w:tc>
          <w:tcPr>
            <w:tcW w:w="1150" w:type="dxa"/>
          </w:tcPr>
          <w:p w:rsidR="009576DC" w:rsidRPr="008474FE" w:rsidRDefault="009576DC" w:rsidP="00780294">
            <w:pPr>
              <w:pStyle w:val="a3"/>
              <w:numPr>
                <w:ilvl w:val="0"/>
                <w:numId w:val="2"/>
              </w:numPr>
              <w:tabs>
                <w:tab w:val="left" w:pos="352"/>
              </w:tabs>
              <w:jc w:val="center"/>
              <w:rPr>
                <w:lang w:val="ro-RO"/>
              </w:rPr>
            </w:pPr>
          </w:p>
        </w:tc>
        <w:tc>
          <w:tcPr>
            <w:tcW w:w="1336" w:type="dxa"/>
          </w:tcPr>
          <w:p w:rsidR="009576DC" w:rsidRPr="008474FE" w:rsidRDefault="009576DC" w:rsidP="00780294">
            <w:pPr>
              <w:pStyle w:val="a8"/>
              <w:tabs>
                <w:tab w:val="center" w:pos="4844"/>
                <w:tab w:val="right" w:pos="9689"/>
              </w:tabs>
              <w:ind w:left="0"/>
              <w:jc w:val="center"/>
              <w:rPr>
                <w:szCs w:val="24"/>
                <w:lang w:val="ro-RO" w:eastAsia="en-US"/>
              </w:rPr>
            </w:pPr>
            <w:r w:rsidRPr="008474FE">
              <w:rPr>
                <w:szCs w:val="24"/>
                <w:lang w:val="ro-RO" w:eastAsia="en-US"/>
              </w:rPr>
              <w:t>Art. III</w:t>
            </w:r>
          </w:p>
          <w:p w:rsidR="009576DC" w:rsidRPr="008474FE" w:rsidRDefault="00115694" w:rsidP="00780294">
            <w:pPr>
              <w:pStyle w:val="a8"/>
              <w:tabs>
                <w:tab w:val="center" w:pos="4844"/>
                <w:tab w:val="right" w:pos="9689"/>
              </w:tabs>
              <w:ind w:left="0"/>
              <w:jc w:val="center"/>
              <w:rPr>
                <w:szCs w:val="24"/>
                <w:lang w:val="ro-RO" w:eastAsia="en-US"/>
              </w:rPr>
            </w:pPr>
            <w:r w:rsidRPr="008474FE">
              <w:rPr>
                <w:lang w:val="ro-RO"/>
              </w:rPr>
              <w:t>Pct.10</w:t>
            </w:r>
          </w:p>
        </w:tc>
        <w:tc>
          <w:tcPr>
            <w:tcW w:w="1789" w:type="dxa"/>
          </w:tcPr>
          <w:p w:rsidR="009576DC" w:rsidRPr="008474FE" w:rsidRDefault="009576DC"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9576DC" w:rsidRPr="008474FE" w:rsidRDefault="009576DC" w:rsidP="00780294">
            <w:pPr>
              <w:jc w:val="both"/>
              <w:rPr>
                <w:lang w:val="ro-RO" w:eastAsia="ru-RU"/>
              </w:rPr>
            </w:pPr>
            <w:r w:rsidRPr="008474FE">
              <w:rPr>
                <w:lang w:val="ro-RO"/>
              </w:rPr>
              <w:t>6. Propunem excluderea articolului 8</w:t>
            </w:r>
            <w:r w:rsidRPr="008474FE">
              <w:rPr>
                <w:vertAlign w:val="superscript"/>
                <w:lang w:val="ro-RO"/>
              </w:rPr>
              <w:t>2</w:t>
            </w:r>
            <w:r w:rsidRPr="008474FE">
              <w:rPr>
                <w:lang w:val="ro-RO"/>
              </w:rPr>
              <w:t xml:space="preserve"> alin. (2), deoarece prevederea acestuia restricționează accesul la sistemele internaționale, regionale sau naționale de schimb rapid de informații doar la situațiile de </w:t>
            </w:r>
            <w:r w:rsidRPr="008474FE">
              <w:rPr>
                <w:b/>
                <w:lang w:val="ro-RO"/>
              </w:rPr>
              <w:t xml:space="preserve">schimb de informații </w:t>
            </w:r>
            <w:r w:rsidRPr="008474FE">
              <w:rPr>
                <w:lang w:val="ro-RO"/>
              </w:rPr>
              <w:t>(fiind excluse cazurile de transmitere sau recepționare unilaterală a datelor) și, totodată, considerăm oportun ca scopul, modul și cazurile de accesare a sistemelor internaționale, regionale sau naționale de schimb rapid de informații cu privire la produsele periculoase să constituie obiectul de reglementare al acordurilor multilaterale sau bilaterale.</w:t>
            </w:r>
          </w:p>
        </w:tc>
        <w:tc>
          <w:tcPr>
            <w:tcW w:w="1768" w:type="dxa"/>
          </w:tcPr>
          <w:p w:rsidR="009576DC" w:rsidRPr="008474FE" w:rsidRDefault="009576DC"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9576DC" w:rsidRPr="008474FE" w:rsidRDefault="009576DC" w:rsidP="00780294">
            <w:pPr>
              <w:pStyle w:val="a8"/>
              <w:tabs>
                <w:tab w:val="center" w:pos="4844"/>
                <w:tab w:val="right" w:pos="9689"/>
              </w:tabs>
              <w:ind w:left="0"/>
              <w:rPr>
                <w:szCs w:val="24"/>
                <w:lang w:val="ro-RO" w:eastAsia="en-US"/>
              </w:rPr>
            </w:pPr>
            <w:r w:rsidRPr="008474FE">
              <w:rPr>
                <w:szCs w:val="24"/>
                <w:lang w:val="ro-RO" w:eastAsia="en-US"/>
              </w:rPr>
              <w:t>S-a exclus conform propunerii</w:t>
            </w:r>
          </w:p>
        </w:tc>
      </w:tr>
      <w:tr w:rsidR="008474FE" w:rsidRPr="008474FE" w:rsidTr="00780294">
        <w:tc>
          <w:tcPr>
            <w:tcW w:w="1150" w:type="dxa"/>
          </w:tcPr>
          <w:p w:rsidR="001107F5" w:rsidRPr="008474FE" w:rsidRDefault="001107F5" w:rsidP="00780294">
            <w:pPr>
              <w:pStyle w:val="a3"/>
              <w:numPr>
                <w:ilvl w:val="0"/>
                <w:numId w:val="2"/>
              </w:numPr>
              <w:tabs>
                <w:tab w:val="left" w:pos="352"/>
              </w:tabs>
              <w:jc w:val="center"/>
              <w:rPr>
                <w:lang w:val="ro-RO"/>
              </w:rPr>
            </w:pPr>
          </w:p>
        </w:tc>
        <w:tc>
          <w:tcPr>
            <w:tcW w:w="1336" w:type="dxa"/>
          </w:tcPr>
          <w:p w:rsidR="001107F5" w:rsidRPr="008474FE" w:rsidRDefault="001107F5"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1107F5" w:rsidRPr="008474FE" w:rsidRDefault="001107F5" w:rsidP="00780294">
            <w:pPr>
              <w:pStyle w:val="a8"/>
              <w:tabs>
                <w:tab w:val="center" w:pos="4844"/>
                <w:tab w:val="right" w:pos="9689"/>
              </w:tabs>
              <w:ind w:left="0"/>
              <w:jc w:val="center"/>
              <w:rPr>
                <w:szCs w:val="24"/>
                <w:lang w:val="ro-RO" w:eastAsia="en-US"/>
              </w:rPr>
            </w:pPr>
            <w:r w:rsidRPr="008474FE">
              <w:rPr>
                <w:lang w:val="ro-RO"/>
              </w:rPr>
              <w:t>Pct.1</w:t>
            </w:r>
          </w:p>
        </w:tc>
        <w:tc>
          <w:tcPr>
            <w:tcW w:w="1789" w:type="dxa"/>
          </w:tcPr>
          <w:p w:rsidR="001107F5" w:rsidRPr="008474FE" w:rsidRDefault="001107F5" w:rsidP="00780294">
            <w:pPr>
              <w:pStyle w:val="a8"/>
              <w:tabs>
                <w:tab w:val="center" w:pos="4844"/>
                <w:tab w:val="right" w:pos="9689"/>
              </w:tabs>
              <w:ind w:left="0"/>
              <w:rPr>
                <w:szCs w:val="24"/>
                <w:lang w:val="ro-RO" w:eastAsia="en-US"/>
              </w:rPr>
            </w:pPr>
            <w:r w:rsidRPr="008474FE">
              <w:rPr>
                <w:szCs w:val="24"/>
                <w:lang w:val="ro-RO" w:eastAsia="en-US"/>
              </w:rPr>
              <w:t>Agenția pentru Protecția Consumatorilor</w:t>
            </w:r>
          </w:p>
        </w:tc>
        <w:tc>
          <w:tcPr>
            <w:tcW w:w="5261" w:type="dxa"/>
          </w:tcPr>
          <w:p w:rsidR="001107F5" w:rsidRPr="008474FE" w:rsidRDefault="001107F5" w:rsidP="00780294">
            <w:pPr>
              <w:pStyle w:val="ad"/>
              <w:tabs>
                <w:tab w:val="left" w:pos="360"/>
              </w:tabs>
              <w:ind w:left="70" w:right="-824" w:hanging="434"/>
              <w:jc w:val="both"/>
              <w:rPr>
                <w:szCs w:val="24"/>
                <w:lang w:val="ro-RO"/>
              </w:rPr>
            </w:pPr>
            <w:r w:rsidRPr="008474FE">
              <w:rPr>
                <w:szCs w:val="24"/>
                <w:lang w:val="ro-RO"/>
              </w:rPr>
              <w:t xml:space="preserve">.   - la art. 30 alin. (5) Cod contravenţional de completat la final cu cuvintele „calculată din ziua în care hotărîrea/decizia cu privire la contravenţie a rămas definitivă”;  </w:t>
            </w:r>
          </w:p>
        </w:tc>
        <w:tc>
          <w:tcPr>
            <w:tcW w:w="1768" w:type="dxa"/>
          </w:tcPr>
          <w:p w:rsidR="001107F5" w:rsidRPr="008474FE" w:rsidRDefault="001107F5" w:rsidP="00780294">
            <w:pPr>
              <w:pStyle w:val="a8"/>
              <w:tabs>
                <w:tab w:val="center" w:pos="4844"/>
                <w:tab w:val="right" w:pos="9689"/>
              </w:tabs>
              <w:ind w:left="0"/>
              <w:rPr>
                <w:szCs w:val="24"/>
                <w:lang w:val="ro-RO" w:eastAsia="en-US"/>
              </w:rPr>
            </w:pPr>
            <w:r w:rsidRPr="008474FE">
              <w:rPr>
                <w:lang w:val="ro-RO"/>
              </w:rPr>
              <w:t>Se acceptă parțial</w:t>
            </w:r>
          </w:p>
        </w:tc>
        <w:tc>
          <w:tcPr>
            <w:tcW w:w="3722" w:type="dxa"/>
            <w:gridSpan w:val="2"/>
          </w:tcPr>
          <w:p w:rsidR="001107F5" w:rsidRPr="008474FE" w:rsidRDefault="001107F5" w:rsidP="00780294">
            <w:pPr>
              <w:pStyle w:val="a8"/>
              <w:tabs>
                <w:tab w:val="center" w:pos="4844"/>
                <w:tab w:val="right" w:pos="9689"/>
              </w:tabs>
              <w:ind w:left="0"/>
              <w:rPr>
                <w:szCs w:val="24"/>
                <w:lang w:val="ro-RO" w:eastAsia="en-US"/>
              </w:rPr>
            </w:pPr>
            <w:r w:rsidRPr="008474FE">
              <w:rPr>
                <w:lang w:val="ro-RO"/>
              </w:rPr>
              <w:t>S-a exclus conform propunerii a se vedea poziţia Ministerului Justiţiei, a se vedea pct. 1</w:t>
            </w:r>
            <w:r w:rsidR="00780294" w:rsidRPr="008474FE">
              <w:rPr>
                <w:lang w:val="ro-RO"/>
              </w:rPr>
              <w:t>5</w:t>
            </w:r>
            <w:r w:rsidRPr="008474FE">
              <w:rPr>
                <w:lang w:val="ro-RO"/>
              </w:rPr>
              <w:t xml:space="preserve"> al sintezei,</w:t>
            </w:r>
          </w:p>
        </w:tc>
      </w:tr>
      <w:tr w:rsidR="008474FE" w:rsidRPr="008474FE" w:rsidTr="00780294">
        <w:tc>
          <w:tcPr>
            <w:tcW w:w="1150" w:type="dxa"/>
          </w:tcPr>
          <w:p w:rsidR="00115694" w:rsidRPr="008474FE" w:rsidRDefault="00115694" w:rsidP="00780294">
            <w:pPr>
              <w:pStyle w:val="a3"/>
              <w:numPr>
                <w:ilvl w:val="0"/>
                <w:numId w:val="2"/>
              </w:numPr>
              <w:tabs>
                <w:tab w:val="left" w:pos="352"/>
              </w:tabs>
              <w:jc w:val="center"/>
              <w:rPr>
                <w:lang w:val="ro-RO"/>
              </w:rPr>
            </w:pPr>
          </w:p>
        </w:tc>
        <w:tc>
          <w:tcPr>
            <w:tcW w:w="1336" w:type="dxa"/>
          </w:tcPr>
          <w:p w:rsidR="00115694" w:rsidRPr="008474FE" w:rsidRDefault="00115694"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115694" w:rsidRPr="008474FE" w:rsidRDefault="00115694" w:rsidP="00780294">
            <w:pPr>
              <w:pStyle w:val="a8"/>
              <w:tabs>
                <w:tab w:val="center" w:pos="4844"/>
                <w:tab w:val="right" w:pos="9689"/>
              </w:tabs>
              <w:ind w:left="0"/>
              <w:jc w:val="center"/>
              <w:rPr>
                <w:szCs w:val="24"/>
                <w:lang w:val="ro-RO" w:eastAsia="en-US"/>
              </w:rPr>
            </w:pPr>
            <w:r w:rsidRPr="008474FE">
              <w:rPr>
                <w:szCs w:val="24"/>
                <w:lang w:val="ro-RO" w:eastAsia="en-US"/>
              </w:rPr>
              <w:t>Pct.1</w:t>
            </w:r>
          </w:p>
        </w:tc>
        <w:tc>
          <w:tcPr>
            <w:tcW w:w="1789" w:type="dxa"/>
          </w:tcPr>
          <w:p w:rsidR="00115694" w:rsidRPr="008474FE" w:rsidRDefault="00115694"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115694" w:rsidRPr="008474FE" w:rsidRDefault="00115694" w:rsidP="00780294">
            <w:pPr>
              <w:autoSpaceDE w:val="0"/>
              <w:autoSpaceDN w:val="0"/>
              <w:adjustRightInd w:val="0"/>
              <w:jc w:val="both"/>
              <w:rPr>
                <w:lang w:val="ro-RO"/>
              </w:rPr>
            </w:pPr>
            <w:r w:rsidRPr="008474FE">
              <w:rPr>
                <w:lang w:val="ro-RO"/>
              </w:rPr>
              <w:t xml:space="preserve">7. La data de 19 februarie 2014, de către Minsiterul Justiției a fost expediat Guvernului pentru aprobare proiectul legii privind modificarea și completarea Codului contravențional, care la art. I pct. 11 transpune în redacție nouă art. 30 din Codul contravențional. Astfel, se prezintă a fi de prisos dispoziția de completare a art. 30 alin. (5), or art. 30 alin. (9) din proiectul de lege, prezentat Guvernului de Ministerul Justiției, prevede: „Prescripţia executării sancţiunii contravenţionale este de un an, calculat din ziua în care aceasta a rămas definitivă.”. </w:t>
            </w:r>
          </w:p>
        </w:tc>
        <w:tc>
          <w:tcPr>
            <w:tcW w:w="1768" w:type="dxa"/>
          </w:tcPr>
          <w:p w:rsidR="00115694" w:rsidRPr="008474FE" w:rsidRDefault="00115694"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115694" w:rsidRPr="008474FE" w:rsidRDefault="00115694" w:rsidP="00780294">
            <w:pPr>
              <w:pStyle w:val="a8"/>
              <w:tabs>
                <w:tab w:val="center" w:pos="4844"/>
                <w:tab w:val="right" w:pos="9689"/>
              </w:tabs>
              <w:ind w:left="0"/>
              <w:rPr>
                <w:szCs w:val="24"/>
                <w:lang w:val="ro-RO" w:eastAsia="en-US"/>
              </w:rPr>
            </w:pPr>
            <w:r w:rsidRPr="008474FE">
              <w:rPr>
                <w:szCs w:val="24"/>
                <w:lang w:val="ro-RO" w:eastAsia="en-US"/>
              </w:rPr>
              <w:t>S-a exclus conform propunerii</w:t>
            </w:r>
          </w:p>
        </w:tc>
      </w:tr>
      <w:tr w:rsidR="008474FE" w:rsidRPr="008474FE" w:rsidTr="00780294">
        <w:tc>
          <w:tcPr>
            <w:tcW w:w="1150" w:type="dxa"/>
          </w:tcPr>
          <w:p w:rsidR="00115694" w:rsidRPr="008474FE" w:rsidRDefault="00115694" w:rsidP="00780294">
            <w:pPr>
              <w:pStyle w:val="a3"/>
              <w:numPr>
                <w:ilvl w:val="0"/>
                <w:numId w:val="2"/>
              </w:numPr>
              <w:tabs>
                <w:tab w:val="left" w:pos="352"/>
              </w:tabs>
              <w:jc w:val="center"/>
              <w:rPr>
                <w:lang w:val="ro-RO"/>
              </w:rPr>
            </w:pPr>
          </w:p>
        </w:tc>
        <w:tc>
          <w:tcPr>
            <w:tcW w:w="1336" w:type="dxa"/>
          </w:tcPr>
          <w:p w:rsidR="00115694" w:rsidRPr="008474FE" w:rsidRDefault="00115694"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115694" w:rsidRPr="008474FE" w:rsidRDefault="00115694" w:rsidP="00780294">
            <w:pPr>
              <w:pStyle w:val="a8"/>
              <w:tabs>
                <w:tab w:val="center" w:pos="4844"/>
                <w:tab w:val="right" w:pos="9689"/>
              </w:tabs>
              <w:ind w:left="0"/>
              <w:jc w:val="center"/>
              <w:rPr>
                <w:szCs w:val="24"/>
                <w:lang w:val="ro-RO" w:eastAsia="en-US"/>
              </w:rPr>
            </w:pPr>
            <w:r w:rsidRPr="008474FE">
              <w:rPr>
                <w:szCs w:val="24"/>
                <w:lang w:val="ro-RO" w:eastAsia="en-US"/>
              </w:rPr>
              <w:t>Pct.2</w:t>
            </w:r>
          </w:p>
        </w:tc>
        <w:tc>
          <w:tcPr>
            <w:tcW w:w="1789" w:type="dxa"/>
          </w:tcPr>
          <w:p w:rsidR="00115694" w:rsidRPr="008474FE" w:rsidRDefault="00115694"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115694" w:rsidRPr="008474FE" w:rsidRDefault="00115694" w:rsidP="00780294">
            <w:pPr>
              <w:autoSpaceDE w:val="0"/>
              <w:autoSpaceDN w:val="0"/>
              <w:adjustRightInd w:val="0"/>
              <w:jc w:val="both"/>
              <w:rPr>
                <w:lang w:val="ro-RO"/>
              </w:rPr>
            </w:pPr>
            <w:r w:rsidRPr="008474FE">
              <w:rPr>
                <w:sz w:val="28"/>
                <w:szCs w:val="28"/>
                <w:lang w:val="ro-RO"/>
              </w:rPr>
              <w:t>8</w:t>
            </w:r>
            <w:r w:rsidRPr="008474FE">
              <w:rPr>
                <w:lang w:val="ro-RO"/>
              </w:rPr>
              <w:t xml:space="preserve">. Considerăm inacceptabile propunerile de completare a art. 39 din Codul contravențional cu </w:t>
            </w:r>
            <w:r w:rsidRPr="008474FE">
              <w:rPr>
                <w:lang w:val="ro-RO"/>
              </w:rPr>
              <w:lastRenderedPageBreak/>
              <w:t>alin. (3) și (4) în virtutea următoarelor considerente:</w:t>
            </w:r>
          </w:p>
          <w:p w:rsidR="00115694" w:rsidRPr="008474FE" w:rsidRDefault="00115694" w:rsidP="00780294">
            <w:pPr>
              <w:autoSpaceDE w:val="0"/>
              <w:autoSpaceDN w:val="0"/>
              <w:adjustRightInd w:val="0"/>
              <w:jc w:val="both"/>
              <w:rPr>
                <w:lang w:val="ro-RO"/>
              </w:rPr>
            </w:pPr>
            <w:r w:rsidRPr="008474FE">
              <w:rPr>
                <w:lang w:val="ro-RO"/>
              </w:rPr>
              <w:tab/>
              <w:t xml:space="preserve">a) impunerea retragerii din circulație și rechemarea produselor de la consumatori sunt prevăzute la art. 8 alin. (1) lit. f) a Legii </w:t>
            </w:r>
            <w:r w:rsidRPr="008474FE">
              <w:rPr>
                <w:lang w:val="ro-RO" w:eastAsia="ru-RU"/>
              </w:rPr>
              <w:t xml:space="preserve">nr. 422-XVI din 22 decembrie 2006, </w:t>
            </w:r>
            <w:r w:rsidRPr="008474FE">
              <w:rPr>
                <w:lang w:val="ro-RO"/>
              </w:rPr>
              <w:t>în calitate de măsuri, pasibile de aplicare în mod separat de sancțiunea contravențională. Mai mult, proiectul legii privind supravegherea pieței prevede acțiunile de retragere a produselor din circulație și de rechemare a produselor de la consumatori în calitate de măsuri restrictive (corective), aplicabile în mod distinct de sancțiunea contravențională. Prin urmare, aceste măsuri nu pot fi încorporate în sancțiunea contravențională de privare a persoanei juridice de dreptul de a desfășura o anumită activitate;</w:t>
            </w:r>
          </w:p>
          <w:p w:rsidR="00115694" w:rsidRPr="008474FE" w:rsidRDefault="00115694" w:rsidP="00780294">
            <w:pPr>
              <w:autoSpaceDE w:val="0"/>
              <w:autoSpaceDN w:val="0"/>
              <w:adjustRightInd w:val="0"/>
              <w:jc w:val="both"/>
              <w:rPr>
                <w:lang w:val="ro-RO"/>
              </w:rPr>
            </w:pPr>
            <w:r w:rsidRPr="008474FE">
              <w:rPr>
                <w:lang w:val="ro-RO"/>
              </w:rPr>
              <w:tab/>
              <w:t xml:space="preserve">  b) luînd în considerație faptul, că în temeiul argumentelor expuse anterior, sintagma „impunerea retragerii din circulație sau rechemarea produselor de la consumatori” urmează a fi exclusă, relevăm, că redacția art. 39 alin. (3) doar dublează (într-o manieră mai concretă) prevederile art. 39 alin. (1) și nu stabilește soluții normative noi;</w:t>
            </w:r>
          </w:p>
          <w:p w:rsidR="00115694" w:rsidRPr="008474FE" w:rsidRDefault="00115694" w:rsidP="00780294">
            <w:pPr>
              <w:autoSpaceDE w:val="0"/>
              <w:autoSpaceDN w:val="0"/>
              <w:adjustRightInd w:val="0"/>
              <w:jc w:val="both"/>
              <w:rPr>
                <w:lang w:val="ro-RO"/>
              </w:rPr>
            </w:pPr>
            <w:r w:rsidRPr="008474FE">
              <w:rPr>
                <w:lang w:val="ro-RO"/>
              </w:rPr>
              <w:tab/>
              <w:t>c) art. 39 alin. (4) este auxiliar și subsecvent art. 39 alin. (3).</w:t>
            </w:r>
          </w:p>
          <w:p w:rsidR="00115694" w:rsidRPr="008474FE" w:rsidRDefault="00115694" w:rsidP="00780294">
            <w:pPr>
              <w:autoSpaceDE w:val="0"/>
              <w:autoSpaceDN w:val="0"/>
              <w:adjustRightInd w:val="0"/>
              <w:jc w:val="both"/>
              <w:rPr>
                <w:sz w:val="28"/>
                <w:szCs w:val="28"/>
                <w:lang w:val="ro-RO"/>
              </w:rPr>
            </w:pPr>
            <w:r w:rsidRPr="008474FE">
              <w:rPr>
                <w:lang w:val="ro-RO"/>
              </w:rPr>
              <w:tab/>
              <w:t>Consecvent, sunt inadmisibile și prevederile art. 344, în redacția propusă spre adoptare, care stabilesc ca sancțiune contravențională complementară „interzicerea punerii la dispoziție pe piață a produselor periculoase sau retragerea produselor periculoase din circulație, sau rechemarea produselor periculoase de la consumatori.”.</w:t>
            </w:r>
          </w:p>
        </w:tc>
        <w:tc>
          <w:tcPr>
            <w:tcW w:w="1768" w:type="dxa"/>
          </w:tcPr>
          <w:p w:rsidR="00115694" w:rsidRPr="008474FE" w:rsidRDefault="00115694" w:rsidP="00780294">
            <w:pPr>
              <w:pStyle w:val="a8"/>
              <w:tabs>
                <w:tab w:val="center" w:pos="4844"/>
                <w:tab w:val="right" w:pos="9689"/>
              </w:tabs>
              <w:ind w:left="0"/>
              <w:rPr>
                <w:szCs w:val="24"/>
                <w:lang w:val="ro-RO" w:eastAsia="en-US"/>
              </w:rPr>
            </w:pPr>
            <w:r w:rsidRPr="008474FE">
              <w:rPr>
                <w:szCs w:val="24"/>
                <w:lang w:val="ro-RO" w:eastAsia="en-US"/>
              </w:rPr>
              <w:lastRenderedPageBreak/>
              <w:t>Se acceptă</w:t>
            </w:r>
          </w:p>
        </w:tc>
        <w:tc>
          <w:tcPr>
            <w:tcW w:w="3722" w:type="dxa"/>
            <w:gridSpan w:val="2"/>
          </w:tcPr>
          <w:p w:rsidR="00115694" w:rsidRPr="008474FE" w:rsidRDefault="00115694" w:rsidP="00780294">
            <w:pPr>
              <w:pStyle w:val="a8"/>
              <w:tabs>
                <w:tab w:val="center" w:pos="4844"/>
                <w:tab w:val="right" w:pos="9689"/>
              </w:tabs>
              <w:ind w:left="0"/>
              <w:rPr>
                <w:szCs w:val="24"/>
                <w:lang w:val="ro-RO" w:eastAsia="en-US"/>
              </w:rPr>
            </w:pPr>
            <w:r w:rsidRPr="008474FE">
              <w:rPr>
                <w:szCs w:val="24"/>
                <w:lang w:val="ro-RO" w:eastAsia="en-US"/>
              </w:rPr>
              <w:t>S-a exclus conform propunerii</w:t>
            </w:r>
          </w:p>
        </w:tc>
      </w:tr>
      <w:tr w:rsidR="008474FE" w:rsidRPr="008474FE" w:rsidTr="00780294">
        <w:tc>
          <w:tcPr>
            <w:tcW w:w="1150" w:type="dxa"/>
          </w:tcPr>
          <w:p w:rsidR="00115694" w:rsidRPr="008474FE" w:rsidRDefault="00115694" w:rsidP="00780294">
            <w:pPr>
              <w:pStyle w:val="a3"/>
              <w:numPr>
                <w:ilvl w:val="0"/>
                <w:numId w:val="2"/>
              </w:numPr>
              <w:tabs>
                <w:tab w:val="left" w:pos="352"/>
              </w:tabs>
              <w:jc w:val="center"/>
              <w:rPr>
                <w:lang w:val="ro-RO"/>
              </w:rPr>
            </w:pPr>
          </w:p>
        </w:tc>
        <w:tc>
          <w:tcPr>
            <w:tcW w:w="1336" w:type="dxa"/>
          </w:tcPr>
          <w:p w:rsidR="00115694" w:rsidRPr="008474FE" w:rsidRDefault="00115694"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115694" w:rsidRPr="008474FE" w:rsidRDefault="00115694" w:rsidP="00780294">
            <w:pPr>
              <w:pStyle w:val="a8"/>
              <w:tabs>
                <w:tab w:val="center" w:pos="4844"/>
                <w:tab w:val="right" w:pos="9689"/>
              </w:tabs>
              <w:ind w:left="0"/>
              <w:jc w:val="center"/>
              <w:rPr>
                <w:szCs w:val="24"/>
                <w:lang w:val="ro-RO" w:eastAsia="en-US"/>
              </w:rPr>
            </w:pPr>
            <w:r w:rsidRPr="008474FE">
              <w:rPr>
                <w:szCs w:val="24"/>
                <w:lang w:val="ro-RO" w:eastAsia="en-US"/>
              </w:rPr>
              <w:t>Pct.</w:t>
            </w:r>
            <w:r w:rsidR="00E656D3" w:rsidRPr="008474FE">
              <w:rPr>
                <w:szCs w:val="24"/>
                <w:lang w:val="ro-RO" w:eastAsia="en-US"/>
              </w:rPr>
              <w:t>3</w:t>
            </w:r>
          </w:p>
        </w:tc>
        <w:tc>
          <w:tcPr>
            <w:tcW w:w="1789" w:type="dxa"/>
          </w:tcPr>
          <w:p w:rsidR="00115694" w:rsidRPr="008474FE" w:rsidRDefault="00115694"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115694" w:rsidRPr="008474FE" w:rsidRDefault="00115694" w:rsidP="00780294">
            <w:pPr>
              <w:autoSpaceDE w:val="0"/>
              <w:autoSpaceDN w:val="0"/>
              <w:adjustRightInd w:val="0"/>
              <w:jc w:val="both"/>
              <w:rPr>
                <w:lang w:val="ro-RO" w:eastAsia="ru-RU"/>
              </w:rPr>
            </w:pPr>
            <w:r w:rsidRPr="008474FE">
              <w:rPr>
                <w:lang w:val="ro-RO"/>
              </w:rPr>
              <w:t xml:space="preserve">9. Art. 344 alin. (1) lit. a) se va revizui, fiindcă art. 3 alin. (1) al Legii </w:t>
            </w:r>
            <w:r w:rsidRPr="008474FE">
              <w:rPr>
                <w:lang w:val="ro-RO" w:eastAsia="ru-RU"/>
              </w:rPr>
              <w:t>nr. 422-XVI din 22 decembrie 2006 stabilește obligația de respectare a cerinței generale de securitate și în sarcina distribuitorilor.</w:t>
            </w:r>
          </w:p>
        </w:tc>
        <w:tc>
          <w:tcPr>
            <w:tcW w:w="1768" w:type="dxa"/>
          </w:tcPr>
          <w:p w:rsidR="00115694" w:rsidRPr="008474FE" w:rsidRDefault="00115694"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115694" w:rsidRPr="008474FE" w:rsidRDefault="00115694" w:rsidP="00780294">
            <w:pPr>
              <w:pStyle w:val="a8"/>
              <w:tabs>
                <w:tab w:val="center" w:pos="4844"/>
                <w:tab w:val="right" w:pos="9689"/>
              </w:tabs>
              <w:ind w:left="0"/>
              <w:rPr>
                <w:szCs w:val="24"/>
                <w:lang w:val="ro-RO" w:eastAsia="en-US"/>
              </w:rPr>
            </w:pPr>
            <w:r w:rsidRPr="008474FE">
              <w:rPr>
                <w:szCs w:val="24"/>
                <w:lang w:val="ro-RO" w:eastAsia="en-US"/>
              </w:rPr>
              <w:t>S-a redactat conform propunerii</w:t>
            </w:r>
          </w:p>
        </w:tc>
      </w:tr>
      <w:tr w:rsidR="008474FE" w:rsidRPr="008474FE" w:rsidTr="00780294">
        <w:tc>
          <w:tcPr>
            <w:tcW w:w="1150" w:type="dxa"/>
          </w:tcPr>
          <w:p w:rsidR="00102089" w:rsidRPr="008474FE" w:rsidRDefault="00102089" w:rsidP="00780294">
            <w:pPr>
              <w:pStyle w:val="a3"/>
              <w:numPr>
                <w:ilvl w:val="0"/>
                <w:numId w:val="2"/>
              </w:numPr>
              <w:tabs>
                <w:tab w:val="left" w:pos="352"/>
              </w:tabs>
              <w:jc w:val="center"/>
              <w:rPr>
                <w:lang w:val="ro-RO"/>
              </w:rPr>
            </w:pPr>
          </w:p>
        </w:tc>
        <w:tc>
          <w:tcPr>
            <w:tcW w:w="1336" w:type="dxa"/>
          </w:tcPr>
          <w:p w:rsidR="00102089" w:rsidRPr="008474FE" w:rsidRDefault="00102089"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102089" w:rsidRPr="008474FE" w:rsidRDefault="00102089" w:rsidP="00780294">
            <w:pPr>
              <w:pStyle w:val="a8"/>
              <w:tabs>
                <w:tab w:val="center" w:pos="4844"/>
                <w:tab w:val="right" w:pos="9689"/>
              </w:tabs>
              <w:ind w:left="0"/>
              <w:jc w:val="center"/>
              <w:rPr>
                <w:szCs w:val="24"/>
                <w:lang w:val="ro-RO" w:eastAsia="en-US"/>
              </w:rPr>
            </w:pPr>
            <w:r w:rsidRPr="008474FE">
              <w:rPr>
                <w:szCs w:val="24"/>
                <w:lang w:val="ro-RO" w:eastAsia="en-US"/>
              </w:rPr>
              <w:t>Pct.3</w:t>
            </w:r>
          </w:p>
        </w:tc>
        <w:tc>
          <w:tcPr>
            <w:tcW w:w="1789" w:type="dxa"/>
          </w:tcPr>
          <w:p w:rsidR="00102089" w:rsidRPr="008474FE" w:rsidRDefault="00102089"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102089" w:rsidRPr="008474FE" w:rsidRDefault="00102089" w:rsidP="00780294">
            <w:pPr>
              <w:jc w:val="both"/>
              <w:rPr>
                <w:lang w:val="ro-RO" w:eastAsia="ru-RU"/>
              </w:rPr>
            </w:pPr>
            <w:r w:rsidRPr="008474FE">
              <w:rPr>
                <w:lang w:val="ro-RO" w:eastAsia="ru-RU"/>
              </w:rPr>
              <w:t xml:space="preserve">10. Art. 4 alin. (3) lit. a) al </w:t>
            </w:r>
            <w:r w:rsidRPr="008474FE">
              <w:rPr>
                <w:lang w:val="ro-RO"/>
              </w:rPr>
              <w:t xml:space="preserve">Legii </w:t>
            </w:r>
            <w:r w:rsidRPr="008474FE">
              <w:rPr>
                <w:lang w:val="ro-RO" w:eastAsia="ru-RU"/>
              </w:rPr>
              <w:t>nr. 422-XVI din 22 decembrie 2006 prevede</w:t>
            </w:r>
            <w:r w:rsidRPr="008474FE">
              <w:rPr>
                <w:lang w:val="ro-RO"/>
              </w:rPr>
              <w:t>: „</w:t>
            </w:r>
            <w:r w:rsidRPr="008474FE">
              <w:rPr>
                <w:lang w:val="ro-RO" w:eastAsia="ru-RU"/>
              </w:rPr>
              <w:t>Acţiunile specificate la alin. (2) din prezentul articol vor include informarea, prin intermediul produsului sau al ambalajului, asupra identităţii şi detaliilor privind producătorul, informarea asupra produsului sau, după caz, asupra lotului de produse din care acesta face parte, cu excepţia cazurilor cînd omisiunea acestei informaţii este justificată de reglementările tehnice respective.”.</w:t>
            </w:r>
          </w:p>
          <w:p w:rsidR="00102089" w:rsidRPr="008474FE" w:rsidRDefault="00102089" w:rsidP="00780294">
            <w:pPr>
              <w:autoSpaceDE w:val="0"/>
              <w:autoSpaceDN w:val="0"/>
              <w:adjustRightInd w:val="0"/>
              <w:jc w:val="both"/>
              <w:rPr>
                <w:lang w:val="ro-RO" w:eastAsia="ru-RU"/>
              </w:rPr>
            </w:pPr>
            <w:r w:rsidRPr="008474FE">
              <w:rPr>
                <w:lang w:val="ro-RO"/>
              </w:rPr>
              <w:tab/>
              <w:t>Astfel, a</w:t>
            </w:r>
            <w:r w:rsidRPr="008474FE">
              <w:rPr>
                <w:lang w:val="ro-RO" w:eastAsia="ru-RU"/>
              </w:rPr>
              <w:t xml:space="preserve">rt. 344 alin. (1) lit. b) se va revedea, pentru a transpune excepția prevăzută de art. 4 alin. (3) lit. a) al </w:t>
            </w:r>
            <w:r w:rsidRPr="008474FE">
              <w:rPr>
                <w:lang w:val="ro-RO"/>
              </w:rPr>
              <w:t xml:space="preserve">Legii </w:t>
            </w:r>
            <w:r w:rsidRPr="008474FE">
              <w:rPr>
                <w:lang w:val="ro-RO" w:eastAsia="ru-RU"/>
              </w:rPr>
              <w:t>nr. 422-XVI din 22 decembrie 2006. De asemenea, se va ține cont de faptul că obligația stabilită de art. 4 al Legii precitate  incumbă doar producătorilor, nu și importatorilor sau distribuitorilor.</w:t>
            </w:r>
          </w:p>
        </w:tc>
        <w:tc>
          <w:tcPr>
            <w:tcW w:w="1768" w:type="dxa"/>
          </w:tcPr>
          <w:p w:rsidR="00102089" w:rsidRPr="008474FE" w:rsidRDefault="00102089"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102089" w:rsidRPr="008474FE" w:rsidRDefault="00102089" w:rsidP="00780294">
            <w:pPr>
              <w:pStyle w:val="a8"/>
              <w:tabs>
                <w:tab w:val="center" w:pos="4844"/>
                <w:tab w:val="right" w:pos="9689"/>
              </w:tabs>
              <w:ind w:left="0"/>
              <w:rPr>
                <w:szCs w:val="24"/>
                <w:lang w:val="ro-RO" w:eastAsia="en-US"/>
              </w:rPr>
            </w:pPr>
            <w:r w:rsidRPr="008474FE">
              <w:rPr>
                <w:szCs w:val="24"/>
                <w:lang w:val="ro-RO" w:eastAsia="en-US"/>
              </w:rPr>
              <w:t>S-a exclus conform propunerii</w:t>
            </w:r>
          </w:p>
        </w:tc>
      </w:tr>
      <w:tr w:rsidR="008474FE" w:rsidRPr="008474FE" w:rsidTr="00780294">
        <w:tc>
          <w:tcPr>
            <w:tcW w:w="1150" w:type="dxa"/>
          </w:tcPr>
          <w:p w:rsidR="00102089" w:rsidRPr="008474FE" w:rsidRDefault="00102089" w:rsidP="00780294">
            <w:pPr>
              <w:pStyle w:val="a3"/>
              <w:numPr>
                <w:ilvl w:val="0"/>
                <w:numId w:val="2"/>
              </w:numPr>
              <w:tabs>
                <w:tab w:val="left" w:pos="352"/>
              </w:tabs>
              <w:jc w:val="center"/>
              <w:rPr>
                <w:lang w:val="ro-RO"/>
              </w:rPr>
            </w:pPr>
          </w:p>
        </w:tc>
        <w:tc>
          <w:tcPr>
            <w:tcW w:w="1336" w:type="dxa"/>
          </w:tcPr>
          <w:p w:rsidR="00102089" w:rsidRPr="008474FE" w:rsidRDefault="00102089"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102089" w:rsidRPr="008474FE" w:rsidRDefault="00102089" w:rsidP="00780294">
            <w:pPr>
              <w:pStyle w:val="a8"/>
              <w:tabs>
                <w:tab w:val="center" w:pos="4844"/>
                <w:tab w:val="right" w:pos="9689"/>
              </w:tabs>
              <w:ind w:left="0"/>
              <w:jc w:val="center"/>
              <w:rPr>
                <w:szCs w:val="24"/>
                <w:lang w:val="ro-RO" w:eastAsia="en-US"/>
              </w:rPr>
            </w:pPr>
            <w:r w:rsidRPr="008474FE">
              <w:rPr>
                <w:szCs w:val="24"/>
                <w:lang w:val="ro-RO" w:eastAsia="en-US"/>
              </w:rPr>
              <w:t>Pct.3</w:t>
            </w:r>
          </w:p>
        </w:tc>
        <w:tc>
          <w:tcPr>
            <w:tcW w:w="1789" w:type="dxa"/>
          </w:tcPr>
          <w:p w:rsidR="00102089" w:rsidRPr="008474FE" w:rsidRDefault="00102089"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102089" w:rsidRPr="008474FE" w:rsidRDefault="00102089" w:rsidP="00780294">
            <w:pPr>
              <w:autoSpaceDE w:val="0"/>
              <w:autoSpaceDN w:val="0"/>
              <w:adjustRightInd w:val="0"/>
              <w:jc w:val="both"/>
              <w:rPr>
                <w:lang w:val="ro-RO"/>
              </w:rPr>
            </w:pPr>
            <w:r w:rsidRPr="008474FE">
              <w:rPr>
                <w:lang w:val="ro-RO" w:eastAsia="ru-RU"/>
              </w:rPr>
              <w:t xml:space="preserve">Conform art. 19 lit. a) al Legii nr. 780-XV din 27 decembrie 2001, </w:t>
            </w:r>
            <w:r w:rsidRPr="008474FE">
              <w:rPr>
                <w:lang w:val="ro-RO"/>
              </w:rPr>
              <w:t>fraza se construieşte conform normelor gramaticale, astfel încît să exprime corect şi fără echivoc ideea. Prin urmare, l</w:t>
            </w:r>
            <w:r w:rsidRPr="008474FE">
              <w:rPr>
                <w:lang w:val="ro-RO" w:eastAsia="ru-RU"/>
              </w:rPr>
              <w:t xml:space="preserve">a art. 344 alin. (1) lit. c) și lit. d), este necesară revizuirea sintagmei „a acțiunilor corespunzătoare”, deoarece aceasta nu corespunde criteriului de claritate. Considerăm irelevant, pentru atragerea la răspundere contravențională, caracterul corespunzător sau necorespunzător al acțiunilor producătorului. Pentru o formulare fără echivoc a normei contravenționale, </w:t>
            </w:r>
            <w:r w:rsidRPr="008474FE">
              <w:rPr>
                <w:lang w:val="ro-RO" w:eastAsia="ru-RU"/>
              </w:rPr>
              <w:lastRenderedPageBreak/>
              <w:t xml:space="preserve">norma respectivă urmează să prevadă ipoteza neîntreprinderii de către producător (importator) a </w:t>
            </w:r>
            <w:r w:rsidRPr="008474FE">
              <w:rPr>
                <w:b/>
                <w:lang w:val="ro-RO" w:eastAsia="ru-RU"/>
              </w:rPr>
              <w:t xml:space="preserve">acțiunilor prescrise de legislație sau a celor necesare </w:t>
            </w:r>
            <w:r w:rsidRPr="008474FE">
              <w:rPr>
                <w:lang w:val="ro-RO" w:eastAsia="ru-RU"/>
              </w:rPr>
              <w:t xml:space="preserve">pentru a evita riscurile aferente produselor.       </w:t>
            </w:r>
          </w:p>
        </w:tc>
        <w:tc>
          <w:tcPr>
            <w:tcW w:w="1768" w:type="dxa"/>
          </w:tcPr>
          <w:p w:rsidR="00102089" w:rsidRPr="008474FE" w:rsidRDefault="00102089" w:rsidP="00780294">
            <w:pPr>
              <w:pStyle w:val="a8"/>
              <w:tabs>
                <w:tab w:val="center" w:pos="4844"/>
                <w:tab w:val="right" w:pos="9689"/>
              </w:tabs>
              <w:ind w:left="0"/>
              <w:rPr>
                <w:szCs w:val="24"/>
                <w:lang w:val="ro-RO" w:eastAsia="en-US"/>
              </w:rPr>
            </w:pPr>
            <w:r w:rsidRPr="008474FE">
              <w:rPr>
                <w:szCs w:val="24"/>
                <w:lang w:val="ro-RO" w:eastAsia="en-US"/>
              </w:rPr>
              <w:lastRenderedPageBreak/>
              <w:t>Se acceptă</w:t>
            </w:r>
          </w:p>
        </w:tc>
        <w:tc>
          <w:tcPr>
            <w:tcW w:w="3722" w:type="dxa"/>
            <w:gridSpan w:val="2"/>
          </w:tcPr>
          <w:p w:rsidR="00102089" w:rsidRPr="008474FE" w:rsidRDefault="00102089" w:rsidP="00780294">
            <w:pPr>
              <w:pStyle w:val="a8"/>
              <w:tabs>
                <w:tab w:val="center" w:pos="4844"/>
                <w:tab w:val="right" w:pos="9689"/>
              </w:tabs>
              <w:ind w:left="0"/>
              <w:rPr>
                <w:szCs w:val="24"/>
                <w:lang w:val="ro-RO" w:eastAsia="en-US"/>
              </w:rPr>
            </w:pPr>
            <w:r w:rsidRPr="008474FE">
              <w:rPr>
                <w:szCs w:val="24"/>
                <w:lang w:val="ro-RO" w:eastAsia="en-US"/>
              </w:rPr>
              <w:t>S-a redactat conform propunerii</w:t>
            </w:r>
          </w:p>
        </w:tc>
      </w:tr>
      <w:tr w:rsidR="008474FE" w:rsidRPr="008474FE" w:rsidTr="00780294">
        <w:tc>
          <w:tcPr>
            <w:tcW w:w="1150" w:type="dxa"/>
          </w:tcPr>
          <w:p w:rsidR="00102089" w:rsidRPr="008474FE" w:rsidRDefault="00102089" w:rsidP="00780294">
            <w:pPr>
              <w:pStyle w:val="a3"/>
              <w:numPr>
                <w:ilvl w:val="0"/>
                <w:numId w:val="2"/>
              </w:numPr>
              <w:tabs>
                <w:tab w:val="left" w:pos="352"/>
              </w:tabs>
              <w:jc w:val="center"/>
              <w:rPr>
                <w:lang w:val="ro-RO"/>
              </w:rPr>
            </w:pPr>
          </w:p>
        </w:tc>
        <w:tc>
          <w:tcPr>
            <w:tcW w:w="1336" w:type="dxa"/>
          </w:tcPr>
          <w:p w:rsidR="00102089" w:rsidRPr="008474FE" w:rsidRDefault="00102089"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102089" w:rsidRPr="008474FE" w:rsidRDefault="00102089" w:rsidP="00780294">
            <w:pPr>
              <w:pStyle w:val="a8"/>
              <w:tabs>
                <w:tab w:val="center" w:pos="4844"/>
                <w:tab w:val="right" w:pos="9689"/>
              </w:tabs>
              <w:ind w:left="0"/>
              <w:jc w:val="center"/>
              <w:rPr>
                <w:szCs w:val="24"/>
                <w:lang w:val="ro-RO" w:eastAsia="en-US"/>
              </w:rPr>
            </w:pPr>
            <w:r w:rsidRPr="008474FE">
              <w:rPr>
                <w:szCs w:val="24"/>
                <w:lang w:val="ro-RO" w:eastAsia="en-US"/>
              </w:rPr>
              <w:t>Pct.4</w:t>
            </w:r>
          </w:p>
        </w:tc>
        <w:tc>
          <w:tcPr>
            <w:tcW w:w="1789" w:type="dxa"/>
          </w:tcPr>
          <w:p w:rsidR="00102089" w:rsidRPr="008474FE" w:rsidRDefault="00102089"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102089" w:rsidRPr="008474FE" w:rsidRDefault="00102089" w:rsidP="00780294">
            <w:pPr>
              <w:autoSpaceDE w:val="0"/>
              <w:autoSpaceDN w:val="0"/>
              <w:adjustRightInd w:val="0"/>
              <w:jc w:val="both"/>
              <w:rPr>
                <w:lang w:val="ro-RO"/>
              </w:rPr>
            </w:pPr>
            <w:r w:rsidRPr="008474FE">
              <w:rPr>
                <w:lang w:val="ro-RO" w:eastAsia="ru-RU"/>
              </w:rPr>
              <w:t>11. Completarea art. 345 alin. (1) lit. a) din Codul contravențional cu sintagma „sau cu termenul de valabilitate expirat” este inoportună, deoarece t</w:t>
            </w:r>
            <w:proofErr w:type="spellStart"/>
            <w:r w:rsidRPr="008474FE">
              <w:t>ermenul</w:t>
            </w:r>
            <w:proofErr w:type="spellEnd"/>
            <w:r w:rsidRPr="008474FE">
              <w:t xml:space="preserve"> de </w:t>
            </w:r>
            <w:proofErr w:type="spellStart"/>
            <w:r w:rsidRPr="008474FE">
              <w:t>valabili</w:t>
            </w:r>
            <w:proofErr w:type="spellEnd"/>
            <w:r w:rsidRPr="008474FE">
              <w:rPr>
                <w:lang w:val="ro-RO"/>
              </w:rPr>
              <w:t>t</w:t>
            </w:r>
            <w:r w:rsidRPr="008474FE">
              <w:t xml:space="preserve">ate </w:t>
            </w:r>
            <w:proofErr w:type="spellStart"/>
            <w:r w:rsidRPr="008474FE">
              <w:t>este</w:t>
            </w:r>
            <w:proofErr w:type="spellEnd"/>
            <w:r w:rsidRPr="008474FE">
              <w:t xml:space="preserve"> o </w:t>
            </w:r>
            <w:proofErr w:type="spellStart"/>
            <w:r w:rsidRPr="008474FE">
              <w:t>perioadă</w:t>
            </w:r>
            <w:proofErr w:type="spellEnd"/>
            <w:r w:rsidRPr="008474FE">
              <w:t xml:space="preserve"> de </w:t>
            </w:r>
            <w:proofErr w:type="spellStart"/>
            <w:r w:rsidRPr="008474FE">
              <w:t>timp</w:t>
            </w:r>
            <w:proofErr w:type="spellEnd"/>
            <w:r w:rsidRPr="008474FE">
              <w:t xml:space="preserve">, </w:t>
            </w:r>
            <w:proofErr w:type="spellStart"/>
            <w:r w:rsidRPr="008474FE">
              <w:t>stabilită</w:t>
            </w:r>
            <w:proofErr w:type="spellEnd"/>
            <w:r w:rsidRPr="008474FE">
              <w:t xml:space="preserve"> de </w:t>
            </w:r>
            <w:proofErr w:type="spellStart"/>
            <w:r w:rsidRPr="008474FE">
              <w:t>cătreagentul</w:t>
            </w:r>
            <w:proofErr w:type="spellEnd"/>
            <w:r w:rsidRPr="008474FE">
              <w:t xml:space="preserve"> economic care </w:t>
            </w:r>
            <w:proofErr w:type="spellStart"/>
            <w:r w:rsidRPr="008474FE">
              <w:t>fabrică</w:t>
            </w:r>
            <w:proofErr w:type="spellEnd"/>
            <w:r w:rsidRPr="008474FE">
              <w:t xml:space="preserve"> un </w:t>
            </w:r>
            <w:proofErr w:type="spellStart"/>
            <w:r w:rsidRPr="008474FE">
              <w:t>produsperisabilsau</w:t>
            </w:r>
            <w:proofErr w:type="spellEnd"/>
            <w:r w:rsidRPr="008474FE">
              <w:t xml:space="preserve"> un </w:t>
            </w:r>
            <w:proofErr w:type="spellStart"/>
            <w:r w:rsidRPr="008474FE">
              <w:t>produs</w:t>
            </w:r>
            <w:proofErr w:type="spellEnd"/>
            <w:r w:rsidRPr="008474FE">
              <w:t xml:space="preserve"> </w:t>
            </w:r>
            <w:proofErr w:type="spellStart"/>
            <w:r w:rsidRPr="008474FE">
              <w:t>care,înscurttimp</w:t>
            </w:r>
            <w:proofErr w:type="spellEnd"/>
            <w:r w:rsidRPr="008474FE">
              <w:t xml:space="preserve">, </w:t>
            </w:r>
            <w:proofErr w:type="spellStart"/>
            <w:r w:rsidRPr="008474FE">
              <w:t>poatedevenipericulospentrusănătateaconsumatorilor</w:t>
            </w:r>
            <w:proofErr w:type="spellEnd"/>
            <w:r w:rsidRPr="008474FE">
              <w:rPr>
                <w:lang w:val="ro-RO"/>
              </w:rPr>
              <w:t>, iar mijoacele de măsurare (la care se referă art. 345 alin. (1) lit. a)) nu reprezintă produse perisabile sau care</w:t>
            </w:r>
            <w:r w:rsidRPr="008474FE">
              <w:t>,</w:t>
            </w:r>
            <w:proofErr w:type="spellStart"/>
            <w:r w:rsidRPr="008474FE">
              <w:t>înscurttimp</w:t>
            </w:r>
            <w:proofErr w:type="spellEnd"/>
            <w:r w:rsidRPr="008474FE">
              <w:t xml:space="preserve">, </w:t>
            </w:r>
            <w:proofErr w:type="spellStart"/>
            <w:r w:rsidRPr="008474FE">
              <w:t>potdevenipericulo</w:t>
            </w:r>
            <w:proofErr w:type="spellEnd"/>
            <w:r w:rsidRPr="008474FE">
              <w:rPr>
                <w:lang w:val="ro-RO"/>
              </w:rPr>
              <w:t>a</w:t>
            </w:r>
            <w:r w:rsidRPr="008474FE">
              <w:t>s</w:t>
            </w:r>
            <w:r w:rsidRPr="008474FE">
              <w:rPr>
                <w:lang w:val="ro-RO"/>
              </w:rPr>
              <w:t xml:space="preserve">e </w:t>
            </w:r>
            <w:proofErr w:type="spellStart"/>
            <w:r w:rsidRPr="008474FE">
              <w:t>pentrusănătateaconsumatorilor</w:t>
            </w:r>
            <w:proofErr w:type="spellEnd"/>
            <w:r w:rsidRPr="008474FE">
              <w:rPr>
                <w:lang w:val="ro-RO"/>
              </w:rPr>
              <w:t>.</w:t>
            </w:r>
          </w:p>
        </w:tc>
        <w:tc>
          <w:tcPr>
            <w:tcW w:w="1768" w:type="dxa"/>
          </w:tcPr>
          <w:p w:rsidR="00102089" w:rsidRPr="008474FE" w:rsidRDefault="008D7545" w:rsidP="00780294">
            <w:pPr>
              <w:pStyle w:val="a8"/>
              <w:tabs>
                <w:tab w:val="center" w:pos="4844"/>
                <w:tab w:val="right" w:pos="9689"/>
              </w:tabs>
              <w:ind w:left="0"/>
              <w:rPr>
                <w:szCs w:val="24"/>
                <w:lang w:val="ro-RO" w:eastAsia="en-US"/>
              </w:rPr>
            </w:pPr>
            <w:r w:rsidRPr="008474FE">
              <w:rPr>
                <w:szCs w:val="24"/>
                <w:lang w:val="ro-RO" w:eastAsia="en-US"/>
              </w:rPr>
              <w:t>Se acceptă parțial</w:t>
            </w:r>
          </w:p>
        </w:tc>
        <w:tc>
          <w:tcPr>
            <w:tcW w:w="3722" w:type="dxa"/>
            <w:gridSpan w:val="2"/>
          </w:tcPr>
          <w:p w:rsidR="00102089" w:rsidRPr="008474FE" w:rsidRDefault="008D7545" w:rsidP="00780294">
            <w:pPr>
              <w:pStyle w:val="a8"/>
              <w:tabs>
                <w:tab w:val="center" w:pos="4844"/>
                <w:tab w:val="right" w:pos="9689"/>
              </w:tabs>
              <w:ind w:left="0"/>
              <w:rPr>
                <w:szCs w:val="24"/>
                <w:lang w:val="ro-RO" w:eastAsia="en-US"/>
              </w:rPr>
            </w:pPr>
            <w:r w:rsidRPr="008474FE">
              <w:rPr>
                <w:szCs w:val="24"/>
                <w:lang w:val="ro-RO"/>
              </w:rPr>
              <w:t>Avănd în vedere că nu este vorba de produse perisabile, ci de caracteristica</w:t>
            </w:r>
            <w:r w:rsidR="00CC2145" w:rsidRPr="008474FE">
              <w:rPr>
                <w:szCs w:val="24"/>
                <w:lang w:val="ro-RO"/>
              </w:rPr>
              <w:t xml:space="preserve">  mijloacelor de masurare legale de fi utilizate în termenul de valabilitate indicat de buletinul de verificare a mijlocului de măsurare concret, a</w:t>
            </w:r>
            <w:r w:rsidRPr="008474FE">
              <w:rPr>
                <w:szCs w:val="24"/>
                <w:lang w:val="ro-RO"/>
              </w:rPr>
              <w:t xml:space="preserve"> fost reformulat- după sintagma „</w:t>
            </w:r>
            <w:r w:rsidR="00CC2145" w:rsidRPr="008474FE">
              <w:rPr>
                <w:szCs w:val="24"/>
                <w:lang w:val="ro-RO"/>
              </w:rPr>
              <w:t xml:space="preserve">fără buletin de </w:t>
            </w:r>
            <w:r w:rsidRPr="008474FE">
              <w:rPr>
                <w:szCs w:val="24"/>
                <w:lang w:val="ro-RO"/>
              </w:rPr>
              <w:t>verifica</w:t>
            </w:r>
            <w:r w:rsidR="00CC2145" w:rsidRPr="008474FE">
              <w:rPr>
                <w:szCs w:val="24"/>
                <w:lang w:val="ro-RO"/>
              </w:rPr>
              <w:t>r</w:t>
            </w:r>
            <w:r w:rsidRPr="008474FE">
              <w:rPr>
                <w:szCs w:val="24"/>
                <w:lang w:val="ro-RO"/>
              </w:rPr>
              <w:t>e metrologic</w:t>
            </w:r>
            <w:r w:rsidR="00CC2145" w:rsidRPr="008474FE">
              <w:rPr>
                <w:szCs w:val="24"/>
                <w:lang w:val="ro-RO"/>
              </w:rPr>
              <w:t>ă</w:t>
            </w:r>
            <w:r w:rsidRPr="008474FE">
              <w:rPr>
                <w:szCs w:val="24"/>
                <w:lang w:val="ro-RO"/>
              </w:rPr>
              <w:t>”se completează cu sintagma „</w:t>
            </w:r>
            <w:r w:rsidR="00CC2145" w:rsidRPr="008474FE">
              <w:rPr>
                <w:szCs w:val="24"/>
                <w:lang w:val="ro-RO"/>
              </w:rPr>
              <w:t xml:space="preserve">sau </w:t>
            </w:r>
            <w:r w:rsidRPr="008474FE">
              <w:rPr>
                <w:szCs w:val="24"/>
                <w:lang w:val="ro-RO"/>
              </w:rPr>
              <w:t>cu buletin de verificare metroligică cu termenul de valabilitate expirat”;</w:t>
            </w:r>
          </w:p>
        </w:tc>
      </w:tr>
      <w:tr w:rsidR="008474FE" w:rsidRPr="008474FE" w:rsidTr="00780294">
        <w:tc>
          <w:tcPr>
            <w:tcW w:w="1150" w:type="dxa"/>
          </w:tcPr>
          <w:p w:rsidR="00E21E02" w:rsidRPr="008474FE" w:rsidRDefault="00E21E02" w:rsidP="00780294">
            <w:pPr>
              <w:pStyle w:val="a3"/>
              <w:numPr>
                <w:ilvl w:val="0"/>
                <w:numId w:val="2"/>
              </w:numPr>
              <w:tabs>
                <w:tab w:val="left" w:pos="352"/>
              </w:tabs>
              <w:jc w:val="center"/>
              <w:rPr>
                <w:lang w:val="ro-RO"/>
              </w:rPr>
            </w:pPr>
          </w:p>
        </w:tc>
        <w:tc>
          <w:tcPr>
            <w:tcW w:w="1336" w:type="dxa"/>
          </w:tcPr>
          <w:p w:rsidR="00E21E02" w:rsidRPr="008474FE" w:rsidRDefault="00E21E02"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E21E02" w:rsidRPr="008474FE" w:rsidRDefault="00E21E02" w:rsidP="00780294">
            <w:pPr>
              <w:pStyle w:val="a8"/>
              <w:tabs>
                <w:tab w:val="center" w:pos="4844"/>
                <w:tab w:val="right" w:pos="9689"/>
              </w:tabs>
              <w:ind w:left="0"/>
              <w:jc w:val="center"/>
              <w:rPr>
                <w:szCs w:val="24"/>
                <w:lang w:val="ro-RO" w:eastAsia="en-US"/>
              </w:rPr>
            </w:pPr>
            <w:r w:rsidRPr="008474FE">
              <w:rPr>
                <w:szCs w:val="24"/>
                <w:lang w:val="ro-RO" w:eastAsia="en-US"/>
              </w:rPr>
              <w:t>Pct.4</w:t>
            </w:r>
          </w:p>
        </w:tc>
        <w:tc>
          <w:tcPr>
            <w:tcW w:w="1789" w:type="dxa"/>
          </w:tcPr>
          <w:p w:rsidR="00E21E02" w:rsidRPr="008474FE" w:rsidRDefault="00E21E02"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E21E02" w:rsidRPr="008474FE" w:rsidRDefault="00E21E02" w:rsidP="00780294">
            <w:pPr>
              <w:autoSpaceDE w:val="0"/>
              <w:autoSpaceDN w:val="0"/>
              <w:adjustRightInd w:val="0"/>
              <w:jc w:val="both"/>
              <w:rPr>
                <w:lang w:val="ro-RO"/>
              </w:rPr>
            </w:pPr>
            <w:r w:rsidRPr="008474FE">
              <w:rPr>
                <w:lang w:val="ro-RO"/>
              </w:rPr>
              <w:t>12. La art. 345 alin. (1) lit. g) considerăm inoportună substituirea sintagmei „organism național de metrologie” cu „Institutul Național de Metrologie”, deoarece astfel este afectat caracterul de generalitate și stabilitate a normei de drept amendate, care va fi pasibilă de modificare ori de cîte ori se va modifica titulatura instituției respective. În acest context, se va revizui și dispoziția de modificare a art. 345 alin. (2) lit. f).</w:t>
            </w:r>
          </w:p>
        </w:tc>
        <w:tc>
          <w:tcPr>
            <w:tcW w:w="1768" w:type="dxa"/>
          </w:tcPr>
          <w:p w:rsidR="00E21E02" w:rsidRPr="008474FE" w:rsidRDefault="00365AFD" w:rsidP="00780294">
            <w:pPr>
              <w:pStyle w:val="a8"/>
              <w:tabs>
                <w:tab w:val="center" w:pos="4844"/>
                <w:tab w:val="right" w:pos="9689"/>
              </w:tabs>
              <w:ind w:left="0"/>
              <w:rPr>
                <w:szCs w:val="24"/>
                <w:lang w:val="ro-RO" w:eastAsia="en-US"/>
              </w:rPr>
            </w:pPr>
            <w:r w:rsidRPr="008474FE">
              <w:rPr>
                <w:szCs w:val="24"/>
                <w:lang w:val="ro-RO" w:eastAsia="en-US"/>
              </w:rPr>
              <w:t>Nu se acceptă</w:t>
            </w:r>
          </w:p>
        </w:tc>
        <w:tc>
          <w:tcPr>
            <w:tcW w:w="3722" w:type="dxa"/>
            <w:gridSpan w:val="2"/>
          </w:tcPr>
          <w:p w:rsidR="00E21E02" w:rsidRPr="008474FE" w:rsidRDefault="00365AFD" w:rsidP="00780294">
            <w:pPr>
              <w:pStyle w:val="a8"/>
              <w:tabs>
                <w:tab w:val="center" w:pos="4844"/>
                <w:tab w:val="right" w:pos="9689"/>
              </w:tabs>
              <w:ind w:left="0" w:firstLine="147"/>
              <w:jc w:val="both"/>
              <w:rPr>
                <w:szCs w:val="24"/>
                <w:lang w:val="ro-RO" w:eastAsia="en-US"/>
              </w:rPr>
            </w:pPr>
            <w:r w:rsidRPr="008474FE">
              <w:rPr>
                <w:szCs w:val="24"/>
                <w:lang w:val="ro-RO" w:eastAsia="en-US"/>
              </w:rPr>
              <w:t>Legea nr 233 din01.12.2012  pe</w:t>
            </w:r>
            <w:r w:rsidR="005F7B02" w:rsidRPr="008474FE">
              <w:rPr>
                <w:szCs w:val="24"/>
                <w:lang w:val="ro-RO" w:eastAsia="en-US"/>
              </w:rPr>
              <w:t>ntru modificare și completarea L</w:t>
            </w:r>
            <w:r w:rsidRPr="008474FE">
              <w:rPr>
                <w:szCs w:val="24"/>
                <w:lang w:val="ro-RO" w:eastAsia="en-US"/>
              </w:rPr>
              <w:t>egii metrologiei nr.647 din 17.09.1995 a fost exclusă sintagma „organism național de metrologie”</w:t>
            </w:r>
            <w:r w:rsidR="00CC2145" w:rsidRPr="008474FE">
              <w:rPr>
                <w:szCs w:val="24"/>
                <w:lang w:val="ro-RO" w:eastAsia="en-US"/>
              </w:rPr>
              <w:t>, iar unele competențe au fost redistribuite Institutului Național de Metrologie și Ministerului Economiei care conform aceleiaț legi  este – autoritate centrală de metrologie</w:t>
            </w:r>
            <w:r w:rsidR="005F7B02" w:rsidRPr="008474FE">
              <w:rPr>
                <w:szCs w:val="24"/>
                <w:lang w:val="ro-RO" w:eastAsia="en-US"/>
              </w:rPr>
              <w:t>.</w:t>
            </w:r>
          </w:p>
          <w:p w:rsidR="005F7B02" w:rsidRPr="008474FE" w:rsidRDefault="008D4384" w:rsidP="00780294">
            <w:pPr>
              <w:pStyle w:val="a8"/>
              <w:ind w:left="5" w:firstLine="567"/>
              <w:rPr>
                <w:lang w:val="it-IT"/>
              </w:rPr>
            </w:pPr>
            <w:r w:rsidRPr="008474FE">
              <w:rPr>
                <w:szCs w:val="24"/>
                <w:lang w:val="ro-RO" w:eastAsia="en-US"/>
              </w:rPr>
              <w:t>Art.2</w:t>
            </w:r>
            <w:r w:rsidRPr="008474FE">
              <w:rPr>
                <w:szCs w:val="24"/>
                <w:vertAlign w:val="superscript"/>
                <w:lang w:val="ro-RO" w:eastAsia="en-US"/>
              </w:rPr>
              <w:t>1</w:t>
            </w:r>
            <w:r w:rsidR="005F7B02" w:rsidRPr="008474FE">
              <w:rPr>
                <w:szCs w:val="24"/>
                <w:lang w:val="ro-RO" w:eastAsia="en-US"/>
              </w:rPr>
              <w:t>al Legii metrologiei nr.647 din 17.09.1995</w:t>
            </w:r>
            <w:r w:rsidRPr="008474FE">
              <w:rPr>
                <w:lang w:val="ro-RO"/>
              </w:rPr>
              <w:t xml:space="preserve"> stabilește la alin.(8) că „</w:t>
            </w:r>
            <w:r w:rsidRPr="008474FE">
              <w:rPr>
                <w:lang w:val="pt-BR"/>
              </w:rPr>
              <w:t xml:space="preserve"> Agenţia pentru Protecţia Consumatorilor este </w:t>
            </w:r>
            <w:r w:rsidRPr="008474FE">
              <w:rPr>
                <w:lang w:val="pt-BR"/>
              </w:rPr>
              <w:lastRenderedPageBreak/>
              <w:t>organul de control metrologic legal, în numele statului, şi este subordonată autorităţii centrale de metrologie. Agenţia pentru Protecţia Consumatorilor efectuează, fără a percepe plată, controlul metrologic legal al respectării de către persoanele juridice şi fizice a prevederilor actelor normative în domeniul metrologiei legale</w:t>
            </w:r>
            <w:r w:rsidRPr="008474FE">
              <w:rPr>
                <w:lang w:val="ro-RO"/>
              </w:rPr>
              <w:t xml:space="preserve">”, iar la art.17 al legii prenotate </w:t>
            </w:r>
            <w:r w:rsidR="005F7B02" w:rsidRPr="008474FE">
              <w:rPr>
                <w:szCs w:val="24"/>
                <w:lang w:val="ro-RO" w:eastAsia="en-US"/>
              </w:rPr>
              <w:t>„</w:t>
            </w:r>
            <w:r w:rsidR="005F7B02" w:rsidRPr="008474FE">
              <w:rPr>
                <w:b/>
                <w:bCs/>
                <w:lang w:val="it-IT"/>
              </w:rPr>
              <w:t>Articolul 17.</w:t>
            </w:r>
            <w:r w:rsidR="005F7B02" w:rsidRPr="008474FE">
              <w:rPr>
                <w:lang w:val="it-IT"/>
              </w:rPr>
              <w:t xml:space="preserve"> Drepturile inspectorilor de stat </w:t>
            </w:r>
          </w:p>
          <w:p w:rsidR="005F7B02" w:rsidRPr="008474FE" w:rsidRDefault="005F7B02" w:rsidP="00780294">
            <w:pPr>
              <w:pStyle w:val="a8"/>
              <w:ind w:left="147" w:firstLine="567"/>
              <w:jc w:val="both"/>
              <w:rPr>
                <w:lang w:val="it-IT"/>
              </w:rPr>
            </w:pPr>
            <w:r w:rsidRPr="008474FE">
              <w:rPr>
                <w:lang w:val="it-IT"/>
              </w:rPr>
              <w:t xml:space="preserve">(1) Inspectorii de stat împuterniciţi să exercite activităţi de control metrologic legal în domeniile de interes public specificate la art.11 alin.(1) au dreptul: </w:t>
            </w:r>
          </w:p>
          <w:p w:rsidR="005F7B02" w:rsidRPr="008474FE" w:rsidRDefault="005F7B02" w:rsidP="00780294">
            <w:pPr>
              <w:pStyle w:val="a8"/>
              <w:ind w:left="147" w:firstLine="567"/>
              <w:jc w:val="both"/>
              <w:rPr>
                <w:lang w:val="it-IT"/>
              </w:rPr>
            </w:pPr>
            <w:r w:rsidRPr="008474FE">
              <w:rPr>
                <w:lang w:val="it-IT"/>
              </w:rPr>
              <w:t xml:space="preserve">c) să efectueze inspecţii ale mijloacelor de măsurare supuse controlului metrologic legal; </w:t>
            </w:r>
          </w:p>
          <w:p w:rsidR="005F7B02" w:rsidRPr="008474FE" w:rsidRDefault="005F7B02" w:rsidP="00780294">
            <w:pPr>
              <w:pStyle w:val="a8"/>
              <w:ind w:left="147" w:firstLine="567"/>
              <w:jc w:val="both"/>
              <w:rPr>
                <w:lang w:val="it-IT"/>
              </w:rPr>
            </w:pPr>
            <w:r w:rsidRPr="008474FE">
              <w:rPr>
                <w:lang w:val="it-IT"/>
              </w:rPr>
              <w:t xml:space="preserve">e) să emită prescripţii de interzicere a utilizării mijloacelor de măsurare; </w:t>
            </w:r>
          </w:p>
          <w:p w:rsidR="005F7B02" w:rsidRPr="008474FE" w:rsidRDefault="005F7B02" w:rsidP="00780294">
            <w:pPr>
              <w:pStyle w:val="a8"/>
              <w:ind w:left="147" w:firstLine="567"/>
              <w:jc w:val="both"/>
              <w:rPr>
                <w:lang w:val="it-IT"/>
              </w:rPr>
            </w:pPr>
            <w:r w:rsidRPr="008474FE">
              <w:rPr>
                <w:lang w:val="it-IT"/>
              </w:rPr>
              <w:t xml:space="preserve">f) să aplice marca metrologică de stat de interzicere pe mijloacele de măsurare care se constată a fi nelegale. </w:t>
            </w:r>
          </w:p>
          <w:p w:rsidR="008D4384" w:rsidRPr="008474FE" w:rsidRDefault="008D4384" w:rsidP="00780294">
            <w:pPr>
              <w:pStyle w:val="a8"/>
              <w:ind w:left="147" w:firstLine="567"/>
              <w:jc w:val="both"/>
              <w:rPr>
                <w:lang w:val="it-IT"/>
              </w:rPr>
            </w:pPr>
            <w:r w:rsidRPr="008474FE">
              <w:rPr>
                <w:lang w:val="it-IT"/>
              </w:rPr>
              <w:t xml:space="preserve">Modificare propusa vine să aducă în concordanță prevederile Legii Metrologie și cu Codul </w:t>
            </w:r>
            <w:r w:rsidRPr="008474FE">
              <w:rPr>
                <w:lang w:val="it-IT"/>
              </w:rPr>
              <w:lastRenderedPageBreak/>
              <w:t>contravențional</w:t>
            </w:r>
          </w:p>
        </w:tc>
      </w:tr>
      <w:tr w:rsidR="008474FE" w:rsidRPr="008474FE" w:rsidTr="00780294">
        <w:tc>
          <w:tcPr>
            <w:tcW w:w="1150" w:type="dxa"/>
          </w:tcPr>
          <w:p w:rsidR="00E21E02" w:rsidRPr="008474FE" w:rsidRDefault="00E21E02" w:rsidP="00780294">
            <w:pPr>
              <w:pStyle w:val="a3"/>
              <w:numPr>
                <w:ilvl w:val="0"/>
                <w:numId w:val="2"/>
              </w:numPr>
              <w:tabs>
                <w:tab w:val="left" w:pos="352"/>
              </w:tabs>
              <w:jc w:val="center"/>
              <w:rPr>
                <w:lang w:val="ro-RO"/>
              </w:rPr>
            </w:pPr>
          </w:p>
        </w:tc>
        <w:tc>
          <w:tcPr>
            <w:tcW w:w="1336" w:type="dxa"/>
          </w:tcPr>
          <w:p w:rsidR="00E21E02" w:rsidRPr="008474FE" w:rsidRDefault="00E21E02"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E21E02" w:rsidRPr="008474FE" w:rsidRDefault="00E21E02" w:rsidP="00780294">
            <w:pPr>
              <w:pStyle w:val="a8"/>
              <w:tabs>
                <w:tab w:val="center" w:pos="4844"/>
                <w:tab w:val="right" w:pos="9689"/>
              </w:tabs>
              <w:ind w:left="0"/>
              <w:jc w:val="center"/>
              <w:rPr>
                <w:szCs w:val="24"/>
                <w:lang w:val="ro-RO" w:eastAsia="en-US"/>
              </w:rPr>
            </w:pPr>
            <w:r w:rsidRPr="008474FE">
              <w:rPr>
                <w:szCs w:val="24"/>
                <w:lang w:val="ro-RO" w:eastAsia="en-US"/>
              </w:rPr>
              <w:t>Pct.4</w:t>
            </w:r>
          </w:p>
        </w:tc>
        <w:tc>
          <w:tcPr>
            <w:tcW w:w="1789" w:type="dxa"/>
          </w:tcPr>
          <w:p w:rsidR="00E21E02" w:rsidRPr="008474FE" w:rsidRDefault="00E21E02"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E21E02" w:rsidRPr="008474FE" w:rsidRDefault="00E21E02" w:rsidP="00780294">
            <w:pPr>
              <w:autoSpaceDE w:val="0"/>
              <w:autoSpaceDN w:val="0"/>
              <w:adjustRightInd w:val="0"/>
              <w:jc w:val="both"/>
              <w:rPr>
                <w:lang w:val="ro-RO" w:eastAsia="ru-RU"/>
              </w:rPr>
            </w:pPr>
            <w:r w:rsidRPr="008474FE">
              <w:rPr>
                <w:lang w:val="ro-RO"/>
              </w:rPr>
              <w:t>13. Modificarea propusă la art. 345 alin. (2) lit. d) din Codul contravențional, urmează a fi efectuată la lit. c) a articolului prenotat.</w:t>
            </w:r>
          </w:p>
        </w:tc>
        <w:tc>
          <w:tcPr>
            <w:tcW w:w="1768" w:type="dxa"/>
          </w:tcPr>
          <w:p w:rsidR="00E21E02" w:rsidRPr="008474FE" w:rsidRDefault="00A53C42" w:rsidP="00780294">
            <w:pPr>
              <w:pStyle w:val="a8"/>
              <w:tabs>
                <w:tab w:val="center" w:pos="4844"/>
                <w:tab w:val="right" w:pos="9689"/>
              </w:tabs>
              <w:ind w:left="0"/>
              <w:rPr>
                <w:szCs w:val="24"/>
                <w:lang w:val="ro-RO" w:eastAsia="en-US"/>
              </w:rPr>
            </w:pPr>
            <w:r w:rsidRPr="008474FE">
              <w:rPr>
                <w:szCs w:val="24"/>
                <w:lang w:val="ro-RO" w:eastAsia="en-US"/>
              </w:rPr>
              <w:t xml:space="preserve">Se acceptă </w:t>
            </w:r>
          </w:p>
        </w:tc>
        <w:tc>
          <w:tcPr>
            <w:tcW w:w="3722" w:type="dxa"/>
            <w:gridSpan w:val="2"/>
          </w:tcPr>
          <w:p w:rsidR="00E21E02" w:rsidRPr="008474FE" w:rsidRDefault="00A53C42" w:rsidP="00780294">
            <w:pPr>
              <w:pStyle w:val="a8"/>
              <w:tabs>
                <w:tab w:val="center" w:pos="4844"/>
                <w:tab w:val="right" w:pos="9689"/>
              </w:tabs>
              <w:ind w:left="0"/>
              <w:rPr>
                <w:szCs w:val="24"/>
                <w:lang w:val="ro-RO" w:eastAsia="en-US"/>
              </w:rPr>
            </w:pPr>
            <w:r w:rsidRPr="008474FE">
              <w:rPr>
                <w:szCs w:val="24"/>
                <w:lang w:val="ro-RO" w:eastAsia="en-US"/>
              </w:rPr>
              <w:t>Redactat conform propunerii:</w:t>
            </w:r>
          </w:p>
          <w:p w:rsidR="00A53C42" w:rsidRPr="008474FE" w:rsidRDefault="00A53C42" w:rsidP="00780294">
            <w:pPr>
              <w:pStyle w:val="a8"/>
              <w:ind w:left="147" w:firstLine="540"/>
              <w:rPr>
                <w:szCs w:val="24"/>
                <w:lang w:val="ro-RO"/>
              </w:rPr>
            </w:pPr>
            <w:r w:rsidRPr="008474FE">
              <w:rPr>
                <w:szCs w:val="24"/>
                <w:lang w:val="ro-RO"/>
              </w:rPr>
              <w:t>la alineatul (2):</w:t>
            </w:r>
          </w:p>
          <w:p w:rsidR="00A53C42" w:rsidRPr="008474FE" w:rsidRDefault="00A53C42" w:rsidP="00780294">
            <w:pPr>
              <w:pStyle w:val="a8"/>
              <w:ind w:left="147" w:firstLine="540"/>
              <w:rPr>
                <w:szCs w:val="24"/>
                <w:lang w:val="ro-RO"/>
              </w:rPr>
            </w:pPr>
            <w:r w:rsidRPr="008474FE">
              <w:rPr>
                <w:szCs w:val="24"/>
                <w:lang w:val="ro-RO"/>
              </w:rPr>
              <w:t xml:space="preserve">litera c)se substituie sintagma „organismul naţional de metrologie” cu sintagma „autoritatea centrală de metrologie”; </w:t>
            </w:r>
          </w:p>
        </w:tc>
      </w:tr>
      <w:tr w:rsidR="008474FE" w:rsidRPr="008474FE" w:rsidTr="00780294">
        <w:tc>
          <w:tcPr>
            <w:tcW w:w="1150" w:type="dxa"/>
          </w:tcPr>
          <w:p w:rsidR="00780294" w:rsidRPr="008474FE" w:rsidRDefault="00780294" w:rsidP="00780294">
            <w:pPr>
              <w:pStyle w:val="a3"/>
              <w:numPr>
                <w:ilvl w:val="0"/>
                <w:numId w:val="2"/>
              </w:numPr>
              <w:tabs>
                <w:tab w:val="left" w:pos="352"/>
              </w:tabs>
              <w:jc w:val="center"/>
              <w:rPr>
                <w:lang w:val="ro-RO"/>
              </w:rPr>
            </w:pPr>
          </w:p>
        </w:tc>
        <w:tc>
          <w:tcPr>
            <w:tcW w:w="1336" w:type="dxa"/>
          </w:tcPr>
          <w:p w:rsidR="00780294" w:rsidRPr="008474FE" w:rsidRDefault="00780294"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780294" w:rsidRPr="008474FE" w:rsidRDefault="00780294" w:rsidP="00780294">
            <w:pPr>
              <w:pStyle w:val="a8"/>
              <w:tabs>
                <w:tab w:val="center" w:pos="4844"/>
                <w:tab w:val="right" w:pos="9689"/>
              </w:tabs>
              <w:ind w:left="0"/>
              <w:jc w:val="center"/>
              <w:rPr>
                <w:szCs w:val="24"/>
                <w:lang w:val="ro-RO" w:eastAsia="en-US"/>
              </w:rPr>
            </w:pPr>
            <w:r w:rsidRPr="008474FE">
              <w:rPr>
                <w:lang w:val="ro-RO" w:eastAsia="en-US"/>
              </w:rPr>
              <w:t>Pct.5</w:t>
            </w:r>
          </w:p>
        </w:tc>
        <w:tc>
          <w:tcPr>
            <w:tcW w:w="1789" w:type="dxa"/>
          </w:tcPr>
          <w:p w:rsidR="00780294" w:rsidRPr="008474FE" w:rsidRDefault="00780294" w:rsidP="00780294">
            <w:pPr>
              <w:pStyle w:val="a8"/>
              <w:tabs>
                <w:tab w:val="center" w:pos="4844"/>
                <w:tab w:val="right" w:pos="9689"/>
              </w:tabs>
              <w:ind w:left="0"/>
              <w:rPr>
                <w:szCs w:val="24"/>
                <w:lang w:val="ro-RO" w:eastAsia="en-US"/>
              </w:rPr>
            </w:pPr>
            <w:r w:rsidRPr="008474FE">
              <w:rPr>
                <w:szCs w:val="24"/>
                <w:lang w:val="ro-RO" w:eastAsia="en-US"/>
              </w:rPr>
              <w:t>Agenția pentru Protecția Consumatorilor</w:t>
            </w:r>
          </w:p>
        </w:tc>
        <w:tc>
          <w:tcPr>
            <w:tcW w:w="5261" w:type="dxa"/>
          </w:tcPr>
          <w:p w:rsidR="00780294" w:rsidRPr="008474FE" w:rsidRDefault="00780294" w:rsidP="00780294">
            <w:pPr>
              <w:autoSpaceDE w:val="0"/>
              <w:autoSpaceDN w:val="0"/>
              <w:adjustRightInd w:val="0"/>
              <w:jc w:val="both"/>
              <w:rPr>
                <w:lang w:val="ro-RO"/>
              </w:rPr>
            </w:pPr>
            <w:r w:rsidRPr="008474FE">
              <w:rPr>
                <w:lang w:val="ro-RO"/>
              </w:rPr>
              <w:t xml:space="preserve">- la art. 408 Cod contravenţional, aliniatul (2) de modificat cu următorul cuprins: „sînt în drept să constate contravenţii şi să încheie procese-verbale </w:t>
            </w:r>
            <w:proofErr w:type="spellStart"/>
            <w:r w:rsidRPr="008474FE">
              <w:t>directorul</w:t>
            </w:r>
            <w:proofErr w:type="spellEnd"/>
            <w:r w:rsidRPr="008474FE">
              <w:t xml:space="preserve"> </w:t>
            </w:r>
            <w:proofErr w:type="spellStart"/>
            <w:r w:rsidRPr="008474FE">
              <w:t>Agenţiei</w:t>
            </w:r>
            <w:proofErr w:type="spellEnd"/>
            <w:r w:rsidRPr="008474FE">
              <w:t xml:space="preserve"> </w:t>
            </w:r>
            <w:proofErr w:type="spellStart"/>
            <w:r w:rsidRPr="008474FE">
              <w:t>pentru</w:t>
            </w:r>
            <w:proofErr w:type="spellEnd"/>
            <w:r w:rsidRPr="008474FE">
              <w:t xml:space="preserve"> </w:t>
            </w:r>
            <w:proofErr w:type="spellStart"/>
            <w:r w:rsidRPr="008474FE">
              <w:t>Protecţia</w:t>
            </w:r>
            <w:proofErr w:type="spellEnd"/>
            <w:r w:rsidRPr="008474FE">
              <w:t xml:space="preserve"> </w:t>
            </w:r>
            <w:proofErr w:type="spellStart"/>
            <w:r w:rsidRPr="008474FE">
              <w:t>Consumatorilor</w:t>
            </w:r>
            <w:proofErr w:type="spellEnd"/>
            <w:r w:rsidRPr="008474FE">
              <w:t xml:space="preserve">, </w:t>
            </w:r>
            <w:proofErr w:type="spellStart"/>
            <w:r w:rsidRPr="008474FE">
              <w:t>vicedirectorii</w:t>
            </w:r>
            <w:proofErr w:type="spellEnd"/>
            <w:r w:rsidRPr="008474FE">
              <w:t xml:space="preserve">, </w:t>
            </w:r>
            <w:proofErr w:type="spellStart"/>
            <w:r w:rsidRPr="008474FE">
              <w:t>şefii</w:t>
            </w:r>
            <w:proofErr w:type="spellEnd"/>
            <w:r w:rsidRPr="008474FE">
              <w:t>/</w:t>
            </w:r>
            <w:proofErr w:type="spellStart"/>
            <w:r w:rsidRPr="008474FE">
              <w:t>şefii</w:t>
            </w:r>
            <w:proofErr w:type="spellEnd"/>
            <w:r w:rsidRPr="008474FE">
              <w:t xml:space="preserve"> </w:t>
            </w:r>
            <w:proofErr w:type="spellStart"/>
            <w:r w:rsidRPr="008474FE">
              <w:t>adjuncţi</w:t>
            </w:r>
            <w:proofErr w:type="spellEnd"/>
            <w:r w:rsidRPr="008474FE">
              <w:t xml:space="preserve"> </w:t>
            </w:r>
            <w:proofErr w:type="spellStart"/>
            <w:r w:rsidRPr="008474FE">
              <w:t>Direcţie</w:t>
            </w:r>
            <w:proofErr w:type="spellEnd"/>
            <w:r w:rsidRPr="008474FE">
              <w:t xml:space="preserve">, </w:t>
            </w:r>
            <w:proofErr w:type="spellStart"/>
            <w:r w:rsidRPr="008474FE">
              <w:t>pecum</w:t>
            </w:r>
            <w:proofErr w:type="spellEnd"/>
            <w:r w:rsidRPr="008474FE">
              <w:t xml:space="preserve"> </w:t>
            </w:r>
            <w:proofErr w:type="spellStart"/>
            <w:r w:rsidRPr="008474FE">
              <w:t>şi</w:t>
            </w:r>
            <w:proofErr w:type="spellEnd"/>
            <w:r w:rsidRPr="008474FE">
              <w:t xml:space="preserve"> </w:t>
            </w:r>
            <w:proofErr w:type="spellStart"/>
            <w:r w:rsidRPr="008474FE">
              <w:t>inspectorii</w:t>
            </w:r>
            <w:proofErr w:type="spellEnd"/>
            <w:r w:rsidRPr="008474FE">
              <w:t xml:space="preserve">, </w:t>
            </w:r>
            <w:proofErr w:type="spellStart"/>
            <w:r w:rsidRPr="008474FE">
              <w:t>inspectorii</w:t>
            </w:r>
            <w:proofErr w:type="spellEnd"/>
            <w:r w:rsidRPr="008474FE">
              <w:t xml:space="preserve"> </w:t>
            </w:r>
            <w:proofErr w:type="spellStart"/>
            <w:r w:rsidRPr="008474FE">
              <w:t>superiori</w:t>
            </w:r>
            <w:proofErr w:type="spellEnd"/>
            <w:r w:rsidRPr="008474FE">
              <w:t xml:space="preserve"> </w:t>
            </w:r>
            <w:proofErr w:type="spellStart"/>
            <w:r w:rsidRPr="008474FE">
              <w:t>şi</w:t>
            </w:r>
            <w:proofErr w:type="spellEnd"/>
            <w:r w:rsidRPr="008474FE">
              <w:t xml:space="preserve"> </w:t>
            </w:r>
            <w:proofErr w:type="spellStart"/>
            <w:r w:rsidRPr="008474FE">
              <w:t>inspectorii</w:t>
            </w:r>
            <w:proofErr w:type="spellEnd"/>
            <w:r w:rsidRPr="008474FE">
              <w:t xml:space="preserve"> </w:t>
            </w:r>
            <w:proofErr w:type="spellStart"/>
            <w:r w:rsidRPr="008474FE">
              <w:t>principali</w:t>
            </w:r>
            <w:proofErr w:type="spellEnd"/>
            <w:r w:rsidRPr="008474FE">
              <w:rPr>
                <w:lang w:val="ro-RO"/>
              </w:rPr>
              <w:t>”. Necesitatea modificării a survenit avînd în vedere modificarea Legii pentru aprobarea Clasificatorului al funcţiilor publice nr. 155 din 21.07.2011.</w:t>
            </w:r>
          </w:p>
        </w:tc>
        <w:tc>
          <w:tcPr>
            <w:tcW w:w="1768" w:type="dxa"/>
          </w:tcPr>
          <w:p w:rsidR="00780294" w:rsidRPr="008474FE" w:rsidRDefault="00780294" w:rsidP="00780294">
            <w:pPr>
              <w:pStyle w:val="a8"/>
              <w:tabs>
                <w:tab w:val="center" w:pos="4844"/>
                <w:tab w:val="right" w:pos="9689"/>
              </w:tabs>
              <w:ind w:left="0"/>
              <w:rPr>
                <w:szCs w:val="24"/>
                <w:lang w:val="ro-RO" w:eastAsia="en-US"/>
              </w:rPr>
            </w:pPr>
            <w:r w:rsidRPr="008474FE">
              <w:rPr>
                <w:lang w:val="ro-RO" w:eastAsia="en-US"/>
              </w:rPr>
              <w:t>Se acceptă parțial</w:t>
            </w:r>
          </w:p>
        </w:tc>
        <w:tc>
          <w:tcPr>
            <w:tcW w:w="3722" w:type="dxa"/>
            <w:gridSpan w:val="2"/>
          </w:tcPr>
          <w:p w:rsidR="00780294" w:rsidRPr="008474FE" w:rsidRDefault="00780294" w:rsidP="00780294">
            <w:pPr>
              <w:pStyle w:val="a8"/>
              <w:tabs>
                <w:tab w:val="center" w:pos="4844"/>
                <w:tab w:val="right" w:pos="9689"/>
              </w:tabs>
              <w:ind w:left="0"/>
              <w:rPr>
                <w:szCs w:val="24"/>
                <w:lang w:val="ro-RO" w:eastAsia="en-US"/>
              </w:rPr>
            </w:pPr>
            <w:r w:rsidRPr="008474FE">
              <w:rPr>
                <w:lang w:val="ro-RO" w:eastAsia="en-US"/>
              </w:rPr>
              <w:t>S-a exclus conform propunerii a se vedea poziţia Ministerului Justiţiei, a se vedea pct. 24 al sintezei,</w:t>
            </w:r>
          </w:p>
        </w:tc>
      </w:tr>
      <w:tr w:rsidR="008474FE" w:rsidRPr="008474FE" w:rsidTr="00780294">
        <w:tc>
          <w:tcPr>
            <w:tcW w:w="1150" w:type="dxa"/>
          </w:tcPr>
          <w:p w:rsidR="00780294" w:rsidRPr="008474FE" w:rsidRDefault="00780294" w:rsidP="00780294">
            <w:pPr>
              <w:pStyle w:val="a3"/>
              <w:numPr>
                <w:ilvl w:val="0"/>
                <w:numId w:val="2"/>
              </w:numPr>
              <w:tabs>
                <w:tab w:val="left" w:pos="352"/>
              </w:tabs>
              <w:jc w:val="center"/>
              <w:rPr>
                <w:lang w:val="ro-RO"/>
              </w:rPr>
            </w:pPr>
          </w:p>
        </w:tc>
        <w:tc>
          <w:tcPr>
            <w:tcW w:w="1336" w:type="dxa"/>
          </w:tcPr>
          <w:p w:rsidR="00780294" w:rsidRPr="008474FE" w:rsidRDefault="00780294"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780294" w:rsidRPr="008474FE" w:rsidRDefault="00780294" w:rsidP="00780294">
            <w:pPr>
              <w:pStyle w:val="a8"/>
              <w:tabs>
                <w:tab w:val="center" w:pos="4844"/>
                <w:tab w:val="right" w:pos="9689"/>
              </w:tabs>
              <w:ind w:left="0"/>
              <w:jc w:val="center"/>
              <w:rPr>
                <w:szCs w:val="24"/>
                <w:lang w:val="ro-RO" w:eastAsia="en-US"/>
              </w:rPr>
            </w:pPr>
            <w:r w:rsidRPr="008474FE">
              <w:rPr>
                <w:szCs w:val="24"/>
                <w:lang w:val="ro-RO" w:eastAsia="en-US"/>
              </w:rPr>
              <w:t>Pct.5</w:t>
            </w:r>
          </w:p>
        </w:tc>
        <w:tc>
          <w:tcPr>
            <w:tcW w:w="1789" w:type="dxa"/>
          </w:tcPr>
          <w:p w:rsidR="00780294" w:rsidRPr="008474FE" w:rsidRDefault="00780294"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780294" w:rsidRPr="008474FE" w:rsidRDefault="00780294" w:rsidP="00780294">
            <w:pPr>
              <w:jc w:val="both"/>
              <w:rPr>
                <w:lang w:val="ro-RO"/>
              </w:rPr>
            </w:pPr>
            <w:r w:rsidRPr="008474FE">
              <w:rPr>
                <w:lang w:val="ro-RO"/>
              </w:rPr>
              <w:t xml:space="preserve">În acest context, se prezintă a fi inutilă și modificarea art. 408 alin. (2) din Codul contravențional (propusă la pct. 5), deoarece o redacție similară este propusă și în proiectul înaintat către Guvern de Ministerul Justiției.   </w:t>
            </w:r>
          </w:p>
        </w:tc>
        <w:tc>
          <w:tcPr>
            <w:tcW w:w="1768" w:type="dxa"/>
          </w:tcPr>
          <w:p w:rsidR="00780294" w:rsidRPr="008474FE" w:rsidRDefault="00780294"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780294" w:rsidRPr="008474FE" w:rsidRDefault="00780294" w:rsidP="00780294">
            <w:pPr>
              <w:pStyle w:val="a8"/>
              <w:tabs>
                <w:tab w:val="center" w:pos="4844"/>
                <w:tab w:val="right" w:pos="9689"/>
              </w:tabs>
              <w:ind w:left="0"/>
              <w:rPr>
                <w:szCs w:val="24"/>
                <w:lang w:val="ro-RO" w:eastAsia="en-US"/>
              </w:rPr>
            </w:pPr>
            <w:r w:rsidRPr="008474FE">
              <w:rPr>
                <w:szCs w:val="24"/>
                <w:lang w:val="ro-RO" w:eastAsia="en-US"/>
              </w:rPr>
              <w:t>S-a exclus conform propunerii</w:t>
            </w:r>
          </w:p>
        </w:tc>
      </w:tr>
      <w:tr w:rsidR="008474FE" w:rsidRPr="008474FE" w:rsidTr="00780294">
        <w:tc>
          <w:tcPr>
            <w:tcW w:w="1150" w:type="dxa"/>
          </w:tcPr>
          <w:p w:rsidR="00082DDD" w:rsidRPr="008474FE" w:rsidRDefault="00082DDD" w:rsidP="00780294">
            <w:pPr>
              <w:pStyle w:val="a3"/>
              <w:numPr>
                <w:ilvl w:val="0"/>
                <w:numId w:val="2"/>
              </w:numPr>
              <w:tabs>
                <w:tab w:val="left" w:pos="352"/>
              </w:tabs>
              <w:jc w:val="center"/>
              <w:rPr>
                <w:lang w:val="ro-RO"/>
              </w:rPr>
            </w:pPr>
          </w:p>
        </w:tc>
        <w:tc>
          <w:tcPr>
            <w:tcW w:w="1336" w:type="dxa"/>
          </w:tcPr>
          <w:p w:rsidR="00082DDD" w:rsidRPr="008474FE" w:rsidRDefault="00082DDD"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082DDD" w:rsidRPr="008474FE" w:rsidRDefault="00082DDD" w:rsidP="00780294">
            <w:pPr>
              <w:pStyle w:val="a8"/>
              <w:tabs>
                <w:tab w:val="center" w:pos="4844"/>
                <w:tab w:val="right" w:pos="9689"/>
              </w:tabs>
              <w:ind w:left="0"/>
              <w:jc w:val="center"/>
              <w:rPr>
                <w:szCs w:val="24"/>
                <w:lang w:val="ro-RO" w:eastAsia="en-US"/>
              </w:rPr>
            </w:pPr>
            <w:r w:rsidRPr="008474FE">
              <w:rPr>
                <w:szCs w:val="24"/>
                <w:lang w:val="ro-RO" w:eastAsia="en-US"/>
              </w:rPr>
              <w:t>Pct.6</w:t>
            </w:r>
          </w:p>
        </w:tc>
        <w:tc>
          <w:tcPr>
            <w:tcW w:w="1789" w:type="dxa"/>
          </w:tcPr>
          <w:p w:rsidR="00082DDD" w:rsidRPr="008474FE" w:rsidRDefault="00082DDD"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082DDD" w:rsidRPr="008474FE" w:rsidRDefault="00082DDD" w:rsidP="00780294">
            <w:pPr>
              <w:autoSpaceDE w:val="0"/>
              <w:autoSpaceDN w:val="0"/>
              <w:adjustRightInd w:val="0"/>
              <w:jc w:val="both"/>
              <w:rPr>
                <w:lang w:val="ro-RO"/>
              </w:rPr>
            </w:pPr>
            <w:r w:rsidRPr="008474FE">
              <w:rPr>
                <w:lang w:val="ro-RO"/>
              </w:rPr>
              <w:t>14. La art. 432 din Codul contravențional, considerăm inoportună și nejustificată modificarea titlului articolului. Actualul titlu este formulat de o manieră analogică titlului V din Codul de procedură penală, care reglementează măsuri procesuale de constrîngere similare celor prevăzute de art. 342 din Codul contravențional.</w:t>
            </w:r>
          </w:p>
          <w:p w:rsidR="00082DDD" w:rsidRPr="008474FE" w:rsidRDefault="00082DDD" w:rsidP="00780294">
            <w:pPr>
              <w:autoSpaceDE w:val="0"/>
              <w:autoSpaceDN w:val="0"/>
              <w:adjustRightInd w:val="0"/>
              <w:jc w:val="both"/>
              <w:rPr>
                <w:lang w:val="ro-RO"/>
              </w:rPr>
            </w:pPr>
            <w:r w:rsidRPr="008474FE">
              <w:rPr>
                <w:lang w:val="ro-RO"/>
              </w:rPr>
              <w:tab/>
              <w:t xml:space="preserve">De asemenea, este inadmisibilă și redacția propusă spre adoptare a alineatului unic al art. 432 </w:t>
            </w:r>
            <w:r w:rsidRPr="008474FE">
              <w:rPr>
                <w:lang w:val="ro-RO"/>
              </w:rPr>
              <w:lastRenderedPageBreak/>
              <w:t>din Codul contravențional, fiindcă măsurile procesuale de constrîngere trebuie aplicate în mod operativ, în funcție de circumstanțele constatate la fața locului și autoritatea competentă să soluționeze cauzele contravenționale, care în anumite cazuri, stabilite de Codul contravențional, este alta decît autoritatea care constată contravenția, nu va putea îndeplini condițiile de operativitate, oportunitate și eficacitate la aplicarea măsurilor procesuale de constringere.</w:t>
            </w:r>
          </w:p>
          <w:p w:rsidR="00082DDD" w:rsidRPr="008474FE" w:rsidRDefault="00082DDD" w:rsidP="00780294">
            <w:pPr>
              <w:autoSpaceDE w:val="0"/>
              <w:autoSpaceDN w:val="0"/>
              <w:adjustRightInd w:val="0"/>
              <w:jc w:val="both"/>
              <w:rPr>
                <w:lang w:val="ro-RO"/>
              </w:rPr>
            </w:pPr>
            <w:r w:rsidRPr="008474FE">
              <w:rPr>
                <w:lang w:val="ro-RO"/>
              </w:rPr>
              <w:tab/>
              <w:t>Referitor la lit. f) cu care se completează art. 432 din Codul contravențional, menționăm, că este inadmisibil de a stabili interzicerea punerii la dispoziție pe piață a produselor periculoase, retragerea de pe piață a acestor produse sau rechemarea produselor respective de la consumatori în calitate de măsuri procesuale de constrîngere aplicabile pe parcursul examinării cauzei contravenționale, deoarece, în situația în care se va constata lipsa componenței de contravenție, anularea măsurilor și restabilirea situației anterioare aplicării acestora va implica repararea de către autoritatea constatatoare a prejudiciului cauzat prin aplicarea măsurilor respective, prejudiciu care ar putea atinge valori considerabile.</w:t>
            </w:r>
          </w:p>
          <w:p w:rsidR="00082DDD" w:rsidRPr="008474FE" w:rsidRDefault="00082DDD" w:rsidP="00780294">
            <w:pPr>
              <w:autoSpaceDE w:val="0"/>
              <w:autoSpaceDN w:val="0"/>
              <w:adjustRightInd w:val="0"/>
              <w:jc w:val="both"/>
              <w:rPr>
                <w:lang w:val="ro-RO"/>
              </w:rPr>
            </w:pPr>
            <w:r w:rsidRPr="008474FE">
              <w:rPr>
                <w:lang w:val="ro-RO"/>
              </w:rPr>
              <w:tab/>
              <w:t>În temeiul argumentelor enunțate, se va revizui și art. 439</w:t>
            </w:r>
            <w:r w:rsidRPr="008474FE">
              <w:rPr>
                <w:vertAlign w:val="superscript"/>
                <w:lang w:val="ro-RO"/>
              </w:rPr>
              <w:t>1</w:t>
            </w:r>
            <w:r w:rsidRPr="008474FE">
              <w:rPr>
                <w:lang w:val="ro-RO"/>
              </w:rPr>
              <w:t>.</w:t>
            </w:r>
          </w:p>
        </w:tc>
        <w:tc>
          <w:tcPr>
            <w:tcW w:w="1768" w:type="dxa"/>
          </w:tcPr>
          <w:p w:rsidR="00082DDD" w:rsidRPr="008474FE" w:rsidRDefault="00082DDD" w:rsidP="00780294">
            <w:pPr>
              <w:pStyle w:val="a8"/>
              <w:tabs>
                <w:tab w:val="center" w:pos="4844"/>
                <w:tab w:val="right" w:pos="9689"/>
              </w:tabs>
              <w:ind w:left="0"/>
              <w:rPr>
                <w:szCs w:val="24"/>
                <w:lang w:val="ro-RO" w:eastAsia="en-US"/>
              </w:rPr>
            </w:pPr>
            <w:r w:rsidRPr="008474FE">
              <w:rPr>
                <w:szCs w:val="24"/>
                <w:lang w:val="ro-RO" w:eastAsia="en-US"/>
              </w:rPr>
              <w:lastRenderedPageBreak/>
              <w:t>Se acceptă</w:t>
            </w:r>
          </w:p>
        </w:tc>
        <w:tc>
          <w:tcPr>
            <w:tcW w:w="3722" w:type="dxa"/>
            <w:gridSpan w:val="2"/>
          </w:tcPr>
          <w:p w:rsidR="00082DDD" w:rsidRPr="008474FE" w:rsidRDefault="00082DDD" w:rsidP="00780294">
            <w:pPr>
              <w:pStyle w:val="a8"/>
              <w:tabs>
                <w:tab w:val="center" w:pos="4844"/>
                <w:tab w:val="right" w:pos="9689"/>
              </w:tabs>
              <w:ind w:left="0"/>
              <w:rPr>
                <w:szCs w:val="24"/>
                <w:lang w:val="ro-RO" w:eastAsia="en-US"/>
              </w:rPr>
            </w:pPr>
            <w:r w:rsidRPr="008474FE">
              <w:rPr>
                <w:szCs w:val="24"/>
                <w:lang w:val="ro-RO" w:eastAsia="en-US"/>
              </w:rPr>
              <w:t>S-a exclus conform propunerii</w:t>
            </w:r>
          </w:p>
        </w:tc>
      </w:tr>
      <w:tr w:rsidR="008474FE" w:rsidRPr="008474FE" w:rsidTr="00780294">
        <w:tc>
          <w:tcPr>
            <w:tcW w:w="1150" w:type="dxa"/>
          </w:tcPr>
          <w:p w:rsidR="00082DDD" w:rsidRPr="008474FE" w:rsidRDefault="00082DDD" w:rsidP="00780294">
            <w:pPr>
              <w:pStyle w:val="a3"/>
              <w:numPr>
                <w:ilvl w:val="0"/>
                <w:numId w:val="2"/>
              </w:numPr>
              <w:tabs>
                <w:tab w:val="left" w:pos="352"/>
              </w:tabs>
              <w:jc w:val="center"/>
              <w:rPr>
                <w:lang w:val="ro-RO"/>
              </w:rPr>
            </w:pPr>
          </w:p>
        </w:tc>
        <w:tc>
          <w:tcPr>
            <w:tcW w:w="1336" w:type="dxa"/>
          </w:tcPr>
          <w:p w:rsidR="00082DDD" w:rsidRPr="008474FE" w:rsidRDefault="00082DDD"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082DDD" w:rsidRPr="008474FE" w:rsidRDefault="00082DDD" w:rsidP="00780294">
            <w:pPr>
              <w:pStyle w:val="a8"/>
              <w:tabs>
                <w:tab w:val="center" w:pos="4844"/>
                <w:tab w:val="right" w:pos="9689"/>
              </w:tabs>
              <w:ind w:left="0"/>
              <w:jc w:val="center"/>
              <w:rPr>
                <w:szCs w:val="24"/>
                <w:lang w:val="ro-RO" w:eastAsia="en-US"/>
              </w:rPr>
            </w:pPr>
            <w:r w:rsidRPr="008474FE">
              <w:rPr>
                <w:szCs w:val="24"/>
                <w:lang w:val="ro-RO" w:eastAsia="en-US"/>
              </w:rPr>
              <w:t>Pct.7</w:t>
            </w:r>
          </w:p>
        </w:tc>
        <w:tc>
          <w:tcPr>
            <w:tcW w:w="1789" w:type="dxa"/>
          </w:tcPr>
          <w:p w:rsidR="00082DDD" w:rsidRPr="008474FE" w:rsidRDefault="00082DDD"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082DDD" w:rsidRPr="008474FE" w:rsidRDefault="00082DDD" w:rsidP="00780294">
            <w:pPr>
              <w:autoSpaceDE w:val="0"/>
              <w:autoSpaceDN w:val="0"/>
              <w:adjustRightInd w:val="0"/>
              <w:jc w:val="both"/>
              <w:rPr>
                <w:lang w:val="ro-RO"/>
              </w:rPr>
            </w:pPr>
            <w:r w:rsidRPr="008474FE">
              <w:rPr>
                <w:lang w:val="ro-RO"/>
              </w:rPr>
              <w:t>În temeiul argumentelor enunțate, se va revizui și art. 439</w:t>
            </w:r>
            <w:r w:rsidRPr="008474FE">
              <w:rPr>
                <w:vertAlign w:val="superscript"/>
                <w:lang w:val="ro-RO"/>
              </w:rPr>
              <w:t>1</w:t>
            </w:r>
            <w:r w:rsidRPr="008474FE">
              <w:rPr>
                <w:lang w:val="ro-RO"/>
              </w:rPr>
              <w:t>.</w:t>
            </w:r>
          </w:p>
          <w:p w:rsidR="00082DDD" w:rsidRPr="008474FE" w:rsidRDefault="00082DDD" w:rsidP="00780294">
            <w:pPr>
              <w:autoSpaceDE w:val="0"/>
              <w:autoSpaceDN w:val="0"/>
              <w:adjustRightInd w:val="0"/>
              <w:jc w:val="both"/>
              <w:rPr>
                <w:lang w:val="ro-RO"/>
              </w:rPr>
            </w:pPr>
            <w:r w:rsidRPr="008474FE">
              <w:rPr>
                <w:sz w:val="28"/>
                <w:szCs w:val="28"/>
                <w:lang w:val="ro-RO"/>
              </w:rPr>
              <w:t>15</w:t>
            </w:r>
            <w:r w:rsidRPr="008474FE">
              <w:rPr>
                <w:lang w:val="ro-RO"/>
              </w:rPr>
              <w:t>. La art. 439</w:t>
            </w:r>
            <w:r w:rsidRPr="008474FE">
              <w:rPr>
                <w:vertAlign w:val="superscript"/>
                <w:lang w:val="ro-RO"/>
              </w:rPr>
              <w:t>1</w:t>
            </w:r>
            <w:r w:rsidRPr="008474FE">
              <w:rPr>
                <w:lang w:val="ro-RO"/>
              </w:rPr>
              <w:t xml:space="preserve"> alin. (2), pentru o formulare fără echivoc a normei de drept și întru asigurarea uniformității terminologiei juridice, se va face </w:t>
            </w:r>
            <w:r w:rsidRPr="008474FE">
              <w:rPr>
                <w:lang w:val="ro-RO"/>
              </w:rPr>
              <w:lastRenderedPageBreak/>
              <w:t>referință la măsura procesuală de constrîngere prevăzută la art. 439</w:t>
            </w:r>
            <w:r w:rsidRPr="008474FE">
              <w:rPr>
                <w:vertAlign w:val="superscript"/>
                <w:lang w:val="ro-RO"/>
              </w:rPr>
              <w:t>1</w:t>
            </w:r>
            <w:r w:rsidRPr="008474FE">
              <w:rPr>
                <w:lang w:val="ro-RO"/>
              </w:rPr>
              <w:t xml:space="preserve"> alin. (1) și nu la sintagma „măsuri corective” (termen nereglementat în Codul contravențional).</w:t>
            </w:r>
          </w:p>
        </w:tc>
        <w:tc>
          <w:tcPr>
            <w:tcW w:w="1768" w:type="dxa"/>
          </w:tcPr>
          <w:p w:rsidR="00082DDD" w:rsidRPr="008474FE" w:rsidRDefault="00082DDD" w:rsidP="00780294">
            <w:pPr>
              <w:pStyle w:val="a8"/>
              <w:tabs>
                <w:tab w:val="center" w:pos="4844"/>
                <w:tab w:val="right" w:pos="9689"/>
              </w:tabs>
              <w:ind w:left="0"/>
              <w:rPr>
                <w:szCs w:val="24"/>
                <w:lang w:val="ro-RO" w:eastAsia="en-US"/>
              </w:rPr>
            </w:pPr>
            <w:r w:rsidRPr="008474FE">
              <w:rPr>
                <w:szCs w:val="24"/>
                <w:lang w:val="ro-RO" w:eastAsia="en-US"/>
              </w:rPr>
              <w:lastRenderedPageBreak/>
              <w:t>Se acceptă</w:t>
            </w:r>
          </w:p>
        </w:tc>
        <w:tc>
          <w:tcPr>
            <w:tcW w:w="3722" w:type="dxa"/>
            <w:gridSpan w:val="2"/>
          </w:tcPr>
          <w:p w:rsidR="00082DDD" w:rsidRPr="008474FE" w:rsidRDefault="00082DDD" w:rsidP="00780294">
            <w:pPr>
              <w:pStyle w:val="a8"/>
              <w:tabs>
                <w:tab w:val="center" w:pos="4844"/>
                <w:tab w:val="right" w:pos="9689"/>
              </w:tabs>
              <w:ind w:left="0"/>
              <w:rPr>
                <w:szCs w:val="24"/>
                <w:lang w:val="ro-RO" w:eastAsia="en-US"/>
              </w:rPr>
            </w:pPr>
            <w:r w:rsidRPr="008474FE">
              <w:rPr>
                <w:szCs w:val="24"/>
                <w:lang w:val="ro-RO" w:eastAsia="en-US"/>
              </w:rPr>
              <w:t>S-a exclus conform propunerii</w:t>
            </w:r>
          </w:p>
        </w:tc>
      </w:tr>
      <w:tr w:rsidR="008474FE" w:rsidRPr="008474FE" w:rsidTr="00780294">
        <w:tc>
          <w:tcPr>
            <w:tcW w:w="1150" w:type="dxa"/>
          </w:tcPr>
          <w:p w:rsidR="00E07E9A" w:rsidRPr="008474FE" w:rsidRDefault="00E07E9A" w:rsidP="00780294">
            <w:pPr>
              <w:pStyle w:val="a3"/>
              <w:numPr>
                <w:ilvl w:val="0"/>
                <w:numId w:val="2"/>
              </w:numPr>
              <w:tabs>
                <w:tab w:val="left" w:pos="352"/>
              </w:tabs>
              <w:jc w:val="center"/>
              <w:rPr>
                <w:lang w:val="ro-RO"/>
              </w:rPr>
            </w:pPr>
          </w:p>
        </w:tc>
        <w:tc>
          <w:tcPr>
            <w:tcW w:w="1336" w:type="dxa"/>
          </w:tcPr>
          <w:p w:rsidR="00E07E9A" w:rsidRPr="008474FE" w:rsidRDefault="00E07E9A" w:rsidP="00780294">
            <w:pPr>
              <w:pStyle w:val="a8"/>
              <w:tabs>
                <w:tab w:val="center" w:pos="4844"/>
                <w:tab w:val="right" w:pos="9689"/>
              </w:tabs>
              <w:ind w:left="0"/>
              <w:jc w:val="center"/>
              <w:rPr>
                <w:szCs w:val="24"/>
                <w:lang w:val="ro-RO" w:eastAsia="en-US"/>
              </w:rPr>
            </w:pPr>
            <w:r w:rsidRPr="008474FE">
              <w:rPr>
                <w:sz w:val="28"/>
                <w:szCs w:val="28"/>
                <w:lang w:val="ro-RO"/>
              </w:rPr>
              <w:t>Art. V.</w:t>
            </w:r>
          </w:p>
        </w:tc>
        <w:tc>
          <w:tcPr>
            <w:tcW w:w="1789" w:type="dxa"/>
          </w:tcPr>
          <w:p w:rsidR="00E07E9A" w:rsidRPr="008474FE" w:rsidRDefault="00E07E9A" w:rsidP="00780294">
            <w:pPr>
              <w:pStyle w:val="a9"/>
              <w:jc w:val="both"/>
              <w:rPr>
                <w:b w:val="0"/>
              </w:rPr>
            </w:pPr>
            <w:r w:rsidRPr="008474FE">
              <w:rPr>
                <w:b w:val="0"/>
              </w:rPr>
              <w:t>Asociaţia Patronală</w:t>
            </w:r>
          </w:p>
          <w:p w:rsidR="00E07E9A" w:rsidRPr="008474FE" w:rsidRDefault="00E07E9A" w:rsidP="00780294">
            <w:pPr>
              <w:pStyle w:val="a8"/>
              <w:tabs>
                <w:tab w:val="center" w:pos="4844"/>
                <w:tab w:val="right" w:pos="9689"/>
              </w:tabs>
              <w:ind w:left="0"/>
              <w:rPr>
                <w:szCs w:val="24"/>
                <w:lang w:val="ro-RO" w:eastAsia="en-US"/>
              </w:rPr>
            </w:pPr>
            <w:r w:rsidRPr="008474FE">
              <w:rPr>
                <w:szCs w:val="24"/>
                <w:lang w:val="ro-RO"/>
              </w:rPr>
              <w:t>în domeniul Conformităţii Produselor</w:t>
            </w:r>
          </w:p>
        </w:tc>
        <w:tc>
          <w:tcPr>
            <w:tcW w:w="5261" w:type="dxa"/>
          </w:tcPr>
          <w:p w:rsidR="00E07E9A" w:rsidRPr="008474FE" w:rsidRDefault="00AE1847" w:rsidP="00780294">
            <w:pPr>
              <w:pStyle w:val="a9"/>
              <w:jc w:val="both"/>
              <w:rPr>
                <w:b w:val="0"/>
              </w:rPr>
            </w:pPr>
            <w:r w:rsidRPr="008474FE">
              <w:rPr>
                <w:b w:val="0"/>
              </w:rPr>
              <w:t>Asociaţia Patronală în domeniul Conformităţii Produselor din Republica Moldova a examinat proiectul hotărîri Guvernului „Cu privire la aprobarea proiectului Legii privind supravegherea pieței” și proiectul hotărîri Guvernului „Cu privire la aprobarea proiectului de lege privind modificarea și completarea unor acte legislative” elaborate de Ministerul Economiei și comunică următoarele:</w:t>
            </w:r>
          </w:p>
          <w:p w:rsidR="00AE1847" w:rsidRPr="008474FE" w:rsidRDefault="00AE1847" w:rsidP="00780294">
            <w:pPr>
              <w:pStyle w:val="a9"/>
              <w:jc w:val="both"/>
              <w:rPr>
                <w:b w:val="0"/>
              </w:rPr>
            </w:pPr>
            <w:r w:rsidRPr="008474FE">
              <w:t>Art.V</w:t>
            </w:r>
            <w:r w:rsidRPr="008474FE">
              <w:rPr>
                <w:b w:val="0"/>
              </w:rPr>
              <w:t xml:space="preserve"> din proiectul hotărîri Guvernului „Cu privire la aprobarea proiectului de lege privind modificarea și completarea unor acte legislative” prevede modificarea anexei nr.1„Schema de calcul a plăților pentru serviciile de acreditare” la Legea </w:t>
            </w:r>
            <w:r w:rsidRPr="008474FE">
              <w:rPr>
                <w:b w:val="0"/>
                <w:shd w:val="clear" w:color="auto" w:fill="FFFFFF"/>
              </w:rPr>
              <w:t>nr.</w:t>
            </w:r>
            <w:r w:rsidRPr="008474FE">
              <w:rPr>
                <w:b w:val="0"/>
              </w:rPr>
              <w:t xml:space="preserve"> 235 din 01 decembrie 2011 privind activităţile de acreditare şi de evaluare a conformităţii. Ceste modificări duc la dublarea prețurilor pentru serviciile de acreditare și nu au tangență cu proiectul hotărîri Guvernului „Cu privire la aprobarea proiectului Legii privind supravegherea pieței”. Mai mult, AIR-ul și opiniile expertului nu au reflectat aceste modificări.</w:t>
            </w:r>
          </w:p>
          <w:p w:rsidR="00AE1847" w:rsidRPr="008474FE" w:rsidRDefault="00AE1847" w:rsidP="00780294">
            <w:pPr>
              <w:pStyle w:val="a9"/>
              <w:jc w:val="both"/>
            </w:pPr>
            <w:r w:rsidRPr="008474FE">
              <w:rPr>
                <w:b w:val="0"/>
              </w:rPr>
              <w:t>Reieșind din cele expuse, solicităm respectuos argumentarea din numele autorilor</w:t>
            </w:r>
            <w:r w:rsidR="0045318A" w:rsidRPr="008474FE">
              <w:rPr>
                <w:b w:val="0"/>
              </w:rPr>
              <w:t xml:space="preserve"> a necesității operării modificărilor </w:t>
            </w:r>
            <w:r w:rsidR="009D298A" w:rsidRPr="008474FE">
              <w:rPr>
                <w:b w:val="0"/>
              </w:rPr>
              <w:t>susmenționate</w:t>
            </w:r>
            <w:r w:rsidR="0045318A" w:rsidRPr="008474FE">
              <w:rPr>
                <w:b w:val="0"/>
              </w:rPr>
              <w:t xml:space="preserve"> în contextul promovării proiectului hotărîri Guvernului „Cu privire la aprobarea proiectului Legii privind supravegherea pieței”</w:t>
            </w:r>
          </w:p>
        </w:tc>
        <w:tc>
          <w:tcPr>
            <w:tcW w:w="1768" w:type="dxa"/>
          </w:tcPr>
          <w:p w:rsidR="00E07E9A" w:rsidRPr="008474FE" w:rsidRDefault="0045318A"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E07E9A" w:rsidRPr="008474FE" w:rsidRDefault="0045318A" w:rsidP="00780294">
            <w:pPr>
              <w:pStyle w:val="a8"/>
              <w:ind w:left="0" w:firstLine="89"/>
              <w:jc w:val="both"/>
              <w:rPr>
                <w:szCs w:val="24"/>
                <w:lang w:val="ro-RO"/>
              </w:rPr>
            </w:pPr>
            <w:r w:rsidRPr="008474FE">
              <w:rPr>
                <w:szCs w:val="24"/>
                <w:lang w:val="ro-RO"/>
              </w:rPr>
              <w:t>Modificarea respectivă a fost exclusă</w:t>
            </w:r>
          </w:p>
        </w:tc>
      </w:tr>
      <w:tr w:rsidR="008474FE" w:rsidRPr="008474FE" w:rsidTr="00780294">
        <w:tc>
          <w:tcPr>
            <w:tcW w:w="1150" w:type="dxa"/>
          </w:tcPr>
          <w:p w:rsidR="00A3401C" w:rsidRPr="008474FE" w:rsidRDefault="00A3401C" w:rsidP="00780294">
            <w:pPr>
              <w:pStyle w:val="a3"/>
              <w:numPr>
                <w:ilvl w:val="0"/>
                <w:numId w:val="2"/>
              </w:numPr>
              <w:tabs>
                <w:tab w:val="left" w:pos="352"/>
              </w:tabs>
              <w:jc w:val="center"/>
              <w:rPr>
                <w:lang w:val="ro-RO"/>
              </w:rPr>
            </w:pPr>
          </w:p>
        </w:tc>
        <w:tc>
          <w:tcPr>
            <w:tcW w:w="1336" w:type="dxa"/>
          </w:tcPr>
          <w:p w:rsidR="00A3401C" w:rsidRPr="008474FE" w:rsidRDefault="00A3401C"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A3401C" w:rsidRPr="008474FE" w:rsidRDefault="00A3401C" w:rsidP="00780294">
            <w:pPr>
              <w:pStyle w:val="a8"/>
              <w:tabs>
                <w:tab w:val="center" w:pos="4844"/>
                <w:tab w:val="right" w:pos="9689"/>
              </w:tabs>
              <w:ind w:left="0"/>
              <w:jc w:val="center"/>
              <w:rPr>
                <w:szCs w:val="24"/>
                <w:lang w:val="ro-RO" w:eastAsia="en-US"/>
              </w:rPr>
            </w:pPr>
            <w:r w:rsidRPr="008474FE">
              <w:rPr>
                <w:szCs w:val="24"/>
                <w:lang w:val="ro-RO" w:eastAsia="en-US"/>
              </w:rPr>
              <w:t>Pct.3</w:t>
            </w:r>
          </w:p>
        </w:tc>
        <w:tc>
          <w:tcPr>
            <w:tcW w:w="1789" w:type="dxa"/>
          </w:tcPr>
          <w:p w:rsidR="00A3401C" w:rsidRPr="008474FE" w:rsidRDefault="00A3401C"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A3401C" w:rsidRPr="008474FE" w:rsidRDefault="00A3401C" w:rsidP="00780294">
            <w:pPr>
              <w:autoSpaceDE w:val="0"/>
              <w:autoSpaceDN w:val="0"/>
              <w:adjustRightInd w:val="0"/>
              <w:jc w:val="both"/>
              <w:rPr>
                <w:b/>
                <w:lang w:val="ro-RO"/>
              </w:rPr>
            </w:pPr>
            <w:r w:rsidRPr="008474FE">
              <w:rPr>
                <w:lang w:val="ro-RO"/>
              </w:rPr>
              <w:t xml:space="preserve">16. Art. 2 al Legii nr. 235 din 1 decembrie 2011 privind activitățile de acreditare și de evaluare a </w:t>
            </w:r>
            <w:r w:rsidRPr="008474FE">
              <w:rPr>
                <w:lang w:val="ro-RO"/>
              </w:rPr>
              <w:lastRenderedPageBreak/>
              <w:t xml:space="preserve">conformității este completat cu noțiunea „marcaj CE”, definită în calitate de marcaj prin care producătorul indică faptul că produsul este în conformitate cu cerințele aplicabile stabilite în </w:t>
            </w:r>
            <w:r w:rsidRPr="008474FE">
              <w:rPr>
                <w:b/>
                <w:lang w:val="ro-RO"/>
              </w:rPr>
              <w:t>reglementările tehnice care prevăd aplicarea sa pe produs.</w:t>
            </w:r>
          </w:p>
          <w:p w:rsidR="00A3401C" w:rsidRPr="008474FE" w:rsidRDefault="00A3401C" w:rsidP="00780294">
            <w:pPr>
              <w:autoSpaceDE w:val="0"/>
              <w:autoSpaceDN w:val="0"/>
              <w:adjustRightInd w:val="0"/>
              <w:jc w:val="both"/>
              <w:rPr>
                <w:lang w:val="ro-RO"/>
              </w:rPr>
            </w:pPr>
            <w:r w:rsidRPr="008474FE">
              <w:rPr>
                <w:b/>
                <w:lang w:val="ro-RO"/>
              </w:rPr>
              <w:tab/>
            </w:r>
            <w:r w:rsidRPr="008474FE">
              <w:rPr>
                <w:lang w:val="ro-RO"/>
              </w:rPr>
              <w:t>Astfel, se vor revizui prevederile art. 23</w:t>
            </w:r>
            <w:r w:rsidRPr="008474FE">
              <w:rPr>
                <w:vertAlign w:val="superscript"/>
                <w:lang w:val="ro-RO"/>
              </w:rPr>
              <w:t>1</w:t>
            </w:r>
            <w:r w:rsidRPr="008474FE">
              <w:rPr>
                <w:lang w:val="ro-RO"/>
              </w:rPr>
              <w:t xml:space="preserve"> alin. (2), alin. (3) și alin. (4), care fac referință nu la reglementările tehnice care conțin cerințele aplicabile față de produs și prevăd aplicarea marcajului CE pe produs (după cum rezultă din definiția atribuită termenului „marcaj CE”), ci la „legislația comunitară de armonizare” care stabilește cerințele aplicabile și prevede aplicarea marcajului CE.</w:t>
            </w:r>
          </w:p>
        </w:tc>
        <w:tc>
          <w:tcPr>
            <w:tcW w:w="1768" w:type="dxa"/>
          </w:tcPr>
          <w:p w:rsidR="00A3401C" w:rsidRPr="008474FE" w:rsidRDefault="00A3401C" w:rsidP="00780294">
            <w:pPr>
              <w:pStyle w:val="a8"/>
              <w:tabs>
                <w:tab w:val="center" w:pos="4844"/>
                <w:tab w:val="right" w:pos="9689"/>
              </w:tabs>
              <w:ind w:left="0"/>
              <w:rPr>
                <w:szCs w:val="24"/>
                <w:lang w:val="ro-RO" w:eastAsia="en-US"/>
              </w:rPr>
            </w:pPr>
            <w:r w:rsidRPr="008474FE">
              <w:rPr>
                <w:szCs w:val="24"/>
                <w:lang w:val="ro-RO" w:eastAsia="en-US"/>
              </w:rPr>
              <w:lastRenderedPageBreak/>
              <w:t>Se acceptă</w:t>
            </w:r>
          </w:p>
        </w:tc>
        <w:tc>
          <w:tcPr>
            <w:tcW w:w="3722" w:type="dxa"/>
            <w:gridSpan w:val="2"/>
          </w:tcPr>
          <w:p w:rsidR="00A3401C" w:rsidRPr="008474FE" w:rsidRDefault="00A3401C" w:rsidP="00780294">
            <w:pPr>
              <w:pStyle w:val="a8"/>
              <w:tabs>
                <w:tab w:val="center" w:pos="4844"/>
                <w:tab w:val="right" w:pos="9689"/>
              </w:tabs>
              <w:ind w:left="0"/>
              <w:rPr>
                <w:szCs w:val="24"/>
                <w:lang w:val="ro-RO" w:eastAsia="en-US"/>
              </w:rPr>
            </w:pPr>
            <w:r w:rsidRPr="008474FE">
              <w:rPr>
                <w:szCs w:val="24"/>
                <w:lang w:val="ro-RO" w:eastAsia="en-US"/>
              </w:rPr>
              <w:t>S-a redactat conform propunerii</w:t>
            </w:r>
          </w:p>
        </w:tc>
      </w:tr>
      <w:tr w:rsidR="008474FE" w:rsidRPr="008474FE" w:rsidTr="00780294">
        <w:tc>
          <w:tcPr>
            <w:tcW w:w="1150" w:type="dxa"/>
          </w:tcPr>
          <w:p w:rsidR="00A3401C" w:rsidRPr="008474FE" w:rsidRDefault="00A3401C" w:rsidP="00780294">
            <w:pPr>
              <w:pStyle w:val="a3"/>
              <w:numPr>
                <w:ilvl w:val="0"/>
                <w:numId w:val="2"/>
              </w:numPr>
              <w:tabs>
                <w:tab w:val="left" w:pos="352"/>
              </w:tabs>
              <w:jc w:val="center"/>
              <w:rPr>
                <w:lang w:val="ro-RO"/>
              </w:rPr>
            </w:pPr>
          </w:p>
        </w:tc>
        <w:tc>
          <w:tcPr>
            <w:tcW w:w="1336" w:type="dxa"/>
          </w:tcPr>
          <w:p w:rsidR="00A3401C" w:rsidRPr="008474FE" w:rsidRDefault="00A3401C"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A3401C" w:rsidRPr="008474FE" w:rsidRDefault="00A3401C" w:rsidP="00780294">
            <w:pPr>
              <w:pStyle w:val="a8"/>
              <w:tabs>
                <w:tab w:val="center" w:pos="4844"/>
                <w:tab w:val="right" w:pos="9689"/>
              </w:tabs>
              <w:ind w:left="0"/>
              <w:jc w:val="center"/>
              <w:rPr>
                <w:szCs w:val="24"/>
                <w:lang w:val="ro-RO" w:eastAsia="en-US"/>
              </w:rPr>
            </w:pPr>
            <w:r w:rsidRPr="008474FE">
              <w:rPr>
                <w:szCs w:val="24"/>
                <w:lang w:val="ro-RO" w:eastAsia="en-US"/>
              </w:rPr>
              <w:t>Pct.6</w:t>
            </w:r>
          </w:p>
        </w:tc>
        <w:tc>
          <w:tcPr>
            <w:tcW w:w="1789" w:type="dxa"/>
          </w:tcPr>
          <w:p w:rsidR="00A3401C" w:rsidRPr="008474FE" w:rsidRDefault="00A3401C"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A3401C" w:rsidRPr="008474FE" w:rsidRDefault="00A3401C" w:rsidP="00780294">
            <w:pPr>
              <w:pStyle w:val="a8"/>
              <w:ind w:left="0" w:right="-1"/>
              <w:jc w:val="both"/>
              <w:rPr>
                <w:szCs w:val="24"/>
                <w:lang w:val="ro-RO"/>
              </w:rPr>
            </w:pPr>
            <w:r w:rsidRPr="008474FE">
              <w:rPr>
                <w:szCs w:val="24"/>
                <w:lang w:val="ro-RO"/>
              </w:rPr>
              <w:t>17. În contextul modificărilor propuse la art. 25 din Legea nr. 235 din 1 decembrie 2011, la alin. (1), prima propoziție, sintagma „se plasează pe piață” se va substitui cu sintagma „se pun la dispoziție pe piață”.</w:t>
            </w:r>
          </w:p>
        </w:tc>
        <w:tc>
          <w:tcPr>
            <w:tcW w:w="1768" w:type="dxa"/>
          </w:tcPr>
          <w:p w:rsidR="00A3401C" w:rsidRPr="008474FE" w:rsidRDefault="00A3401C"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A3401C" w:rsidRPr="008474FE" w:rsidRDefault="00A3401C" w:rsidP="00780294">
            <w:pPr>
              <w:pStyle w:val="a8"/>
              <w:tabs>
                <w:tab w:val="center" w:pos="4844"/>
                <w:tab w:val="right" w:pos="9689"/>
              </w:tabs>
              <w:ind w:left="0"/>
              <w:rPr>
                <w:szCs w:val="24"/>
                <w:lang w:val="ro-RO" w:eastAsia="en-US"/>
              </w:rPr>
            </w:pPr>
            <w:r w:rsidRPr="008474FE">
              <w:rPr>
                <w:szCs w:val="24"/>
                <w:lang w:val="ro-RO" w:eastAsia="en-US"/>
              </w:rPr>
              <w:t>S-a redactat conform propunerii</w:t>
            </w:r>
          </w:p>
        </w:tc>
      </w:tr>
      <w:tr w:rsidR="008474FE" w:rsidRPr="008474FE" w:rsidTr="00780294">
        <w:tc>
          <w:tcPr>
            <w:tcW w:w="1150" w:type="dxa"/>
          </w:tcPr>
          <w:p w:rsidR="00202D03" w:rsidRPr="008474FE" w:rsidRDefault="00202D03" w:rsidP="00780294">
            <w:pPr>
              <w:pStyle w:val="a3"/>
              <w:numPr>
                <w:ilvl w:val="0"/>
                <w:numId w:val="2"/>
              </w:numPr>
              <w:tabs>
                <w:tab w:val="left" w:pos="352"/>
              </w:tabs>
              <w:jc w:val="center"/>
              <w:rPr>
                <w:lang w:val="ro-RO"/>
              </w:rPr>
            </w:pPr>
          </w:p>
        </w:tc>
        <w:tc>
          <w:tcPr>
            <w:tcW w:w="1336" w:type="dxa"/>
          </w:tcPr>
          <w:p w:rsidR="00202D03" w:rsidRPr="008474FE" w:rsidRDefault="00202D03" w:rsidP="00780294">
            <w:pPr>
              <w:pStyle w:val="a8"/>
              <w:tabs>
                <w:tab w:val="center" w:pos="4844"/>
                <w:tab w:val="right" w:pos="9689"/>
              </w:tabs>
              <w:ind w:left="0"/>
              <w:jc w:val="center"/>
              <w:rPr>
                <w:szCs w:val="24"/>
                <w:lang w:val="ro-RO" w:eastAsia="en-US"/>
              </w:rPr>
            </w:pPr>
            <w:r w:rsidRPr="008474FE">
              <w:rPr>
                <w:szCs w:val="24"/>
                <w:lang w:val="ro-RO" w:eastAsia="en-US"/>
              </w:rPr>
              <w:t>Art. IV</w:t>
            </w:r>
          </w:p>
          <w:p w:rsidR="00202D03" w:rsidRPr="008474FE" w:rsidRDefault="00202D03" w:rsidP="00780294">
            <w:pPr>
              <w:pStyle w:val="a8"/>
              <w:tabs>
                <w:tab w:val="center" w:pos="4844"/>
                <w:tab w:val="right" w:pos="9689"/>
              </w:tabs>
              <w:ind w:left="0"/>
              <w:jc w:val="center"/>
              <w:rPr>
                <w:szCs w:val="24"/>
                <w:lang w:val="ro-RO" w:eastAsia="en-US"/>
              </w:rPr>
            </w:pPr>
            <w:r w:rsidRPr="008474FE">
              <w:rPr>
                <w:szCs w:val="24"/>
                <w:lang w:val="ro-RO" w:eastAsia="en-US"/>
              </w:rPr>
              <w:t>Pct.10</w:t>
            </w:r>
          </w:p>
        </w:tc>
        <w:tc>
          <w:tcPr>
            <w:tcW w:w="1789" w:type="dxa"/>
          </w:tcPr>
          <w:p w:rsidR="00202D03" w:rsidRPr="008474FE" w:rsidRDefault="00202D03"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202D03" w:rsidRPr="008474FE" w:rsidRDefault="00202D03" w:rsidP="00780294">
            <w:pPr>
              <w:pStyle w:val="a8"/>
              <w:ind w:left="0" w:right="-1"/>
              <w:jc w:val="both"/>
              <w:rPr>
                <w:szCs w:val="24"/>
                <w:lang w:val="ro-RO"/>
              </w:rPr>
            </w:pPr>
            <w:r w:rsidRPr="008474FE">
              <w:rPr>
                <w:szCs w:val="24"/>
                <w:lang w:val="ro-RO"/>
              </w:rPr>
              <w:t>18. Dispoziția de completare a art. 31 din Legea nr. 235 din 1 decembrie 2011 se va concretiza, specificîndu-se alineatul care se completează.</w:t>
            </w:r>
          </w:p>
        </w:tc>
        <w:tc>
          <w:tcPr>
            <w:tcW w:w="1768" w:type="dxa"/>
          </w:tcPr>
          <w:p w:rsidR="00202D03" w:rsidRPr="008474FE" w:rsidRDefault="00202D03"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202D03" w:rsidRPr="008474FE" w:rsidRDefault="00202D03" w:rsidP="00780294">
            <w:pPr>
              <w:pStyle w:val="a8"/>
              <w:tabs>
                <w:tab w:val="center" w:pos="4844"/>
                <w:tab w:val="right" w:pos="9689"/>
              </w:tabs>
              <w:ind w:left="0"/>
              <w:rPr>
                <w:szCs w:val="24"/>
                <w:lang w:val="ro-RO" w:eastAsia="en-US"/>
              </w:rPr>
            </w:pPr>
            <w:r w:rsidRPr="008474FE">
              <w:rPr>
                <w:szCs w:val="24"/>
                <w:lang w:val="ro-RO" w:eastAsia="en-US"/>
              </w:rPr>
              <w:t>S-a redactat conform propunerii</w:t>
            </w:r>
          </w:p>
        </w:tc>
      </w:tr>
      <w:tr w:rsidR="008474FE" w:rsidRPr="008474FE" w:rsidTr="00780294">
        <w:tc>
          <w:tcPr>
            <w:tcW w:w="1150" w:type="dxa"/>
          </w:tcPr>
          <w:p w:rsidR="00F029C6" w:rsidRPr="008474FE" w:rsidRDefault="00F029C6" w:rsidP="00780294">
            <w:pPr>
              <w:pStyle w:val="a3"/>
              <w:numPr>
                <w:ilvl w:val="0"/>
                <w:numId w:val="2"/>
              </w:numPr>
              <w:tabs>
                <w:tab w:val="left" w:pos="352"/>
              </w:tabs>
              <w:jc w:val="center"/>
              <w:rPr>
                <w:lang w:val="ro-RO"/>
              </w:rPr>
            </w:pPr>
          </w:p>
        </w:tc>
        <w:tc>
          <w:tcPr>
            <w:tcW w:w="1336" w:type="dxa"/>
          </w:tcPr>
          <w:p w:rsidR="00F029C6" w:rsidRPr="008474FE" w:rsidRDefault="00DD6D94" w:rsidP="00780294">
            <w:pPr>
              <w:pStyle w:val="a8"/>
              <w:tabs>
                <w:tab w:val="center" w:pos="4844"/>
                <w:tab w:val="right" w:pos="9689"/>
              </w:tabs>
              <w:ind w:left="0"/>
              <w:jc w:val="center"/>
              <w:rPr>
                <w:szCs w:val="24"/>
                <w:lang w:val="ro-RO" w:eastAsia="en-US"/>
              </w:rPr>
            </w:pPr>
            <w:r w:rsidRPr="008474FE">
              <w:rPr>
                <w:szCs w:val="24"/>
                <w:lang w:val="ro-RO"/>
              </w:rPr>
              <w:t xml:space="preserve">La Art. IV. </w:t>
            </w:r>
            <w:r w:rsidR="00F029C6" w:rsidRPr="008474FE">
              <w:rPr>
                <w:szCs w:val="24"/>
                <w:lang w:val="ro-RO" w:eastAsia="en-US"/>
              </w:rPr>
              <w:t>Proiectul Legii</w:t>
            </w:r>
          </w:p>
        </w:tc>
        <w:tc>
          <w:tcPr>
            <w:tcW w:w="1789" w:type="dxa"/>
          </w:tcPr>
          <w:p w:rsidR="00F029C6" w:rsidRPr="008474FE" w:rsidRDefault="00F029C6" w:rsidP="00780294">
            <w:pPr>
              <w:pStyle w:val="a8"/>
              <w:ind w:left="0"/>
              <w:jc w:val="both"/>
              <w:rPr>
                <w:szCs w:val="24"/>
                <w:lang w:val="ro-RO" w:eastAsia="en-US"/>
              </w:rPr>
            </w:pPr>
            <w:r w:rsidRPr="008474FE">
              <w:rPr>
                <w:szCs w:val="24"/>
                <w:lang w:val="ro-RO" w:eastAsia="en-US"/>
              </w:rPr>
              <w:t>Nicolae Boţan, expert Grupului de lucru pentru reglementarea activităţii de întreprinzător</w:t>
            </w:r>
          </w:p>
        </w:tc>
        <w:tc>
          <w:tcPr>
            <w:tcW w:w="5261" w:type="dxa"/>
          </w:tcPr>
          <w:p w:rsidR="00F029C6" w:rsidRPr="008474FE" w:rsidRDefault="00F029C6" w:rsidP="00780294">
            <w:pPr>
              <w:pStyle w:val="a8"/>
              <w:ind w:left="0" w:right="-1"/>
              <w:jc w:val="both"/>
              <w:rPr>
                <w:szCs w:val="24"/>
                <w:lang w:val="ro-RO"/>
              </w:rPr>
            </w:pPr>
            <w:r w:rsidRPr="008474FE">
              <w:rPr>
                <w:szCs w:val="24"/>
                <w:lang w:val="ro-RO"/>
              </w:rPr>
              <w:t>În privinţa proiectelor de modificare a unor legi, atenţionăm că formulările pentru art.344 din Codul Contravenţional în mare parte sunt destul de vagi şi stabilirea faptului de survenire sau nu a faptei contravenţionale rămîne extrem de incert. Spre exemplu nu este clar ce înseamnă respectarea „cerinţelor generale de siguranţă”, dacă „cerinţele esenţiale” conform noţiunii din proiectul propus sunt stabilite în Reglementări Tehnice, atunci aşa-</w:t>
            </w:r>
            <w:r w:rsidRPr="008474FE">
              <w:rPr>
                <w:szCs w:val="24"/>
                <w:lang w:val="ro-RO"/>
              </w:rPr>
              <w:lastRenderedPageBreak/>
              <w:t xml:space="preserve">numitele „cerinţe de siguranţă” nu e clar unde şi în ce formă se regăsesc. La fel nu este clar care sunt „informaţiile relevante sau avertizările de rigoare” şi unde se regăsesc cerinţe cu privire la acestea (la modul ideal tipul şi avertizările concrete trebuie să fie reglementate în lege, cum ar fi de exemplu cu produsele de tutun) ş.a.m.d. </w:t>
            </w:r>
          </w:p>
        </w:tc>
        <w:tc>
          <w:tcPr>
            <w:tcW w:w="1768" w:type="dxa"/>
          </w:tcPr>
          <w:p w:rsidR="00F029C6" w:rsidRPr="008474FE" w:rsidRDefault="00F029C6" w:rsidP="00780294">
            <w:pPr>
              <w:pStyle w:val="a8"/>
              <w:tabs>
                <w:tab w:val="center" w:pos="4844"/>
                <w:tab w:val="right" w:pos="9689"/>
              </w:tabs>
              <w:ind w:left="0"/>
              <w:rPr>
                <w:szCs w:val="24"/>
                <w:lang w:val="ro-RO" w:eastAsia="en-US"/>
              </w:rPr>
            </w:pPr>
            <w:r w:rsidRPr="008474FE">
              <w:rPr>
                <w:szCs w:val="24"/>
                <w:lang w:val="ro-RO" w:eastAsia="en-US"/>
              </w:rPr>
              <w:lastRenderedPageBreak/>
              <w:t>Se acceptă</w:t>
            </w:r>
          </w:p>
        </w:tc>
        <w:tc>
          <w:tcPr>
            <w:tcW w:w="3722" w:type="dxa"/>
            <w:gridSpan w:val="2"/>
          </w:tcPr>
          <w:p w:rsidR="00F029C6" w:rsidRPr="008474FE" w:rsidRDefault="00F029C6" w:rsidP="00780294">
            <w:pPr>
              <w:pStyle w:val="a8"/>
              <w:ind w:left="0" w:firstLine="89"/>
              <w:jc w:val="both"/>
              <w:rPr>
                <w:szCs w:val="24"/>
                <w:lang w:val="ro-RO"/>
              </w:rPr>
            </w:pPr>
            <w:r w:rsidRPr="008474FE">
              <w:rPr>
                <w:szCs w:val="24"/>
                <w:lang w:val="ro-RO"/>
              </w:rPr>
              <w:t xml:space="preserve">A fost </w:t>
            </w:r>
            <w:r w:rsidR="006B28BA" w:rsidRPr="008474FE">
              <w:rPr>
                <w:szCs w:val="24"/>
                <w:lang w:val="ro-RO"/>
              </w:rPr>
              <w:t xml:space="preserve">reformulat </w:t>
            </w:r>
            <w:r w:rsidRPr="008474FE">
              <w:rPr>
                <w:szCs w:val="24"/>
                <w:lang w:val="ro-RO"/>
              </w:rPr>
              <w:t xml:space="preserve">la Art.VI </w:t>
            </w:r>
            <w:r w:rsidR="00F67636" w:rsidRPr="008474FE">
              <w:rPr>
                <w:szCs w:val="24"/>
                <w:lang w:val="ro-RO"/>
              </w:rPr>
              <w:t>la pct.1 „</w:t>
            </w:r>
            <w:r w:rsidR="006B28BA" w:rsidRPr="008474FE">
              <w:rPr>
                <w:szCs w:val="24"/>
                <w:lang w:val="ro-RO"/>
              </w:rPr>
              <w:t>c) neîntreprinderea de către producător (importator) a acțiunilor prescrise de legislație sau a celor necesare</w:t>
            </w:r>
            <w:r w:rsidR="006B28BA" w:rsidRPr="008474FE">
              <w:rPr>
                <w:szCs w:val="24"/>
                <w:lang w:val="en-US"/>
              </w:rPr>
              <w:t xml:space="preserve"> </w:t>
            </w:r>
            <w:r w:rsidR="006B28BA" w:rsidRPr="008474FE">
              <w:rPr>
                <w:szCs w:val="24"/>
                <w:lang w:val="ro-RO"/>
              </w:rPr>
              <w:t xml:space="preserve">pentru a evita riscurile pe care le prezintă produsele pentru consumatori, inclusiv, neretragerea de pe piaţă a produselor, neavertizarea adecvată şi eficientă a </w:t>
            </w:r>
            <w:r w:rsidR="006B28BA" w:rsidRPr="008474FE">
              <w:rPr>
                <w:szCs w:val="24"/>
                <w:lang w:val="ro-RO"/>
              </w:rPr>
              <w:lastRenderedPageBreak/>
              <w:t>consumatorilor, nereturnarea produselor de la consumatori</w:t>
            </w:r>
            <w:r w:rsidR="00F67636" w:rsidRPr="008474FE">
              <w:rPr>
                <w:szCs w:val="24"/>
                <w:lang w:val="ro-RO"/>
              </w:rPr>
              <w:t xml:space="preserve"> </w:t>
            </w:r>
            <w:r w:rsidR="006B28BA" w:rsidRPr="008474FE">
              <w:rPr>
                <w:szCs w:val="24"/>
                <w:lang w:val="ro-RO"/>
              </w:rPr>
              <w:t>în a căror privinţă organul de control sau specialiştii proprii au constatat că produsele nu corespund cerinţei generale de siguranţă</w:t>
            </w:r>
            <w:r w:rsidR="00F67636" w:rsidRPr="008474FE">
              <w:rPr>
                <w:szCs w:val="24"/>
                <w:lang w:val="ro-RO"/>
              </w:rPr>
              <w:t xml:space="preserve"> </w:t>
            </w:r>
            <w:r w:rsidRPr="008474FE">
              <w:rPr>
                <w:szCs w:val="24"/>
                <w:lang w:val="ro-RO"/>
              </w:rPr>
              <w:t xml:space="preserve">completări </w:t>
            </w:r>
          </w:p>
        </w:tc>
      </w:tr>
      <w:tr w:rsidR="008474FE" w:rsidRPr="008474FE" w:rsidTr="00780294">
        <w:tc>
          <w:tcPr>
            <w:tcW w:w="1150" w:type="dxa"/>
          </w:tcPr>
          <w:p w:rsidR="00E07E9A" w:rsidRPr="008474FE" w:rsidRDefault="00E07E9A" w:rsidP="00780294">
            <w:pPr>
              <w:pStyle w:val="a3"/>
              <w:numPr>
                <w:ilvl w:val="0"/>
                <w:numId w:val="2"/>
              </w:numPr>
              <w:tabs>
                <w:tab w:val="left" w:pos="352"/>
              </w:tabs>
              <w:jc w:val="center"/>
              <w:rPr>
                <w:lang w:val="ro-RO"/>
              </w:rPr>
            </w:pPr>
          </w:p>
        </w:tc>
        <w:tc>
          <w:tcPr>
            <w:tcW w:w="1336" w:type="dxa"/>
          </w:tcPr>
          <w:p w:rsidR="00E07E9A" w:rsidRPr="008474FE" w:rsidRDefault="00E07E9A" w:rsidP="00780294">
            <w:pPr>
              <w:pStyle w:val="a8"/>
              <w:tabs>
                <w:tab w:val="center" w:pos="4844"/>
                <w:tab w:val="right" w:pos="9689"/>
              </w:tabs>
              <w:ind w:left="0"/>
              <w:jc w:val="center"/>
              <w:rPr>
                <w:szCs w:val="24"/>
                <w:lang w:val="ro-RO" w:eastAsia="en-US"/>
              </w:rPr>
            </w:pPr>
            <w:r w:rsidRPr="008474FE">
              <w:rPr>
                <w:szCs w:val="24"/>
                <w:lang w:val="ro-RO" w:eastAsia="en-US"/>
              </w:rPr>
              <w:t>Art. II</w:t>
            </w:r>
          </w:p>
        </w:tc>
        <w:tc>
          <w:tcPr>
            <w:tcW w:w="1789" w:type="dxa"/>
          </w:tcPr>
          <w:p w:rsidR="00E07E9A" w:rsidRPr="008474FE" w:rsidRDefault="00E07E9A" w:rsidP="00780294">
            <w:pPr>
              <w:pStyle w:val="a8"/>
              <w:tabs>
                <w:tab w:val="center" w:pos="4844"/>
                <w:tab w:val="right" w:pos="9689"/>
              </w:tabs>
              <w:ind w:left="0"/>
              <w:rPr>
                <w:szCs w:val="24"/>
                <w:lang w:val="ro-RO" w:eastAsia="en-US"/>
              </w:rPr>
            </w:pPr>
            <w:r w:rsidRPr="008474FE">
              <w:rPr>
                <w:szCs w:val="24"/>
                <w:lang w:val="ro-RO" w:eastAsia="en-US"/>
              </w:rPr>
              <w:t>Ministerul Afacerilor Interne</w:t>
            </w:r>
          </w:p>
        </w:tc>
        <w:tc>
          <w:tcPr>
            <w:tcW w:w="5261" w:type="dxa"/>
          </w:tcPr>
          <w:p w:rsidR="00E07E9A" w:rsidRPr="008474FE" w:rsidRDefault="00E07E9A" w:rsidP="00780294">
            <w:pPr>
              <w:jc w:val="both"/>
              <w:rPr>
                <w:lang w:val="ro-RO"/>
              </w:rPr>
            </w:pPr>
            <w:r w:rsidRPr="008474FE">
              <w:rPr>
                <w:lang w:val="ro-RO"/>
              </w:rPr>
              <w:t>La art. II pct.1, referitor la art.344 alin.(1) lit. c) din Codul contravenţional, acţiunea ce ţine de neavertizarea adecvată şi eficientă a consumatorilor se va exclude, deoarece se încadrează în prevederea de la lit. b) a aceluiaşi articol (ex.: neasigurarea avertizării de rigoare).</w:t>
            </w:r>
          </w:p>
        </w:tc>
        <w:tc>
          <w:tcPr>
            <w:tcW w:w="1768" w:type="dxa"/>
          </w:tcPr>
          <w:p w:rsidR="00E07E9A" w:rsidRPr="008474FE" w:rsidRDefault="00E07E9A" w:rsidP="00780294">
            <w:pPr>
              <w:pStyle w:val="a8"/>
              <w:tabs>
                <w:tab w:val="center" w:pos="4844"/>
                <w:tab w:val="right" w:pos="9689"/>
              </w:tabs>
              <w:ind w:left="0"/>
              <w:rPr>
                <w:szCs w:val="24"/>
                <w:lang w:val="ro-RO" w:eastAsia="en-US"/>
              </w:rPr>
            </w:pPr>
            <w:r w:rsidRPr="008474FE">
              <w:rPr>
                <w:szCs w:val="24"/>
                <w:lang w:val="ro-RO" w:eastAsia="en-US"/>
              </w:rPr>
              <w:t>Se acceptă parţial</w:t>
            </w:r>
          </w:p>
        </w:tc>
        <w:tc>
          <w:tcPr>
            <w:tcW w:w="3722" w:type="dxa"/>
            <w:gridSpan w:val="2"/>
          </w:tcPr>
          <w:p w:rsidR="00E07E9A" w:rsidRPr="008474FE" w:rsidRDefault="00E07E9A" w:rsidP="00780294">
            <w:pPr>
              <w:pStyle w:val="a8"/>
              <w:ind w:left="0" w:firstLine="567"/>
              <w:jc w:val="both"/>
              <w:rPr>
                <w:szCs w:val="24"/>
                <w:lang w:val="ro-RO"/>
              </w:rPr>
            </w:pPr>
            <w:r w:rsidRPr="008474FE">
              <w:rPr>
                <w:szCs w:val="24"/>
                <w:lang w:val="ro-RO"/>
              </w:rPr>
              <w:t xml:space="preserve">La Art. IV. pct. 3 a fost revăzută redacţia lit. b) şi completat pentru a exclude eventuala neînţelegere sau dublare. Astfel lit.b) va avea următorul cuprins „b) neasigurarea de către producător şi/sau distribuitor, </w:t>
            </w:r>
            <w:r w:rsidRPr="008474FE">
              <w:rPr>
                <w:i/>
                <w:szCs w:val="24"/>
                <w:lang w:val="ro-RO"/>
              </w:rPr>
              <w:t>prin intermediul produsului sau al ambalajului</w:t>
            </w:r>
            <w:r w:rsidRPr="008474FE">
              <w:rPr>
                <w:szCs w:val="24"/>
                <w:lang w:val="ro-RO"/>
              </w:rPr>
              <w:t xml:space="preserve">, a consumatorilor cu informaţii relevante care ar permite să fie evaluate riscurile inerente ale unui produs sau a avertizării de rigoare,”. </w:t>
            </w:r>
          </w:p>
        </w:tc>
      </w:tr>
      <w:tr w:rsidR="008474FE" w:rsidRPr="008474FE" w:rsidTr="00780294">
        <w:tc>
          <w:tcPr>
            <w:tcW w:w="1150" w:type="dxa"/>
          </w:tcPr>
          <w:p w:rsidR="000C5DA4" w:rsidRPr="008474FE" w:rsidRDefault="000C5DA4" w:rsidP="00780294">
            <w:pPr>
              <w:pStyle w:val="a3"/>
              <w:numPr>
                <w:ilvl w:val="0"/>
                <w:numId w:val="2"/>
              </w:numPr>
              <w:tabs>
                <w:tab w:val="left" w:pos="352"/>
              </w:tabs>
              <w:jc w:val="center"/>
              <w:rPr>
                <w:lang w:val="ro-RO"/>
              </w:rPr>
            </w:pPr>
          </w:p>
        </w:tc>
        <w:tc>
          <w:tcPr>
            <w:tcW w:w="1336" w:type="dxa"/>
          </w:tcPr>
          <w:p w:rsidR="000C5DA4" w:rsidRPr="008474FE" w:rsidRDefault="000C5DA4" w:rsidP="00780294">
            <w:pPr>
              <w:pStyle w:val="a8"/>
              <w:tabs>
                <w:tab w:val="center" w:pos="4844"/>
                <w:tab w:val="right" w:pos="9689"/>
              </w:tabs>
              <w:ind w:left="0"/>
              <w:jc w:val="center"/>
              <w:rPr>
                <w:szCs w:val="24"/>
                <w:lang w:val="ro-RO" w:eastAsia="en-US"/>
              </w:rPr>
            </w:pPr>
            <w:r w:rsidRPr="008474FE">
              <w:rPr>
                <w:szCs w:val="24"/>
                <w:lang w:val="ro-RO" w:eastAsia="en-US"/>
              </w:rPr>
              <w:t>Art. VII</w:t>
            </w:r>
          </w:p>
          <w:p w:rsidR="000C5DA4" w:rsidRPr="008474FE" w:rsidRDefault="000C5DA4" w:rsidP="00780294">
            <w:pPr>
              <w:pStyle w:val="a8"/>
              <w:tabs>
                <w:tab w:val="center" w:pos="4844"/>
                <w:tab w:val="right" w:pos="9689"/>
              </w:tabs>
              <w:ind w:left="0"/>
              <w:jc w:val="center"/>
              <w:rPr>
                <w:szCs w:val="24"/>
                <w:lang w:val="ro-RO" w:eastAsia="en-US"/>
              </w:rPr>
            </w:pPr>
            <w:r w:rsidRPr="008474FE">
              <w:rPr>
                <w:szCs w:val="24"/>
                <w:lang w:val="ro-RO" w:eastAsia="en-US"/>
              </w:rPr>
              <w:t>Pct.4</w:t>
            </w:r>
          </w:p>
        </w:tc>
        <w:tc>
          <w:tcPr>
            <w:tcW w:w="1789" w:type="dxa"/>
          </w:tcPr>
          <w:p w:rsidR="000C5DA4" w:rsidRPr="008474FE" w:rsidRDefault="000C5DA4"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0C5DA4" w:rsidRPr="008474FE" w:rsidRDefault="000C5DA4" w:rsidP="00780294">
            <w:pPr>
              <w:ind w:firstLine="360"/>
              <w:jc w:val="both"/>
              <w:rPr>
                <w:lang w:val="ro-RO"/>
              </w:rPr>
            </w:pPr>
            <w:r w:rsidRPr="008474FE">
              <w:rPr>
                <w:lang w:val="ro-RO"/>
              </w:rPr>
              <w:t xml:space="preserve">19. Art. VII se va expune într-un singur alineat (cu referință expresă la articolul și alineatul care se modifică), deoarece se modifică un singur articol al Legii nr. 131 din 8 iunie 2012 privind controlul de stat al activității de întreprinzător. </w:t>
            </w:r>
          </w:p>
        </w:tc>
        <w:tc>
          <w:tcPr>
            <w:tcW w:w="1768" w:type="dxa"/>
          </w:tcPr>
          <w:p w:rsidR="000C5DA4" w:rsidRPr="008474FE" w:rsidRDefault="000C5DA4"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0C5DA4" w:rsidRPr="008474FE" w:rsidRDefault="000C5DA4" w:rsidP="00780294">
            <w:pPr>
              <w:pStyle w:val="a8"/>
              <w:tabs>
                <w:tab w:val="center" w:pos="4844"/>
                <w:tab w:val="right" w:pos="9689"/>
              </w:tabs>
              <w:ind w:left="0"/>
              <w:rPr>
                <w:szCs w:val="24"/>
                <w:lang w:val="ro-RO" w:eastAsia="en-US"/>
              </w:rPr>
            </w:pPr>
            <w:r w:rsidRPr="008474FE">
              <w:rPr>
                <w:szCs w:val="24"/>
                <w:lang w:val="ro-RO" w:eastAsia="en-US"/>
              </w:rPr>
              <w:t>S-a redactat conform propunerii</w:t>
            </w:r>
          </w:p>
          <w:p w:rsidR="00A3401C" w:rsidRPr="008474FE" w:rsidRDefault="00A3401C" w:rsidP="00780294">
            <w:pPr>
              <w:pStyle w:val="cb"/>
              <w:ind w:firstLine="567"/>
              <w:jc w:val="both"/>
              <w:rPr>
                <w:b w:val="0"/>
                <w:lang w:val="ro-RO"/>
              </w:rPr>
            </w:pPr>
            <w:r w:rsidRPr="008474FE">
              <w:rPr>
                <w:lang w:val="ro-RO"/>
              </w:rPr>
              <w:t>Art. VII.</w:t>
            </w:r>
            <w:r w:rsidRPr="008474FE">
              <w:rPr>
                <w:b w:val="0"/>
                <w:lang w:val="ro-RO"/>
              </w:rPr>
              <w:t xml:space="preserve"> –Alineatul (9) articolul 29 al </w:t>
            </w:r>
            <w:r w:rsidRPr="008474FE">
              <w:rPr>
                <w:b w:val="0"/>
                <w:shd w:val="clear" w:color="auto" w:fill="FFFFFF"/>
                <w:lang w:val="ro-RO"/>
              </w:rPr>
              <w:t xml:space="preserve">Legii nr.131 din 08 iunie 2012 privind controlul de stat asupra activităţii de întreprinzător </w:t>
            </w:r>
            <w:r w:rsidRPr="008474FE">
              <w:rPr>
                <w:b w:val="0"/>
                <w:lang w:val="ro-RO"/>
              </w:rPr>
              <w:t>(Monitorul Oficial al Republicii Moldova, 2012, nr. 181-184, art. 595) se completează la final cu sintagma „şi/sau aplică masuri corective</w:t>
            </w:r>
            <w:r w:rsidRPr="008474FE">
              <w:rPr>
                <w:b w:val="0"/>
                <w:shd w:val="clear" w:color="auto" w:fill="FFFFFF"/>
                <w:lang w:val="ro-RO"/>
              </w:rPr>
              <w:t xml:space="preserve">în cazul produselor periculoase, care </w:t>
            </w:r>
            <w:r w:rsidRPr="008474FE">
              <w:rPr>
                <w:b w:val="0"/>
                <w:lang w:val="ro-RO"/>
              </w:rPr>
              <w:t xml:space="preserve">prezintă un risc </w:t>
            </w:r>
            <w:r w:rsidRPr="008474FE">
              <w:rPr>
                <w:b w:val="0"/>
                <w:shd w:val="clear" w:color="auto" w:fill="FFFFFF"/>
                <w:lang w:val="ro-RO"/>
              </w:rPr>
              <w:t xml:space="preserve">şi/sau nu corespund cerinţelor </w:t>
            </w:r>
            <w:r w:rsidRPr="008474FE">
              <w:rPr>
                <w:b w:val="0"/>
                <w:lang w:val="ro-RO"/>
              </w:rPr>
              <w:t xml:space="preserve">esenţiale stabiliteîn conformitate cu </w:t>
            </w:r>
            <w:r w:rsidRPr="008474FE">
              <w:rPr>
                <w:b w:val="0"/>
                <w:lang w:val="ro-RO"/>
              </w:rPr>
              <w:lastRenderedPageBreak/>
              <w:t>legea”</w:t>
            </w:r>
          </w:p>
        </w:tc>
      </w:tr>
      <w:tr w:rsidR="008474FE" w:rsidRPr="008474FE" w:rsidTr="00780294">
        <w:tc>
          <w:tcPr>
            <w:tcW w:w="1150" w:type="dxa"/>
          </w:tcPr>
          <w:p w:rsidR="00E07E9A" w:rsidRPr="008474FE" w:rsidRDefault="00E07E9A" w:rsidP="00780294">
            <w:pPr>
              <w:pStyle w:val="a3"/>
              <w:numPr>
                <w:ilvl w:val="0"/>
                <w:numId w:val="2"/>
              </w:numPr>
              <w:tabs>
                <w:tab w:val="left" w:pos="352"/>
              </w:tabs>
              <w:jc w:val="center"/>
              <w:rPr>
                <w:lang w:val="ro-RO"/>
              </w:rPr>
            </w:pPr>
          </w:p>
        </w:tc>
        <w:tc>
          <w:tcPr>
            <w:tcW w:w="1336" w:type="dxa"/>
          </w:tcPr>
          <w:p w:rsidR="00E07E9A" w:rsidRPr="008474FE" w:rsidRDefault="00E07E9A" w:rsidP="00780294">
            <w:pPr>
              <w:pStyle w:val="a8"/>
              <w:tabs>
                <w:tab w:val="center" w:pos="4844"/>
                <w:tab w:val="right" w:pos="9689"/>
              </w:tabs>
              <w:ind w:left="0"/>
              <w:jc w:val="center"/>
              <w:rPr>
                <w:szCs w:val="24"/>
                <w:lang w:val="ro-RO" w:eastAsia="en-US"/>
              </w:rPr>
            </w:pPr>
            <w:r w:rsidRPr="008474FE">
              <w:rPr>
                <w:szCs w:val="24"/>
                <w:lang w:val="ro-RO" w:eastAsia="en-US"/>
              </w:rPr>
              <w:t>Art.VI</w:t>
            </w:r>
          </w:p>
        </w:tc>
        <w:tc>
          <w:tcPr>
            <w:tcW w:w="1789" w:type="dxa"/>
          </w:tcPr>
          <w:p w:rsidR="00E07E9A" w:rsidRPr="008474FE" w:rsidRDefault="00E07E9A" w:rsidP="00780294">
            <w:pPr>
              <w:pStyle w:val="a8"/>
              <w:tabs>
                <w:tab w:val="center" w:pos="4844"/>
                <w:tab w:val="right" w:pos="9689"/>
              </w:tabs>
              <w:ind w:left="0"/>
              <w:rPr>
                <w:szCs w:val="24"/>
                <w:lang w:val="ro-RO" w:eastAsia="en-US"/>
              </w:rPr>
            </w:pPr>
            <w:r w:rsidRPr="008474FE">
              <w:rPr>
                <w:szCs w:val="24"/>
                <w:lang w:val="ro-RO" w:eastAsia="en-US"/>
              </w:rPr>
              <w:t>Inspectoratul Principal de Stat pentru Supravegherea Tehnică a Obiectelor Industriale Periculoase</w:t>
            </w:r>
          </w:p>
        </w:tc>
        <w:tc>
          <w:tcPr>
            <w:tcW w:w="5261" w:type="dxa"/>
          </w:tcPr>
          <w:p w:rsidR="00E07E9A" w:rsidRPr="008474FE" w:rsidRDefault="00E07E9A" w:rsidP="00780294">
            <w:pPr>
              <w:jc w:val="both"/>
              <w:rPr>
                <w:i/>
                <w:lang w:val="ro-RO"/>
              </w:rPr>
            </w:pPr>
            <w:r w:rsidRPr="008474FE">
              <w:rPr>
                <w:lang w:val="ro-RO"/>
              </w:rPr>
              <w:t xml:space="preserve">Proiectul Legii pentru modificarea şi completarea unor acte legislative urmează a fi completat cu încă un articol cu următorul conţinut: ”În Legea nr.116 din 18.05.2012 privind securitatea industrială a obiectelor industriale periculoase </w:t>
            </w:r>
            <w:r w:rsidRPr="008474FE">
              <w:rPr>
                <w:i/>
                <w:lang w:val="ro-RO"/>
              </w:rPr>
              <w:t xml:space="preserve">(M.O. nr.135-141,art nr: 445) </w:t>
            </w:r>
            <w:r w:rsidRPr="008474FE">
              <w:rPr>
                <w:lang w:val="ro-RO"/>
              </w:rPr>
              <w:t xml:space="preserve">la art. 18 alin. (9) se adaugă lit. i) cu sintagma: </w:t>
            </w:r>
            <w:r w:rsidRPr="008474FE">
              <w:rPr>
                <w:i/>
                <w:u w:val="single"/>
                <w:lang w:val="ro-RO"/>
              </w:rPr>
              <w:t>efectuarea supravegherii la plasarea pe piaţa Republicii Moldova a produselor din domeniul reglementat în conformitate cu legislaţia în vigoare”.</w:t>
            </w:r>
          </w:p>
        </w:tc>
        <w:tc>
          <w:tcPr>
            <w:tcW w:w="1768" w:type="dxa"/>
          </w:tcPr>
          <w:p w:rsidR="00E07E9A" w:rsidRPr="008474FE" w:rsidRDefault="00E07E9A" w:rsidP="00780294">
            <w:pPr>
              <w:pStyle w:val="a8"/>
              <w:tabs>
                <w:tab w:val="center" w:pos="4844"/>
                <w:tab w:val="right" w:pos="9689"/>
              </w:tabs>
              <w:ind w:left="0"/>
              <w:rPr>
                <w:szCs w:val="24"/>
                <w:lang w:val="ro-RO" w:eastAsia="en-US"/>
              </w:rPr>
            </w:pPr>
            <w:r w:rsidRPr="008474FE">
              <w:rPr>
                <w:szCs w:val="24"/>
                <w:lang w:val="ro-RO" w:eastAsia="en-US"/>
              </w:rPr>
              <w:t>Se acceptă</w:t>
            </w:r>
          </w:p>
        </w:tc>
        <w:tc>
          <w:tcPr>
            <w:tcW w:w="3722" w:type="dxa"/>
            <w:gridSpan w:val="2"/>
          </w:tcPr>
          <w:p w:rsidR="00E07E9A" w:rsidRPr="008474FE" w:rsidRDefault="00E07E9A" w:rsidP="00780294">
            <w:pPr>
              <w:pStyle w:val="a8"/>
              <w:tabs>
                <w:tab w:val="center" w:pos="4844"/>
                <w:tab w:val="right" w:pos="9689"/>
              </w:tabs>
              <w:ind w:left="0"/>
              <w:rPr>
                <w:szCs w:val="24"/>
                <w:lang w:val="ro-RO" w:eastAsia="en-US"/>
              </w:rPr>
            </w:pPr>
            <w:r w:rsidRPr="008474FE">
              <w:rPr>
                <w:szCs w:val="24"/>
                <w:lang w:val="ro-RO" w:eastAsia="en-US"/>
              </w:rPr>
              <w:t>S-a completat conform propunerii:</w:t>
            </w:r>
          </w:p>
          <w:p w:rsidR="00E07E9A" w:rsidRPr="008474FE" w:rsidRDefault="00E07E9A" w:rsidP="00780294">
            <w:pPr>
              <w:pStyle w:val="cb"/>
              <w:ind w:firstLine="567"/>
              <w:jc w:val="both"/>
              <w:rPr>
                <w:b w:val="0"/>
                <w:lang w:val="ro-RO"/>
              </w:rPr>
            </w:pPr>
            <w:r w:rsidRPr="008474FE">
              <w:rPr>
                <w:lang w:val="ro-RO"/>
              </w:rPr>
              <w:t>Art. V</w:t>
            </w:r>
            <w:r w:rsidR="00A3401C" w:rsidRPr="008474FE">
              <w:rPr>
                <w:lang w:val="ro-RO"/>
              </w:rPr>
              <w:t>I</w:t>
            </w:r>
            <w:r w:rsidRPr="008474FE">
              <w:rPr>
                <w:lang w:val="ro-RO"/>
              </w:rPr>
              <w:t>.</w:t>
            </w:r>
            <w:r w:rsidRPr="008474FE">
              <w:rPr>
                <w:b w:val="0"/>
                <w:lang w:val="ro-RO"/>
              </w:rPr>
              <w:t xml:space="preserve"> - Articolul 18 alineatul (9) al Legii nr.116 din 18 mai 2012 privind securitatea industrială a obiectelor industriale periculoase (Monitorul Oficial al Republicii Moldova, 2012, nr.135-141,art. 445) se completează cu lit. i) cu următorul cuprins: „i) efectuarea supravegherii la plasarea pe piaţa Republicii Moldova a produselor din domeniul reglementat în conformitate cu legislaţia în vigoare.”</w:t>
            </w:r>
          </w:p>
        </w:tc>
      </w:tr>
      <w:tr w:rsidR="008474FE" w:rsidRPr="008474FE" w:rsidTr="00780294">
        <w:tc>
          <w:tcPr>
            <w:tcW w:w="1150" w:type="dxa"/>
          </w:tcPr>
          <w:p w:rsidR="00F67636" w:rsidRPr="008474FE" w:rsidRDefault="00F67636" w:rsidP="00780294">
            <w:pPr>
              <w:pStyle w:val="a3"/>
              <w:numPr>
                <w:ilvl w:val="0"/>
                <w:numId w:val="2"/>
              </w:numPr>
              <w:tabs>
                <w:tab w:val="left" w:pos="352"/>
              </w:tabs>
              <w:jc w:val="center"/>
              <w:rPr>
                <w:lang w:val="ro-RO"/>
              </w:rPr>
            </w:pPr>
          </w:p>
        </w:tc>
        <w:tc>
          <w:tcPr>
            <w:tcW w:w="1336" w:type="dxa"/>
          </w:tcPr>
          <w:p w:rsidR="00F67636" w:rsidRPr="008474FE" w:rsidRDefault="00F67636" w:rsidP="00780294">
            <w:pPr>
              <w:pStyle w:val="a8"/>
              <w:tabs>
                <w:tab w:val="center" w:pos="4844"/>
                <w:tab w:val="right" w:pos="9689"/>
              </w:tabs>
              <w:ind w:left="0"/>
              <w:jc w:val="center"/>
              <w:rPr>
                <w:szCs w:val="24"/>
                <w:lang w:val="ro-RO" w:eastAsia="en-US"/>
              </w:rPr>
            </w:pPr>
            <w:r w:rsidRPr="008474FE">
              <w:rPr>
                <w:szCs w:val="24"/>
                <w:lang w:val="ro-RO"/>
              </w:rPr>
              <w:t xml:space="preserve">La Art. VII. </w:t>
            </w:r>
            <w:r w:rsidRPr="008474FE">
              <w:rPr>
                <w:szCs w:val="24"/>
                <w:lang w:val="ro-RO" w:eastAsia="en-US"/>
              </w:rPr>
              <w:t>Proiectul Legii</w:t>
            </w:r>
          </w:p>
        </w:tc>
        <w:tc>
          <w:tcPr>
            <w:tcW w:w="1789" w:type="dxa"/>
          </w:tcPr>
          <w:p w:rsidR="00F67636" w:rsidRPr="008474FE" w:rsidRDefault="00F67636" w:rsidP="00780294">
            <w:pPr>
              <w:pStyle w:val="a8"/>
              <w:ind w:left="0"/>
              <w:jc w:val="both"/>
              <w:rPr>
                <w:szCs w:val="24"/>
                <w:lang w:val="ro-RO" w:eastAsia="en-US"/>
              </w:rPr>
            </w:pPr>
            <w:r w:rsidRPr="008474FE">
              <w:rPr>
                <w:szCs w:val="24"/>
                <w:lang w:val="ro-RO" w:eastAsia="en-US"/>
              </w:rPr>
              <w:t>Nicolae Boţan, expert Grupului de lucru pentru reglementarea activităţii de întreprinzător</w:t>
            </w:r>
          </w:p>
        </w:tc>
        <w:tc>
          <w:tcPr>
            <w:tcW w:w="5261" w:type="dxa"/>
          </w:tcPr>
          <w:p w:rsidR="00F67636" w:rsidRPr="008474FE" w:rsidRDefault="00F67636" w:rsidP="00780294">
            <w:pPr>
              <w:ind w:firstLine="360"/>
              <w:jc w:val="both"/>
              <w:rPr>
                <w:lang w:val="ro-RO"/>
              </w:rPr>
            </w:pPr>
            <w:r w:rsidRPr="008474FE">
              <w:rPr>
                <w:lang w:val="ro-RO"/>
              </w:rPr>
              <w:t>Completarea propusă pentru Legea nr.131 din 2012 considerăm că nu se corelează logic cu însăşi conţinutul articolului 29, acesta deja se referă la prescripţii şi regimul acestora şi sancţiuni, nu are în vedere alte „măsuri corective” care la fel se impun prin prescripţii.</w:t>
            </w:r>
          </w:p>
        </w:tc>
        <w:tc>
          <w:tcPr>
            <w:tcW w:w="1768" w:type="dxa"/>
          </w:tcPr>
          <w:p w:rsidR="00F67636" w:rsidRPr="008474FE" w:rsidRDefault="00F67636" w:rsidP="00780294">
            <w:pPr>
              <w:pStyle w:val="a8"/>
              <w:tabs>
                <w:tab w:val="center" w:pos="4844"/>
                <w:tab w:val="right" w:pos="9689"/>
              </w:tabs>
              <w:ind w:left="0"/>
              <w:rPr>
                <w:lang w:val="ro-RO"/>
              </w:rPr>
            </w:pPr>
            <w:r w:rsidRPr="008474FE">
              <w:rPr>
                <w:lang w:val="ro-RO"/>
              </w:rPr>
              <w:t>Se acceptă parţial</w:t>
            </w:r>
          </w:p>
        </w:tc>
        <w:tc>
          <w:tcPr>
            <w:tcW w:w="3722" w:type="dxa"/>
            <w:gridSpan w:val="2"/>
          </w:tcPr>
          <w:p w:rsidR="00F67636" w:rsidRPr="008474FE" w:rsidRDefault="00F67636" w:rsidP="00780294">
            <w:pPr>
              <w:pStyle w:val="a8"/>
              <w:tabs>
                <w:tab w:val="center" w:pos="4844"/>
                <w:tab w:val="right" w:pos="9689"/>
              </w:tabs>
              <w:ind w:left="0"/>
              <w:rPr>
                <w:lang w:val="ro-RO"/>
              </w:rPr>
            </w:pPr>
            <w:r w:rsidRPr="008474FE">
              <w:rPr>
                <w:szCs w:val="24"/>
                <w:lang w:val="ro-RO" w:eastAsia="en-US"/>
              </w:rPr>
              <w:t xml:space="preserve">Avînd în vedere poziţia Ministerului Justiţiei, a se vedea pct. 16 al sintezei, nu pot fi considerate ca </w:t>
            </w:r>
            <w:r w:rsidRPr="008474FE">
              <w:rPr>
                <w:lang w:val="ro-RO"/>
              </w:rPr>
              <w:t xml:space="preserve">sancțiune contravențională complementară „interzicerea punerii la dispoziție pe piață a produselor periculoase sau retragerea produselor periculoase din circulație, sau rechemarea produselor periculoase de la consumatori.”. </w:t>
            </w:r>
          </w:p>
          <w:p w:rsidR="00B4368B" w:rsidRPr="008474FE" w:rsidRDefault="00B4368B" w:rsidP="00780294">
            <w:pPr>
              <w:pStyle w:val="a8"/>
              <w:tabs>
                <w:tab w:val="center" w:pos="4844"/>
                <w:tab w:val="right" w:pos="9689"/>
              </w:tabs>
              <w:ind w:left="0"/>
              <w:rPr>
                <w:szCs w:val="24"/>
                <w:lang w:val="ro-RO" w:eastAsia="en-US"/>
              </w:rPr>
            </w:pPr>
            <w:r w:rsidRPr="008474FE">
              <w:rPr>
                <w:lang w:val="ro-RO"/>
              </w:rPr>
              <w:t xml:space="preserve">Completarea vine cu o precizare prin care se specifică ce trebuie să întreprindă agentul economic în cazul în care produsele în urma controlului de către organul de supraveghere a pieţei se constată că </w:t>
            </w:r>
            <w:r w:rsidRPr="008474FE">
              <w:rPr>
                <w:lang w:val="ro-RO"/>
              </w:rPr>
              <w:lastRenderedPageBreak/>
              <w:t>nu corespund cerinţei de siguranţă sau cerinţelor esenţiale stabilite de reglementările tehnice. Aceste masuri se vor prescrie prin prescripţii şi care stabilesc acţiunile concrete - interzicerea punerii la dispoziție pe piață a produselor periculoase sau retragerea produselor periculoase din circulație, sau rechemarea produselor periculoase de la consumatori. Dar în fapt Legea privind supravegherea pieţei le titrează aceste măsuri că măsuri corective în urma cărora produsele urmează a fi aduse în corespundere cu cerinţele reglementărilor tehnice.</w:t>
            </w:r>
          </w:p>
        </w:tc>
      </w:tr>
      <w:tr w:rsidR="008474FE" w:rsidRPr="008474FE" w:rsidTr="00780294">
        <w:tc>
          <w:tcPr>
            <w:tcW w:w="1150" w:type="dxa"/>
          </w:tcPr>
          <w:p w:rsidR="00032A3A" w:rsidRPr="008474FE" w:rsidRDefault="00032A3A" w:rsidP="00780294">
            <w:pPr>
              <w:pStyle w:val="a3"/>
              <w:numPr>
                <w:ilvl w:val="0"/>
                <w:numId w:val="2"/>
              </w:numPr>
              <w:tabs>
                <w:tab w:val="left" w:pos="352"/>
              </w:tabs>
              <w:jc w:val="center"/>
              <w:rPr>
                <w:lang w:val="ro-RO"/>
              </w:rPr>
            </w:pPr>
          </w:p>
        </w:tc>
        <w:tc>
          <w:tcPr>
            <w:tcW w:w="1336" w:type="dxa"/>
          </w:tcPr>
          <w:p w:rsidR="00032A3A" w:rsidRPr="008474FE" w:rsidRDefault="001969AD" w:rsidP="00780294">
            <w:pPr>
              <w:pStyle w:val="a8"/>
              <w:tabs>
                <w:tab w:val="center" w:pos="4844"/>
                <w:tab w:val="right" w:pos="9689"/>
              </w:tabs>
              <w:ind w:left="0"/>
              <w:jc w:val="center"/>
              <w:rPr>
                <w:szCs w:val="24"/>
                <w:lang w:val="ro-RO" w:eastAsia="en-US"/>
              </w:rPr>
            </w:pPr>
            <w:r w:rsidRPr="008474FE">
              <w:rPr>
                <w:szCs w:val="24"/>
                <w:lang w:val="ro-RO" w:eastAsia="en-US"/>
              </w:rPr>
              <w:t xml:space="preserve">La </w:t>
            </w:r>
            <w:r w:rsidRPr="008474FE">
              <w:rPr>
                <w:lang w:val="ro-RO"/>
              </w:rPr>
              <w:t>nota informativă</w:t>
            </w:r>
          </w:p>
        </w:tc>
        <w:tc>
          <w:tcPr>
            <w:tcW w:w="1789" w:type="dxa"/>
          </w:tcPr>
          <w:p w:rsidR="00032A3A" w:rsidRPr="008474FE" w:rsidRDefault="00032A3A" w:rsidP="00780294">
            <w:pPr>
              <w:pStyle w:val="a8"/>
              <w:tabs>
                <w:tab w:val="center" w:pos="4844"/>
                <w:tab w:val="right" w:pos="9689"/>
              </w:tabs>
              <w:ind w:left="0"/>
              <w:rPr>
                <w:szCs w:val="24"/>
                <w:lang w:val="ro-RO" w:eastAsia="en-US"/>
              </w:rPr>
            </w:pPr>
            <w:r w:rsidRPr="008474FE">
              <w:rPr>
                <w:szCs w:val="24"/>
                <w:lang w:val="ro-RO" w:eastAsia="en-US"/>
              </w:rPr>
              <w:t>Ministerul Justiției</w:t>
            </w:r>
          </w:p>
        </w:tc>
        <w:tc>
          <w:tcPr>
            <w:tcW w:w="5261" w:type="dxa"/>
          </w:tcPr>
          <w:p w:rsidR="00032A3A" w:rsidRPr="008474FE" w:rsidRDefault="00032A3A" w:rsidP="00780294">
            <w:pPr>
              <w:ind w:firstLine="360"/>
              <w:jc w:val="both"/>
              <w:rPr>
                <w:lang w:val="ro-RO"/>
              </w:rPr>
            </w:pPr>
            <w:r w:rsidRPr="008474FE">
              <w:rPr>
                <w:lang w:val="ro-RO"/>
              </w:rPr>
              <w:t>20. Luînd în considerație faptul, că proiectul legii vizează modificarea și completarea unor prevederi ce reglementează activitatea de întreprinzător, nota informativă la proiectul legii se va suplini, în temeiul art. 20 lit. e) al Legii nr. 780-XV din  27 decembrie 2001, cu actul de analiză a impactului de reglementare.</w:t>
            </w:r>
          </w:p>
        </w:tc>
        <w:tc>
          <w:tcPr>
            <w:tcW w:w="1768" w:type="dxa"/>
          </w:tcPr>
          <w:p w:rsidR="00032A3A" w:rsidRPr="008474FE" w:rsidRDefault="00032A3A" w:rsidP="00780294">
            <w:pPr>
              <w:pStyle w:val="a8"/>
              <w:tabs>
                <w:tab w:val="center" w:pos="4844"/>
                <w:tab w:val="right" w:pos="9689"/>
              </w:tabs>
              <w:ind w:left="0"/>
              <w:rPr>
                <w:szCs w:val="24"/>
                <w:lang w:val="ro-RO" w:eastAsia="en-US"/>
              </w:rPr>
            </w:pPr>
            <w:r w:rsidRPr="008474FE">
              <w:rPr>
                <w:lang w:val="ro-RO"/>
              </w:rPr>
              <w:t>Se acceptă</w:t>
            </w:r>
          </w:p>
        </w:tc>
        <w:tc>
          <w:tcPr>
            <w:tcW w:w="3722" w:type="dxa"/>
            <w:gridSpan w:val="2"/>
          </w:tcPr>
          <w:p w:rsidR="00032A3A" w:rsidRPr="008474FE" w:rsidRDefault="001969AD" w:rsidP="00780294">
            <w:pPr>
              <w:pStyle w:val="a8"/>
              <w:tabs>
                <w:tab w:val="center" w:pos="4844"/>
                <w:tab w:val="right" w:pos="9689"/>
              </w:tabs>
              <w:ind w:left="0"/>
              <w:rPr>
                <w:szCs w:val="24"/>
                <w:lang w:val="ro-RO" w:eastAsia="en-US"/>
              </w:rPr>
            </w:pPr>
            <w:r w:rsidRPr="008474FE">
              <w:rPr>
                <w:szCs w:val="24"/>
                <w:lang w:val="ro-RO" w:eastAsia="en-US"/>
              </w:rPr>
              <w:t>A fost completată notă informativă</w:t>
            </w:r>
          </w:p>
        </w:tc>
      </w:tr>
      <w:tr w:rsidR="008474FE" w:rsidRPr="008474FE" w:rsidTr="00780294">
        <w:tc>
          <w:tcPr>
            <w:tcW w:w="1150" w:type="dxa"/>
          </w:tcPr>
          <w:p w:rsidR="00032A3A" w:rsidRPr="008474FE" w:rsidRDefault="00032A3A" w:rsidP="00780294">
            <w:pPr>
              <w:pStyle w:val="a3"/>
              <w:numPr>
                <w:ilvl w:val="0"/>
                <w:numId w:val="2"/>
              </w:numPr>
              <w:tabs>
                <w:tab w:val="left" w:pos="352"/>
              </w:tabs>
              <w:jc w:val="center"/>
              <w:rPr>
                <w:lang w:val="ro-RO"/>
              </w:rPr>
            </w:pPr>
          </w:p>
        </w:tc>
        <w:tc>
          <w:tcPr>
            <w:tcW w:w="1336" w:type="dxa"/>
          </w:tcPr>
          <w:p w:rsidR="00032A3A" w:rsidRPr="008474FE" w:rsidRDefault="00032A3A" w:rsidP="00780294">
            <w:pPr>
              <w:pStyle w:val="a8"/>
              <w:tabs>
                <w:tab w:val="center" w:pos="4844"/>
                <w:tab w:val="right" w:pos="9689"/>
              </w:tabs>
              <w:ind w:left="0"/>
              <w:jc w:val="center"/>
              <w:rPr>
                <w:szCs w:val="24"/>
                <w:lang w:val="ro-RO" w:eastAsia="en-US"/>
              </w:rPr>
            </w:pPr>
            <w:r w:rsidRPr="008474FE">
              <w:rPr>
                <w:szCs w:val="24"/>
                <w:lang w:val="ro-RO" w:eastAsia="en-US"/>
              </w:rPr>
              <w:t>Proiectul Legii</w:t>
            </w:r>
          </w:p>
        </w:tc>
        <w:tc>
          <w:tcPr>
            <w:tcW w:w="1789" w:type="dxa"/>
          </w:tcPr>
          <w:p w:rsidR="00032A3A" w:rsidRPr="008474FE" w:rsidRDefault="00032A3A" w:rsidP="00780294">
            <w:pPr>
              <w:pStyle w:val="a8"/>
              <w:tabs>
                <w:tab w:val="center" w:pos="4844"/>
                <w:tab w:val="right" w:pos="9689"/>
              </w:tabs>
              <w:ind w:left="0"/>
              <w:rPr>
                <w:szCs w:val="24"/>
                <w:lang w:val="ro-RO" w:eastAsia="en-US"/>
              </w:rPr>
            </w:pPr>
            <w:r w:rsidRPr="008474FE">
              <w:rPr>
                <w:szCs w:val="24"/>
                <w:lang w:val="ro-RO"/>
              </w:rPr>
              <w:t>Centrul de Armonizare a Legislaţiei</w:t>
            </w:r>
          </w:p>
        </w:tc>
        <w:tc>
          <w:tcPr>
            <w:tcW w:w="5261" w:type="dxa"/>
          </w:tcPr>
          <w:p w:rsidR="00032A3A" w:rsidRPr="008474FE" w:rsidRDefault="00032A3A" w:rsidP="00780294">
            <w:pPr>
              <w:jc w:val="both"/>
              <w:rPr>
                <w:lang w:val="ro-RO"/>
              </w:rPr>
            </w:pPr>
            <w:r w:rsidRPr="008474FE">
              <w:rPr>
                <w:lang w:val="ro-RO"/>
              </w:rPr>
              <w:t>Fără propuneri</w:t>
            </w:r>
          </w:p>
        </w:tc>
        <w:tc>
          <w:tcPr>
            <w:tcW w:w="1768" w:type="dxa"/>
          </w:tcPr>
          <w:p w:rsidR="00032A3A" w:rsidRPr="008474FE" w:rsidRDefault="00032A3A" w:rsidP="00780294">
            <w:pPr>
              <w:pStyle w:val="a8"/>
              <w:tabs>
                <w:tab w:val="center" w:pos="4844"/>
                <w:tab w:val="right" w:pos="9689"/>
              </w:tabs>
              <w:ind w:left="0"/>
              <w:rPr>
                <w:szCs w:val="24"/>
                <w:lang w:val="ro-RO" w:eastAsia="en-US"/>
              </w:rPr>
            </w:pPr>
          </w:p>
        </w:tc>
        <w:tc>
          <w:tcPr>
            <w:tcW w:w="3722" w:type="dxa"/>
            <w:gridSpan w:val="2"/>
          </w:tcPr>
          <w:p w:rsidR="00032A3A" w:rsidRPr="008474FE" w:rsidRDefault="00032A3A" w:rsidP="00780294">
            <w:pPr>
              <w:pStyle w:val="a8"/>
              <w:tabs>
                <w:tab w:val="center" w:pos="4844"/>
                <w:tab w:val="right" w:pos="9689"/>
              </w:tabs>
              <w:ind w:left="0"/>
              <w:rPr>
                <w:szCs w:val="24"/>
                <w:lang w:val="ro-RO" w:eastAsia="en-US"/>
              </w:rPr>
            </w:pPr>
          </w:p>
        </w:tc>
      </w:tr>
      <w:tr w:rsidR="008474FE" w:rsidRPr="008474FE" w:rsidTr="00780294">
        <w:tc>
          <w:tcPr>
            <w:tcW w:w="1150" w:type="dxa"/>
          </w:tcPr>
          <w:p w:rsidR="00032A3A" w:rsidRPr="008474FE" w:rsidRDefault="00032A3A" w:rsidP="00780294">
            <w:pPr>
              <w:pStyle w:val="a3"/>
              <w:numPr>
                <w:ilvl w:val="0"/>
                <w:numId w:val="2"/>
              </w:numPr>
              <w:tabs>
                <w:tab w:val="left" w:pos="352"/>
              </w:tabs>
              <w:jc w:val="center"/>
              <w:rPr>
                <w:lang w:val="ro-RO"/>
              </w:rPr>
            </w:pPr>
          </w:p>
        </w:tc>
        <w:tc>
          <w:tcPr>
            <w:tcW w:w="1336" w:type="dxa"/>
          </w:tcPr>
          <w:p w:rsidR="00032A3A" w:rsidRPr="008474FE" w:rsidRDefault="00032A3A" w:rsidP="00780294">
            <w:pPr>
              <w:pStyle w:val="a8"/>
              <w:tabs>
                <w:tab w:val="center" w:pos="4844"/>
                <w:tab w:val="right" w:pos="9689"/>
              </w:tabs>
              <w:ind w:left="0"/>
              <w:jc w:val="center"/>
              <w:rPr>
                <w:szCs w:val="24"/>
                <w:lang w:val="ro-RO" w:eastAsia="en-US"/>
              </w:rPr>
            </w:pPr>
            <w:r w:rsidRPr="008474FE">
              <w:rPr>
                <w:szCs w:val="24"/>
                <w:lang w:val="ro-RO" w:eastAsia="en-US"/>
              </w:rPr>
              <w:t>Proiectul Legii</w:t>
            </w:r>
          </w:p>
        </w:tc>
        <w:tc>
          <w:tcPr>
            <w:tcW w:w="1789" w:type="dxa"/>
          </w:tcPr>
          <w:p w:rsidR="00032A3A" w:rsidRPr="008474FE" w:rsidRDefault="00032A3A" w:rsidP="00780294">
            <w:pPr>
              <w:pStyle w:val="a8"/>
              <w:tabs>
                <w:tab w:val="center" w:pos="4844"/>
                <w:tab w:val="right" w:pos="9689"/>
              </w:tabs>
              <w:ind w:left="0"/>
              <w:rPr>
                <w:szCs w:val="24"/>
                <w:lang w:val="ro-RO" w:eastAsia="en-US"/>
              </w:rPr>
            </w:pPr>
            <w:r w:rsidRPr="008474FE">
              <w:rPr>
                <w:szCs w:val="24"/>
                <w:lang w:val="ro-RO" w:eastAsia="en-US"/>
              </w:rPr>
              <w:t>Ministerul Finanțelor</w:t>
            </w:r>
          </w:p>
        </w:tc>
        <w:tc>
          <w:tcPr>
            <w:tcW w:w="5261" w:type="dxa"/>
          </w:tcPr>
          <w:p w:rsidR="00032A3A" w:rsidRPr="008474FE" w:rsidRDefault="00032A3A" w:rsidP="00780294">
            <w:pPr>
              <w:jc w:val="both"/>
              <w:rPr>
                <w:lang w:val="ro-RO"/>
              </w:rPr>
            </w:pPr>
            <w:r w:rsidRPr="008474FE">
              <w:rPr>
                <w:lang w:val="ro-RO"/>
              </w:rPr>
              <w:t>Fără propuneri</w:t>
            </w:r>
          </w:p>
        </w:tc>
        <w:tc>
          <w:tcPr>
            <w:tcW w:w="1768" w:type="dxa"/>
          </w:tcPr>
          <w:p w:rsidR="00032A3A" w:rsidRPr="008474FE" w:rsidRDefault="00032A3A" w:rsidP="00780294">
            <w:pPr>
              <w:pStyle w:val="a8"/>
              <w:tabs>
                <w:tab w:val="center" w:pos="4844"/>
                <w:tab w:val="right" w:pos="9689"/>
              </w:tabs>
              <w:ind w:left="0"/>
              <w:rPr>
                <w:szCs w:val="24"/>
                <w:lang w:val="ro-RO" w:eastAsia="en-US"/>
              </w:rPr>
            </w:pPr>
          </w:p>
        </w:tc>
        <w:tc>
          <w:tcPr>
            <w:tcW w:w="3722" w:type="dxa"/>
            <w:gridSpan w:val="2"/>
          </w:tcPr>
          <w:p w:rsidR="00032A3A" w:rsidRPr="008474FE" w:rsidRDefault="00032A3A" w:rsidP="00780294">
            <w:pPr>
              <w:pStyle w:val="a8"/>
              <w:tabs>
                <w:tab w:val="center" w:pos="4844"/>
                <w:tab w:val="right" w:pos="9689"/>
              </w:tabs>
              <w:ind w:left="0"/>
              <w:rPr>
                <w:szCs w:val="24"/>
                <w:lang w:val="ro-RO" w:eastAsia="en-US"/>
              </w:rPr>
            </w:pPr>
          </w:p>
        </w:tc>
      </w:tr>
      <w:tr w:rsidR="008474FE" w:rsidRPr="008474FE" w:rsidTr="00780294">
        <w:tc>
          <w:tcPr>
            <w:tcW w:w="1150" w:type="dxa"/>
          </w:tcPr>
          <w:p w:rsidR="00032A3A" w:rsidRPr="008474FE" w:rsidRDefault="00032A3A" w:rsidP="00780294">
            <w:pPr>
              <w:pStyle w:val="a3"/>
              <w:numPr>
                <w:ilvl w:val="0"/>
                <w:numId w:val="2"/>
              </w:numPr>
              <w:tabs>
                <w:tab w:val="left" w:pos="352"/>
              </w:tabs>
              <w:jc w:val="center"/>
              <w:rPr>
                <w:lang w:val="ro-RO"/>
              </w:rPr>
            </w:pPr>
          </w:p>
        </w:tc>
        <w:tc>
          <w:tcPr>
            <w:tcW w:w="1336" w:type="dxa"/>
          </w:tcPr>
          <w:p w:rsidR="00032A3A" w:rsidRPr="008474FE" w:rsidRDefault="00032A3A" w:rsidP="00780294">
            <w:pPr>
              <w:pStyle w:val="a8"/>
              <w:tabs>
                <w:tab w:val="center" w:pos="4844"/>
                <w:tab w:val="right" w:pos="9689"/>
              </w:tabs>
              <w:ind w:left="0"/>
              <w:jc w:val="center"/>
              <w:rPr>
                <w:szCs w:val="24"/>
                <w:lang w:val="ro-RO" w:eastAsia="en-US"/>
              </w:rPr>
            </w:pPr>
            <w:r w:rsidRPr="008474FE">
              <w:rPr>
                <w:szCs w:val="24"/>
                <w:lang w:val="ro-RO"/>
              </w:rPr>
              <w:t>Proiectul Legii</w:t>
            </w:r>
          </w:p>
        </w:tc>
        <w:tc>
          <w:tcPr>
            <w:tcW w:w="1789" w:type="dxa"/>
          </w:tcPr>
          <w:p w:rsidR="00032A3A" w:rsidRPr="008474FE" w:rsidRDefault="00032A3A" w:rsidP="00780294">
            <w:pPr>
              <w:pStyle w:val="a8"/>
              <w:tabs>
                <w:tab w:val="center" w:pos="4844"/>
                <w:tab w:val="right" w:pos="9689"/>
              </w:tabs>
              <w:ind w:left="0"/>
              <w:rPr>
                <w:szCs w:val="24"/>
                <w:lang w:val="ro-RO" w:eastAsia="en-US"/>
              </w:rPr>
            </w:pPr>
            <w:r w:rsidRPr="008474FE">
              <w:rPr>
                <w:szCs w:val="24"/>
                <w:lang w:val="ro-RO"/>
              </w:rPr>
              <w:t xml:space="preserve">Ministerul Dezvoltării Regionale și </w:t>
            </w:r>
            <w:r w:rsidRPr="008474FE">
              <w:rPr>
                <w:szCs w:val="24"/>
                <w:lang w:val="ro-RO"/>
              </w:rPr>
              <w:lastRenderedPageBreak/>
              <w:t>Construcțiilor</w:t>
            </w:r>
          </w:p>
        </w:tc>
        <w:tc>
          <w:tcPr>
            <w:tcW w:w="5261" w:type="dxa"/>
          </w:tcPr>
          <w:p w:rsidR="00032A3A" w:rsidRPr="008474FE" w:rsidRDefault="00032A3A" w:rsidP="00780294">
            <w:pPr>
              <w:jc w:val="both"/>
              <w:rPr>
                <w:lang w:val="ro-RO"/>
              </w:rPr>
            </w:pPr>
            <w:r w:rsidRPr="008474FE">
              <w:rPr>
                <w:lang w:val="ro-RO"/>
              </w:rPr>
              <w:lastRenderedPageBreak/>
              <w:t>Fără propuneri</w:t>
            </w:r>
          </w:p>
        </w:tc>
        <w:tc>
          <w:tcPr>
            <w:tcW w:w="1768" w:type="dxa"/>
          </w:tcPr>
          <w:p w:rsidR="00032A3A" w:rsidRPr="008474FE" w:rsidRDefault="00032A3A" w:rsidP="00780294">
            <w:pPr>
              <w:pStyle w:val="a8"/>
              <w:tabs>
                <w:tab w:val="center" w:pos="4844"/>
                <w:tab w:val="right" w:pos="9689"/>
              </w:tabs>
              <w:ind w:left="0"/>
              <w:rPr>
                <w:szCs w:val="24"/>
                <w:lang w:val="ro-RO" w:eastAsia="en-US"/>
              </w:rPr>
            </w:pPr>
          </w:p>
        </w:tc>
        <w:tc>
          <w:tcPr>
            <w:tcW w:w="3722" w:type="dxa"/>
            <w:gridSpan w:val="2"/>
          </w:tcPr>
          <w:p w:rsidR="00032A3A" w:rsidRPr="008474FE" w:rsidRDefault="00032A3A" w:rsidP="00780294">
            <w:pPr>
              <w:pStyle w:val="a8"/>
              <w:tabs>
                <w:tab w:val="center" w:pos="4844"/>
                <w:tab w:val="right" w:pos="9689"/>
              </w:tabs>
              <w:ind w:left="0"/>
              <w:rPr>
                <w:szCs w:val="24"/>
                <w:lang w:val="ro-RO" w:eastAsia="en-US"/>
              </w:rPr>
            </w:pPr>
          </w:p>
        </w:tc>
      </w:tr>
      <w:tr w:rsidR="008474FE" w:rsidRPr="008474FE" w:rsidTr="00780294">
        <w:tc>
          <w:tcPr>
            <w:tcW w:w="1150" w:type="dxa"/>
          </w:tcPr>
          <w:p w:rsidR="00032A3A" w:rsidRPr="008474FE" w:rsidRDefault="00032A3A" w:rsidP="00780294">
            <w:pPr>
              <w:pStyle w:val="a3"/>
              <w:numPr>
                <w:ilvl w:val="0"/>
                <w:numId w:val="2"/>
              </w:numPr>
              <w:tabs>
                <w:tab w:val="left" w:pos="352"/>
              </w:tabs>
              <w:jc w:val="center"/>
              <w:rPr>
                <w:lang w:val="ro-RO"/>
              </w:rPr>
            </w:pPr>
          </w:p>
        </w:tc>
        <w:tc>
          <w:tcPr>
            <w:tcW w:w="1336" w:type="dxa"/>
          </w:tcPr>
          <w:p w:rsidR="00032A3A" w:rsidRPr="008474FE" w:rsidRDefault="00032A3A" w:rsidP="00780294">
            <w:pPr>
              <w:pStyle w:val="a8"/>
              <w:tabs>
                <w:tab w:val="center" w:pos="4844"/>
                <w:tab w:val="right" w:pos="9689"/>
              </w:tabs>
              <w:ind w:left="0"/>
              <w:jc w:val="center"/>
              <w:rPr>
                <w:szCs w:val="24"/>
                <w:lang w:val="ro-RO"/>
              </w:rPr>
            </w:pPr>
            <w:r w:rsidRPr="008474FE">
              <w:rPr>
                <w:szCs w:val="24"/>
                <w:lang w:val="ro-RO"/>
              </w:rPr>
              <w:t>Proiectul Legii</w:t>
            </w:r>
          </w:p>
        </w:tc>
        <w:tc>
          <w:tcPr>
            <w:tcW w:w="1789" w:type="dxa"/>
          </w:tcPr>
          <w:p w:rsidR="00032A3A" w:rsidRPr="008474FE" w:rsidRDefault="00032A3A" w:rsidP="00780294">
            <w:pPr>
              <w:pStyle w:val="a8"/>
              <w:tabs>
                <w:tab w:val="center" w:pos="4844"/>
                <w:tab w:val="right" w:pos="9689"/>
              </w:tabs>
              <w:ind w:left="0"/>
              <w:rPr>
                <w:szCs w:val="24"/>
                <w:lang w:val="ro-RO"/>
              </w:rPr>
            </w:pPr>
            <w:r w:rsidRPr="008474FE">
              <w:rPr>
                <w:szCs w:val="24"/>
                <w:lang w:val="ro-RO"/>
              </w:rPr>
              <w:t>Ministerul Agriculturii și Industriei Alimentare</w:t>
            </w:r>
          </w:p>
        </w:tc>
        <w:tc>
          <w:tcPr>
            <w:tcW w:w="5261" w:type="dxa"/>
          </w:tcPr>
          <w:p w:rsidR="00032A3A" w:rsidRPr="008474FE" w:rsidRDefault="00032A3A" w:rsidP="00780294">
            <w:pPr>
              <w:jc w:val="both"/>
              <w:rPr>
                <w:lang w:val="ro-RO"/>
              </w:rPr>
            </w:pPr>
            <w:r w:rsidRPr="008474FE">
              <w:rPr>
                <w:lang w:val="ro-RO"/>
              </w:rPr>
              <w:t>Fără propuneri</w:t>
            </w:r>
          </w:p>
        </w:tc>
        <w:tc>
          <w:tcPr>
            <w:tcW w:w="1768" w:type="dxa"/>
          </w:tcPr>
          <w:p w:rsidR="00032A3A" w:rsidRPr="008474FE" w:rsidRDefault="00032A3A" w:rsidP="00780294">
            <w:pPr>
              <w:pStyle w:val="a8"/>
              <w:tabs>
                <w:tab w:val="center" w:pos="4844"/>
                <w:tab w:val="right" w:pos="9689"/>
              </w:tabs>
              <w:ind w:left="0"/>
              <w:rPr>
                <w:szCs w:val="24"/>
                <w:lang w:val="ro-RO" w:eastAsia="en-US"/>
              </w:rPr>
            </w:pPr>
          </w:p>
        </w:tc>
        <w:tc>
          <w:tcPr>
            <w:tcW w:w="3722" w:type="dxa"/>
            <w:gridSpan w:val="2"/>
          </w:tcPr>
          <w:p w:rsidR="00032A3A" w:rsidRPr="008474FE" w:rsidRDefault="00032A3A" w:rsidP="00780294">
            <w:pPr>
              <w:pStyle w:val="a8"/>
              <w:tabs>
                <w:tab w:val="center" w:pos="4844"/>
                <w:tab w:val="right" w:pos="9689"/>
              </w:tabs>
              <w:ind w:left="0"/>
              <w:rPr>
                <w:szCs w:val="24"/>
                <w:lang w:val="ro-RO" w:eastAsia="en-US"/>
              </w:rPr>
            </w:pPr>
          </w:p>
        </w:tc>
      </w:tr>
      <w:tr w:rsidR="008474FE" w:rsidRPr="008474FE" w:rsidTr="00780294">
        <w:tc>
          <w:tcPr>
            <w:tcW w:w="1150" w:type="dxa"/>
          </w:tcPr>
          <w:p w:rsidR="00032A3A" w:rsidRPr="008474FE" w:rsidRDefault="00032A3A" w:rsidP="00780294">
            <w:pPr>
              <w:pStyle w:val="a3"/>
              <w:numPr>
                <w:ilvl w:val="0"/>
                <w:numId w:val="2"/>
              </w:numPr>
              <w:tabs>
                <w:tab w:val="left" w:pos="352"/>
              </w:tabs>
              <w:jc w:val="center"/>
              <w:rPr>
                <w:lang w:val="ro-RO"/>
              </w:rPr>
            </w:pPr>
          </w:p>
        </w:tc>
        <w:tc>
          <w:tcPr>
            <w:tcW w:w="1336" w:type="dxa"/>
          </w:tcPr>
          <w:p w:rsidR="00032A3A" w:rsidRPr="008474FE" w:rsidRDefault="00032A3A" w:rsidP="00780294">
            <w:pPr>
              <w:pStyle w:val="a8"/>
              <w:tabs>
                <w:tab w:val="center" w:pos="4844"/>
                <w:tab w:val="right" w:pos="9689"/>
              </w:tabs>
              <w:ind w:left="0"/>
              <w:jc w:val="center"/>
              <w:rPr>
                <w:szCs w:val="24"/>
                <w:lang w:val="ro-RO"/>
              </w:rPr>
            </w:pPr>
            <w:r w:rsidRPr="008474FE">
              <w:rPr>
                <w:szCs w:val="24"/>
                <w:lang w:val="ro-RO"/>
              </w:rPr>
              <w:t>Proiectul Legii</w:t>
            </w:r>
          </w:p>
        </w:tc>
        <w:tc>
          <w:tcPr>
            <w:tcW w:w="1789" w:type="dxa"/>
          </w:tcPr>
          <w:p w:rsidR="00032A3A" w:rsidRPr="008474FE" w:rsidRDefault="00032A3A" w:rsidP="00780294">
            <w:pPr>
              <w:pStyle w:val="a8"/>
              <w:tabs>
                <w:tab w:val="center" w:pos="4844"/>
                <w:tab w:val="right" w:pos="9689"/>
              </w:tabs>
              <w:ind w:left="0"/>
              <w:rPr>
                <w:szCs w:val="24"/>
                <w:lang w:val="ro-RO"/>
              </w:rPr>
            </w:pPr>
            <w:r w:rsidRPr="008474FE">
              <w:rPr>
                <w:szCs w:val="24"/>
                <w:lang w:val="ro-RO"/>
              </w:rPr>
              <w:t>Ministerul Tehnologiei Informației și comunicațiilor</w:t>
            </w:r>
          </w:p>
        </w:tc>
        <w:tc>
          <w:tcPr>
            <w:tcW w:w="5261" w:type="dxa"/>
          </w:tcPr>
          <w:p w:rsidR="00032A3A" w:rsidRPr="008474FE" w:rsidRDefault="00032A3A" w:rsidP="00780294">
            <w:pPr>
              <w:jc w:val="both"/>
              <w:rPr>
                <w:lang w:val="ro-RO"/>
              </w:rPr>
            </w:pPr>
            <w:r w:rsidRPr="008474FE">
              <w:rPr>
                <w:lang w:val="ro-RO"/>
              </w:rPr>
              <w:t>Fără propuneri</w:t>
            </w:r>
          </w:p>
        </w:tc>
        <w:tc>
          <w:tcPr>
            <w:tcW w:w="1768" w:type="dxa"/>
          </w:tcPr>
          <w:p w:rsidR="00032A3A" w:rsidRPr="008474FE" w:rsidRDefault="00032A3A" w:rsidP="00780294">
            <w:pPr>
              <w:pStyle w:val="a8"/>
              <w:tabs>
                <w:tab w:val="center" w:pos="4844"/>
                <w:tab w:val="right" w:pos="9689"/>
              </w:tabs>
              <w:ind w:left="0"/>
              <w:rPr>
                <w:szCs w:val="24"/>
                <w:lang w:val="ro-RO" w:eastAsia="en-US"/>
              </w:rPr>
            </w:pPr>
          </w:p>
        </w:tc>
        <w:tc>
          <w:tcPr>
            <w:tcW w:w="3722" w:type="dxa"/>
            <w:gridSpan w:val="2"/>
          </w:tcPr>
          <w:p w:rsidR="00032A3A" w:rsidRPr="008474FE" w:rsidRDefault="00032A3A" w:rsidP="00780294">
            <w:pPr>
              <w:pStyle w:val="a8"/>
              <w:tabs>
                <w:tab w:val="center" w:pos="4844"/>
                <w:tab w:val="right" w:pos="9689"/>
              </w:tabs>
              <w:ind w:left="0"/>
              <w:rPr>
                <w:szCs w:val="24"/>
                <w:lang w:val="ro-RO" w:eastAsia="en-US"/>
              </w:rPr>
            </w:pPr>
          </w:p>
        </w:tc>
      </w:tr>
      <w:tr w:rsidR="008474FE" w:rsidRPr="008474FE" w:rsidTr="00780294">
        <w:tc>
          <w:tcPr>
            <w:tcW w:w="1150" w:type="dxa"/>
          </w:tcPr>
          <w:p w:rsidR="00032A3A" w:rsidRPr="008474FE" w:rsidRDefault="00032A3A" w:rsidP="00780294">
            <w:pPr>
              <w:pStyle w:val="a3"/>
              <w:numPr>
                <w:ilvl w:val="0"/>
                <w:numId w:val="2"/>
              </w:numPr>
              <w:tabs>
                <w:tab w:val="left" w:pos="352"/>
              </w:tabs>
              <w:jc w:val="center"/>
              <w:rPr>
                <w:lang w:val="ro-RO"/>
              </w:rPr>
            </w:pPr>
          </w:p>
        </w:tc>
        <w:tc>
          <w:tcPr>
            <w:tcW w:w="1336" w:type="dxa"/>
          </w:tcPr>
          <w:p w:rsidR="00032A3A" w:rsidRPr="008474FE" w:rsidRDefault="00032A3A" w:rsidP="00780294">
            <w:pPr>
              <w:pStyle w:val="a8"/>
              <w:tabs>
                <w:tab w:val="center" w:pos="4844"/>
                <w:tab w:val="right" w:pos="9689"/>
              </w:tabs>
              <w:ind w:left="0"/>
              <w:jc w:val="center"/>
              <w:rPr>
                <w:szCs w:val="24"/>
                <w:lang w:val="ro-RO" w:eastAsia="en-US"/>
              </w:rPr>
            </w:pPr>
            <w:r w:rsidRPr="008474FE">
              <w:rPr>
                <w:szCs w:val="24"/>
                <w:lang w:val="ro-RO"/>
              </w:rPr>
              <w:t>Proiectul Legii</w:t>
            </w:r>
          </w:p>
        </w:tc>
        <w:tc>
          <w:tcPr>
            <w:tcW w:w="1789" w:type="dxa"/>
          </w:tcPr>
          <w:p w:rsidR="00032A3A" w:rsidRPr="008474FE" w:rsidRDefault="00032A3A" w:rsidP="00780294">
            <w:pPr>
              <w:pStyle w:val="a8"/>
              <w:tabs>
                <w:tab w:val="center" w:pos="4844"/>
                <w:tab w:val="right" w:pos="9689"/>
              </w:tabs>
              <w:ind w:left="0"/>
              <w:rPr>
                <w:szCs w:val="24"/>
                <w:lang w:val="ro-RO" w:eastAsia="en-US"/>
              </w:rPr>
            </w:pPr>
            <w:r w:rsidRPr="008474FE">
              <w:rPr>
                <w:szCs w:val="24"/>
                <w:lang w:val="ro-RO"/>
              </w:rPr>
              <w:t>Agenția Medicamentului</w:t>
            </w:r>
          </w:p>
        </w:tc>
        <w:tc>
          <w:tcPr>
            <w:tcW w:w="5261" w:type="dxa"/>
          </w:tcPr>
          <w:p w:rsidR="00032A3A" w:rsidRPr="008474FE" w:rsidRDefault="00032A3A" w:rsidP="00780294">
            <w:pPr>
              <w:jc w:val="both"/>
              <w:rPr>
                <w:lang w:val="ro-RO"/>
              </w:rPr>
            </w:pPr>
            <w:r w:rsidRPr="008474FE">
              <w:rPr>
                <w:lang w:val="ro-RO"/>
              </w:rPr>
              <w:t>Fără propuneri</w:t>
            </w:r>
          </w:p>
        </w:tc>
        <w:tc>
          <w:tcPr>
            <w:tcW w:w="1768" w:type="dxa"/>
          </w:tcPr>
          <w:p w:rsidR="00032A3A" w:rsidRPr="008474FE" w:rsidRDefault="00032A3A" w:rsidP="00780294">
            <w:pPr>
              <w:pStyle w:val="a8"/>
              <w:tabs>
                <w:tab w:val="center" w:pos="4844"/>
                <w:tab w:val="right" w:pos="9689"/>
              </w:tabs>
              <w:ind w:left="0"/>
              <w:rPr>
                <w:szCs w:val="24"/>
                <w:lang w:val="ro-RO" w:eastAsia="en-US"/>
              </w:rPr>
            </w:pPr>
          </w:p>
        </w:tc>
        <w:tc>
          <w:tcPr>
            <w:tcW w:w="3722" w:type="dxa"/>
            <w:gridSpan w:val="2"/>
          </w:tcPr>
          <w:p w:rsidR="00032A3A" w:rsidRPr="008474FE" w:rsidRDefault="00032A3A" w:rsidP="00780294">
            <w:pPr>
              <w:pStyle w:val="a8"/>
              <w:tabs>
                <w:tab w:val="center" w:pos="4844"/>
                <w:tab w:val="right" w:pos="9689"/>
              </w:tabs>
              <w:ind w:left="0"/>
              <w:rPr>
                <w:szCs w:val="24"/>
                <w:lang w:val="ro-RO" w:eastAsia="en-US"/>
              </w:rPr>
            </w:pPr>
          </w:p>
        </w:tc>
      </w:tr>
      <w:tr w:rsidR="008474FE" w:rsidRPr="008474FE" w:rsidTr="00780294">
        <w:tc>
          <w:tcPr>
            <w:tcW w:w="1150" w:type="dxa"/>
          </w:tcPr>
          <w:p w:rsidR="00032A3A" w:rsidRPr="008474FE" w:rsidRDefault="00032A3A" w:rsidP="00780294">
            <w:pPr>
              <w:pStyle w:val="a3"/>
              <w:numPr>
                <w:ilvl w:val="0"/>
                <w:numId w:val="2"/>
              </w:numPr>
              <w:tabs>
                <w:tab w:val="left" w:pos="352"/>
              </w:tabs>
              <w:jc w:val="center"/>
              <w:rPr>
                <w:lang w:val="ro-RO"/>
              </w:rPr>
            </w:pPr>
          </w:p>
        </w:tc>
        <w:tc>
          <w:tcPr>
            <w:tcW w:w="1336" w:type="dxa"/>
          </w:tcPr>
          <w:p w:rsidR="00032A3A" w:rsidRPr="008474FE" w:rsidRDefault="00032A3A" w:rsidP="00780294">
            <w:pPr>
              <w:pStyle w:val="a8"/>
              <w:tabs>
                <w:tab w:val="center" w:pos="4844"/>
                <w:tab w:val="right" w:pos="9689"/>
              </w:tabs>
              <w:ind w:left="0"/>
              <w:jc w:val="center"/>
              <w:rPr>
                <w:szCs w:val="24"/>
                <w:lang w:val="ro-RO" w:eastAsia="en-US"/>
              </w:rPr>
            </w:pPr>
          </w:p>
        </w:tc>
        <w:tc>
          <w:tcPr>
            <w:tcW w:w="1789" w:type="dxa"/>
          </w:tcPr>
          <w:p w:rsidR="00032A3A" w:rsidRPr="008474FE" w:rsidRDefault="00032A3A" w:rsidP="00780294">
            <w:pPr>
              <w:pStyle w:val="a3"/>
              <w:jc w:val="both"/>
              <w:rPr>
                <w:lang w:val="ro-RO"/>
              </w:rPr>
            </w:pPr>
            <w:r w:rsidRPr="008474FE">
              <w:rPr>
                <w:lang w:val="ro-RO"/>
              </w:rPr>
              <w:t>Agenţia Naţională pentru Siguranţa Alimentelor</w:t>
            </w:r>
          </w:p>
        </w:tc>
        <w:tc>
          <w:tcPr>
            <w:tcW w:w="5261" w:type="dxa"/>
          </w:tcPr>
          <w:p w:rsidR="00032A3A" w:rsidRPr="008474FE" w:rsidRDefault="00032A3A" w:rsidP="00780294">
            <w:pPr>
              <w:pStyle w:val="a3"/>
              <w:jc w:val="both"/>
              <w:rPr>
                <w:lang w:val="ro-RO"/>
              </w:rPr>
            </w:pPr>
            <w:r w:rsidRPr="008474FE">
              <w:rPr>
                <w:lang w:val="ro-RO"/>
              </w:rPr>
              <w:t>Lipsa de propuneri</w:t>
            </w:r>
          </w:p>
        </w:tc>
        <w:tc>
          <w:tcPr>
            <w:tcW w:w="1768" w:type="dxa"/>
          </w:tcPr>
          <w:p w:rsidR="00032A3A" w:rsidRPr="008474FE" w:rsidRDefault="00032A3A" w:rsidP="00780294">
            <w:pPr>
              <w:pStyle w:val="a8"/>
              <w:tabs>
                <w:tab w:val="center" w:pos="4844"/>
                <w:tab w:val="right" w:pos="9689"/>
              </w:tabs>
              <w:ind w:left="0"/>
              <w:rPr>
                <w:szCs w:val="24"/>
                <w:lang w:val="ro-RO" w:eastAsia="en-US"/>
              </w:rPr>
            </w:pPr>
          </w:p>
        </w:tc>
        <w:tc>
          <w:tcPr>
            <w:tcW w:w="3722" w:type="dxa"/>
            <w:gridSpan w:val="2"/>
          </w:tcPr>
          <w:p w:rsidR="00032A3A" w:rsidRPr="008474FE" w:rsidRDefault="00032A3A" w:rsidP="00780294">
            <w:pPr>
              <w:pStyle w:val="a8"/>
              <w:tabs>
                <w:tab w:val="center" w:pos="4844"/>
                <w:tab w:val="right" w:pos="9689"/>
              </w:tabs>
              <w:ind w:left="0"/>
              <w:rPr>
                <w:szCs w:val="24"/>
                <w:lang w:val="ro-RO" w:eastAsia="en-US"/>
              </w:rPr>
            </w:pPr>
          </w:p>
        </w:tc>
      </w:tr>
      <w:tr w:rsidR="008474FE" w:rsidRPr="008474FE" w:rsidTr="00780294">
        <w:tc>
          <w:tcPr>
            <w:tcW w:w="1150" w:type="dxa"/>
          </w:tcPr>
          <w:p w:rsidR="00032A3A" w:rsidRPr="008474FE" w:rsidRDefault="00032A3A" w:rsidP="00780294">
            <w:pPr>
              <w:pStyle w:val="a3"/>
              <w:numPr>
                <w:ilvl w:val="0"/>
                <w:numId w:val="2"/>
              </w:numPr>
              <w:tabs>
                <w:tab w:val="left" w:pos="352"/>
              </w:tabs>
              <w:jc w:val="center"/>
              <w:rPr>
                <w:lang w:val="ro-RO"/>
              </w:rPr>
            </w:pPr>
          </w:p>
        </w:tc>
        <w:tc>
          <w:tcPr>
            <w:tcW w:w="1336" w:type="dxa"/>
          </w:tcPr>
          <w:p w:rsidR="00032A3A" w:rsidRPr="008474FE" w:rsidRDefault="00032A3A" w:rsidP="00780294">
            <w:pPr>
              <w:pStyle w:val="a8"/>
              <w:tabs>
                <w:tab w:val="center" w:pos="4844"/>
                <w:tab w:val="right" w:pos="9689"/>
              </w:tabs>
              <w:ind w:left="0"/>
              <w:jc w:val="center"/>
              <w:rPr>
                <w:szCs w:val="24"/>
                <w:lang w:val="ro-RO" w:eastAsia="en-US"/>
              </w:rPr>
            </w:pPr>
          </w:p>
        </w:tc>
        <w:tc>
          <w:tcPr>
            <w:tcW w:w="1789" w:type="dxa"/>
          </w:tcPr>
          <w:p w:rsidR="00032A3A" w:rsidRPr="008474FE" w:rsidRDefault="00032A3A" w:rsidP="00780294">
            <w:pPr>
              <w:pStyle w:val="a3"/>
              <w:jc w:val="both"/>
              <w:rPr>
                <w:lang w:val="ro-RO"/>
              </w:rPr>
            </w:pPr>
            <w:r w:rsidRPr="008474FE">
              <w:rPr>
                <w:lang w:val="ro-RO"/>
              </w:rPr>
              <w:t xml:space="preserve">Agenţia Naţională Transport Auto </w:t>
            </w:r>
          </w:p>
        </w:tc>
        <w:tc>
          <w:tcPr>
            <w:tcW w:w="5261" w:type="dxa"/>
          </w:tcPr>
          <w:p w:rsidR="00032A3A" w:rsidRPr="008474FE" w:rsidRDefault="00032A3A" w:rsidP="00780294">
            <w:pPr>
              <w:pStyle w:val="a3"/>
              <w:jc w:val="both"/>
              <w:rPr>
                <w:lang w:val="ro-RO"/>
              </w:rPr>
            </w:pPr>
            <w:r w:rsidRPr="008474FE">
              <w:rPr>
                <w:lang w:val="ro-RO"/>
              </w:rPr>
              <w:t>Lipsa de propuneri</w:t>
            </w:r>
          </w:p>
        </w:tc>
        <w:tc>
          <w:tcPr>
            <w:tcW w:w="1768" w:type="dxa"/>
          </w:tcPr>
          <w:p w:rsidR="00032A3A" w:rsidRPr="008474FE" w:rsidRDefault="00032A3A" w:rsidP="00780294">
            <w:pPr>
              <w:pStyle w:val="a8"/>
              <w:tabs>
                <w:tab w:val="center" w:pos="4844"/>
                <w:tab w:val="right" w:pos="9689"/>
              </w:tabs>
              <w:ind w:left="0"/>
              <w:rPr>
                <w:szCs w:val="24"/>
                <w:lang w:val="ro-RO" w:eastAsia="en-US"/>
              </w:rPr>
            </w:pPr>
          </w:p>
        </w:tc>
        <w:tc>
          <w:tcPr>
            <w:tcW w:w="3722" w:type="dxa"/>
            <w:gridSpan w:val="2"/>
          </w:tcPr>
          <w:p w:rsidR="00032A3A" w:rsidRPr="008474FE" w:rsidRDefault="00032A3A" w:rsidP="00780294">
            <w:pPr>
              <w:pStyle w:val="a8"/>
              <w:tabs>
                <w:tab w:val="center" w:pos="4844"/>
                <w:tab w:val="right" w:pos="9689"/>
              </w:tabs>
              <w:ind w:left="0"/>
              <w:rPr>
                <w:szCs w:val="24"/>
                <w:lang w:val="ro-RO" w:eastAsia="en-US"/>
              </w:rPr>
            </w:pPr>
          </w:p>
        </w:tc>
      </w:tr>
      <w:tr w:rsidR="008474FE" w:rsidRPr="008474FE" w:rsidTr="00780294">
        <w:tc>
          <w:tcPr>
            <w:tcW w:w="1150" w:type="dxa"/>
          </w:tcPr>
          <w:p w:rsidR="00032A3A" w:rsidRPr="008474FE" w:rsidRDefault="00032A3A" w:rsidP="00780294">
            <w:pPr>
              <w:pStyle w:val="a3"/>
              <w:numPr>
                <w:ilvl w:val="0"/>
                <w:numId w:val="2"/>
              </w:numPr>
              <w:tabs>
                <w:tab w:val="left" w:pos="352"/>
              </w:tabs>
              <w:jc w:val="center"/>
              <w:rPr>
                <w:lang w:val="ro-RO"/>
              </w:rPr>
            </w:pPr>
          </w:p>
        </w:tc>
        <w:tc>
          <w:tcPr>
            <w:tcW w:w="1336" w:type="dxa"/>
          </w:tcPr>
          <w:p w:rsidR="00032A3A" w:rsidRPr="008474FE" w:rsidRDefault="00032A3A" w:rsidP="00780294">
            <w:pPr>
              <w:pStyle w:val="a8"/>
              <w:tabs>
                <w:tab w:val="center" w:pos="4844"/>
                <w:tab w:val="right" w:pos="9689"/>
              </w:tabs>
              <w:ind w:left="0"/>
              <w:jc w:val="center"/>
              <w:rPr>
                <w:szCs w:val="24"/>
                <w:lang w:val="ro-RO" w:eastAsia="en-US"/>
              </w:rPr>
            </w:pPr>
          </w:p>
        </w:tc>
        <w:tc>
          <w:tcPr>
            <w:tcW w:w="1789" w:type="dxa"/>
          </w:tcPr>
          <w:p w:rsidR="00032A3A" w:rsidRPr="008474FE" w:rsidRDefault="00032A3A" w:rsidP="00780294">
            <w:pPr>
              <w:pStyle w:val="a3"/>
              <w:jc w:val="both"/>
              <w:rPr>
                <w:lang w:val="ro-RO"/>
              </w:rPr>
            </w:pPr>
            <w:r w:rsidRPr="008474FE">
              <w:rPr>
                <w:lang w:val="ro-RO"/>
              </w:rPr>
              <w:t>Agenţia Naţională de Reglementare a Activităţilor Nucleare şi Radiologice</w:t>
            </w:r>
          </w:p>
        </w:tc>
        <w:tc>
          <w:tcPr>
            <w:tcW w:w="5261" w:type="dxa"/>
          </w:tcPr>
          <w:p w:rsidR="00032A3A" w:rsidRPr="008474FE" w:rsidRDefault="00032A3A" w:rsidP="00780294">
            <w:pPr>
              <w:pStyle w:val="a3"/>
              <w:jc w:val="both"/>
              <w:rPr>
                <w:lang w:val="ro-RO"/>
              </w:rPr>
            </w:pPr>
            <w:r w:rsidRPr="008474FE">
              <w:rPr>
                <w:lang w:val="ro-RO"/>
              </w:rPr>
              <w:t>Lipsa de propuneri</w:t>
            </w:r>
          </w:p>
        </w:tc>
        <w:tc>
          <w:tcPr>
            <w:tcW w:w="1768" w:type="dxa"/>
          </w:tcPr>
          <w:p w:rsidR="00032A3A" w:rsidRPr="008474FE" w:rsidRDefault="00032A3A" w:rsidP="00780294">
            <w:pPr>
              <w:pStyle w:val="a8"/>
              <w:tabs>
                <w:tab w:val="center" w:pos="4844"/>
                <w:tab w:val="right" w:pos="9689"/>
              </w:tabs>
              <w:ind w:left="0"/>
              <w:rPr>
                <w:szCs w:val="24"/>
                <w:lang w:val="ro-RO" w:eastAsia="en-US"/>
              </w:rPr>
            </w:pPr>
          </w:p>
        </w:tc>
        <w:tc>
          <w:tcPr>
            <w:tcW w:w="3722" w:type="dxa"/>
            <w:gridSpan w:val="2"/>
          </w:tcPr>
          <w:p w:rsidR="00032A3A" w:rsidRPr="008474FE" w:rsidRDefault="00032A3A" w:rsidP="00780294">
            <w:pPr>
              <w:pStyle w:val="a8"/>
              <w:tabs>
                <w:tab w:val="center" w:pos="4844"/>
                <w:tab w:val="right" w:pos="9689"/>
              </w:tabs>
              <w:ind w:left="0"/>
              <w:rPr>
                <w:szCs w:val="24"/>
                <w:lang w:val="ro-RO" w:eastAsia="en-US"/>
              </w:rPr>
            </w:pPr>
          </w:p>
        </w:tc>
      </w:tr>
    </w:tbl>
    <w:p w:rsidR="00F029C6" w:rsidRPr="00780294" w:rsidRDefault="00F029C6" w:rsidP="00F029C6">
      <w:pPr>
        <w:jc w:val="center"/>
        <w:rPr>
          <w:lang w:val="ro-RO"/>
        </w:rPr>
      </w:pPr>
    </w:p>
    <w:sectPr w:rsidR="00F029C6" w:rsidRPr="00780294" w:rsidSect="00F029C6">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AA5" w:rsidRDefault="00206AA5" w:rsidP="0045318A">
      <w:r>
        <w:separator/>
      </w:r>
    </w:p>
  </w:endnote>
  <w:endnote w:type="continuationSeparator" w:id="0">
    <w:p w:rsidR="00206AA5" w:rsidRDefault="00206AA5" w:rsidP="0045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022126"/>
      <w:docPartObj>
        <w:docPartGallery w:val="Page Numbers (Bottom of Page)"/>
        <w:docPartUnique/>
      </w:docPartObj>
    </w:sdtPr>
    <w:sdtEndPr/>
    <w:sdtContent>
      <w:p w:rsidR="001969AD" w:rsidRDefault="00E65126">
        <w:pPr>
          <w:pStyle w:val="ab"/>
          <w:jc w:val="right"/>
        </w:pPr>
        <w:r>
          <w:fldChar w:fldCharType="begin"/>
        </w:r>
        <w:r>
          <w:instrText>PAGE   \* MERGEFORMAT</w:instrText>
        </w:r>
        <w:r>
          <w:fldChar w:fldCharType="separate"/>
        </w:r>
        <w:r w:rsidR="008F645B" w:rsidRPr="008F645B">
          <w:rPr>
            <w:noProof/>
            <w:lang w:val="ro-RO"/>
          </w:rPr>
          <w:t>2</w:t>
        </w:r>
        <w:r>
          <w:rPr>
            <w:noProof/>
            <w:lang w:val="ro-RO"/>
          </w:rPr>
          <w:fldChar w:fldCharType="end"/>
        </w:r>
      </w:p>
    </w:sdtContent>
  </w:sdt>
  <w:p w:rsidR="001969AD" w:rsidRDefault="001969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AA5" w:rsidRDefault="00206AA5" w:rsidP="0045318A">
      <w:r>
        <w:separator/>
      </w:r>
    </w:p>
  </w:footnote>
  <w:footnote w:type="continuationSeparator" w:id="0">
    <w:p w:rsidR="00206AA5" w:rsidRDefault="00206AA5" w:rsidP="00453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03192"/>
    <w:multiLevelType w:val="hybridMultilevel"/>
    <w:tmpl w:val="7052862C"/>
    <w:lvl w:ilvl="0" w:tplc="69EC0A9C">
      <w:start w:val="3"/>
      <w:numFmt w:val="decimal"/>
      <w:lvlText w:val="%1."/>
      <w:lvlJc w:val="left"/>
      <w:pPr>
        <w:tabs>
          <w:tab w:val="num" w:pos="800"/>
        </w:tabs>
        <w:ind w:left="800" w:hanging="360"/>
      </w:pPr>
      <w:rPr>
        <w:rFonts w:cs="Times New Roman" w:hint="default"/>
        <w:color w:val="auto"/>
      </w:rPr>
    </w:lvl>
    <w:lvl w:ilvl="1" w:tplc="0419000F">
      <w:start w:val="1"/>
      <w:numFmt w:val="decimal"/>
      <w:lvlText w:val="%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578496C"/>
    <w:multiLevelType w:val="multilevel"/>
    <w:tmpl w:val="8ECA69A4"/>
    <w:lvl w:ilvl="0">
      <w:start w:val="1"/>
      <w:numFmt w:val="lowerLetter"/>
      <w:lvlText w:val="%1)"/>
      <w:lvlJc w:val="left"/>
      <w:pPr>
        <w:tabs>
          <w:tab w:val="num" w:pos="900"/>
        </w:tabs>
        <w:ind w:left="900" w:hanging="360"/>
      </w:pPr>
      <w:rPr>
        <w:sz w:val="28"/>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F9F41ED"/>
    <w:multiLevelType w:val="hybridMultilevel"/>
    <w:tmpl w:val="1D5CA0F2"/>
    <w:lvl w:ilvl="0" w:tplc="040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6E"/>
    <w:rsid w:val="00032A3A"/>
    <w:rsid w:val="00082DDD"/>
    <w:rsid w:val="000A3B95"/>
    <w:rsid w:val="000C5DA4"/>
    <w:rsid w:val="000D5124"/>
    <w:rsid w:val="000E0D76"/>
    <w:rsid w:val="00102089"/>
    <w:rsid w:val="001107F5"/>
    <w:rsid w:val="00111325"/>
    <w:rsid w:val="00115694"/>
    <w:rsid w:val="001969AD"/>
    <w:rsid w:val="00202D03"/>
    <w:rsid w:val="00206AA5"/>
    <w:rsid w:val="002352E6"/>
    <w:rsid w:val="00365AFD"/>
    <w:rsid w:val="0045318A"/>
    <w:rsid w:val="004837F2"/>
    <w:rsid w:val="004E1F39"/>
    <w:rsid w:val="004F0931"/>
    <w:rsid w:val="00581E86"/>
    <w:rsid w:val="005A66BD"/>
    <w:rsid w:val="005B356E"/>
    <w:rsid w:val="005D7ECF"/>
    <w:rsid w:val="005F7B02"/>
    <w:rsid w:val="0062238C"/>
    <w:rsid w:val="006459D1"/>
    <w:rsid w:val="00690B35"/>
    <w:rsid w:val="006B09A4"/>
    <w:rsid w:val="006B28BA"/>
    <w:rsid w:val="007747BD"/>
    <w:rsid w:val="00780294"/>
    <w:rsid w:val="008474FE"/>
    <w:rsid w:val="008C2931"/>
    <w:rsid w:val="008D4384"/>
    <w:rsid w:val="008D7545"/>
    <w:rsid w:val="008F645B"/>
    <w:rsid w:val="009304B2"/>
    <w:rsid w:val="009576DC"/>
    <w:rsid w:val="0096106F"/>
    <w:rsid w:val="009D298A"/>
    <w:rsid w:val="009F0AB1"/>
    <w:rsid w:val="00A3401C"/>
    <w:rsid w:val="00A53C42"/>
    <w:rsid w:val="00AE1847"/>
    <w:rsid w:val="00B217A9"/>
    <w:rsid w:val="00B4368B"/>
    <w:rsid w:val="00BA4390"/>
    <w:rsid w:val="00C66183"/>
    <w:rsid w:val="00C72796"/>
    <w:rsid w:val="00C87E31"/>
    <w:rsid w:val="00CC2145"/>
    <w:rsid w:val="00D438D6"/>
    <w:rsid w:val="00D8396C"/>
    <w:rsid w:val="00DD6D94"/>
    <w:rsid w:val="00E07E9A"/>
    <w:rsid w:val="00E21E02"/>
    <w:rsid w:val="00E65126"/>
    <w:rsid w:val="00E656D3"/>
    <w:rsid w:val="00EA0F8B"/>
    <w:rsid w:val="00EE7962"/>
    <w:rsid w:val="00F029C6"/>
    <w:rsid w:val="00F67636"/>
    <w:rsid w:val="00F773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9C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9C6"/>
    <w:pPr>
      <w:tabs>
        <w:tab w:val="center" w:pos="4844"/>
        <w:tab w:val="right" w:pos="9689"/>
      </w:tabs>
    </w:pPr>
  </w:style>
  <w:style w:type="character" w:customStyle="1" w:styleId="a4">
    <w:name w:val="Верхний колонтитул Знак"/>
    <w:basedOn w:val="a0"/>
    <w:link w:val="a3"/>
    <w:uiPriority w:val="99"/>
    <w:rsid w:val="00F029C6"/>
    <w:rPr>
      <w:rFonts w:ascii="Times New Roman" w:eastAsia="Times New Roman" w:hAnsi="Times New Roman" w:cs="Times New Roman"/>
      <w:sz w:val="24"/>
      <w:szCs w:val="24"/>
      <w:lang w:val="en-US"/>
    </w:rPr>
  </w:style>
  <w:style w:type="paragraph" w:styleId="a5">
    <w:name w:val="Plain Text"/>
    <w:basedOn w:val="a"/>
    <w:link w:val="a6"/>
    <w:uiPriority w:val="99"/>
    <w:rsid w:val="00F029C6"/>
    <w:rPr>
      <w:rFonts w:ascii="Consolas" w:eastAsia="Calibri" w:hAnsi="Consolas"/>
      <w:sz w:val="21"/>
      <w:szCs w:val="21"/>
      <w:lang w:val="ru-RU"/>
    </w:rPr>
  </w:style>
  <w:style w:type="character" w:customStyle="1" w:styleId="a6">
    <w:name w:val="Текст Знак"/>
    <w:basedOn w:val="a0"/>
    <w:link w:val="a5"/>
    <w:uiPriority w:val="99"/>
    <w:rsid w:val="00F029C6"/>
    <w:rPr>
      <w:rFonts w:ascii="Consolas" w:eastAsia="Calibri" w:hAnsi="Consolas" w:cs="Times New Roman"/>
      <w:sz w:val="21"/>
      <w:szCs w:val="21"/>
    </w:rPr>
  </w:style>
  <w:style w:type="character" w:customStyle="1" w:styleId="a7">
    <w:name w:val="Обычный (веб) Знак"/>
    <w:aliases w:val="Знак Знак, Знак Знак"/>
    <w:link w:val="a8"/>
    <w:uiPriority w:val="99"/>
    <w:locked/>
    <w:rsid w:val="00F029C6"/>
    <w:rPr>
      <w:rFonts w:ascii="Times New Roman" w:eastAsia="Times New Roman" w:hAnsi="Times New Roman" w:cs="Times New Roman"/>
      <w:sz w:val="24"/>
      <w:lang w:eastAsia="ru-RU"/>
    </w:rPr>
  </w:style>
  <w:style w:type="paragraph" w:styleId="a8">
    <w:name w:val="Normal (Web)"/>
    <w:aliases w:val="Знак, Знак"/>
    <w:basedOn w:val="a"/>
    <w:link w:val="a7"/>
    <w:uiPriority w:val="99"/>
    <w:unhideWhenUsed/>
    <w:qFormat/>
    <w:rsid w:val="00F029C6"/>
    <w:pPr>
      <w:ind w:left="720"/>
      <w:contextualSpacing/>
    </w:pPr>
    <w:rPr>
      <w:szCs w:val="22"/>
      <w:lang w:val="ru-RU" w:eastAsia="ru-RU"/>
    </w:rPr>
  </w:style>
  <w:style w:type="paragraph" w:customStyle="1" w:styleId="cb">
    <w:name w:val="cb"/>
    <w:basedOn w:val="a"/>
    <w:qFormat/>
    <w:rsid w:val="00F029C6"/>
    <w:pPr>
      <w:jc w:val="center"/>
    </w:pPr>
    <w:rPr>
      <w:rFonts w:eastAsia="Calibri"/>
      <w:b/>
      <w:bCs/>
      <w:lang w:val="ru-RU" w:eastAsia="ru-RU"/>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uiPriority w:val="99"/>
    <w:rsid w:val="00E07E9A"/>
    <w:pPr>
      <w:spacing w:after="160" w:line="240" w:lineRule="exact"/>
    </w:pPr>
    <w:rPr>
      <w:rFonts w:ascii="Arial" w:eastAsia="Batang" w:hAnsi="Arial" w:cs="Arial"/>
      <w:sz w:val="20"/>
      <w:szCs w:val="20"/>
    </w:rPr>
  </w:style>
  <w:style w:type="paragraph" w:styleId="a9">
    <w:name w:val="Title"/>
    <w:basedOn w:val="a"/>
    <w:link w:val="aa"/>
    <w:uiPriority w:val="99"/>
    <w:qFormat/>
    <w:rsid w:val="00E07E9A"/>
    <w:pPr>
      <w:jc w:val="center"/>
    </w:pPr>
    <w:rPr>
      <w:b/>
      <w:lang w:val="ro-RO"/>
    </w:rPr>
  </w:style>
  <w:style w:type="character" w:customStyle="1" w:styleId="aa">
    <w:name w:val="Название Знак"/>
    <w:basedOn w:val="a0"/>
    <w:link w:val="a9"/>
    <w:uiPriority w:val="99"/>
    <w:rsid w:val="00E07E9A"/>
    <w:rPr>
      <w:rFonts w:ascii="Times New Roman" w:eastAsia="Times New Roman" w:hAnsi="Times New Roman" w:cs="Times New Roman"/>
      <w:b/>
      <w:sz w:val="24"/>
      <w:szCs w:val="24"/>
      <w:lang w:val="ro-RO"/>
    </w:rPr>
  </w:style>
  <w:style w:type="paragraph" w:styleId="ab">
    <w:name w:val="footer"/>
    <w:basedOn w:val="a"/>
    <w:link w:val="ac"/>
    <w:uiPriority w:val="99"/>
    <w:unhideWhenUsed/>
    <w:rsid w:val="0045318A"/>
    <w:pPr>
      <w:tabs>
        <w:tab w:val="center" w:pos="4677"/>
        <w:tab w:val="right" w:pos="9355"/>
      </w:tabs>
    </w:pPr>
  </w:style>
  <w:style w:type="character" w:customStyle="1" w:styleId="ac">
    <w:name w:val="Нижний колонтитул Знак"/>
    <w:basedOn w:val="a0"/>
    <w:link w:val="ab"/>
    <w:uiPriority w:val="99"/>
    <w:rsid w:val="0045318A"/>
    <w:rPr>
      <w:rFonts w:ascii="Times New Roman" w:eastAsia="Times New Roman" w:hAnsi="Times New Roman" w:cs="Times New Roman"/>
      <w:sz w:val="24"/>
      <w:szCs w:val="24"/>
      <w:lang w:val="en-US"/>
    </w:rPr>
  </w:style>
  <w:style w:type="paragraph" w:styleId="ad">
    <w:name w:val="Body Text"/>
    <w:basedOn w:val="a"/>
    <w:link w:val="ae"/>
    <w:unhideWhenUsed/>
    <w:rsid w:val="001107F5"/>
    <w:rPr>
      <w:szCs w:val="20"/>
    </w:rPr>
  </w:style>
  <w:style w:type="character" w:customStyle="1" w:styleId="ae">
    <w:name w:val="Основной текст Знак"/>
    <w:basedOn w:val="a0"/>
    <w:link w:val="ad"/>
    <w:rsid w:val="001107F5"/>
    <w:rPr>
      <w:rFonts w:ascii="Times New Roman" w:eastAsia="Times New Roman" w:hAnsi="Times New Roman" w:cs="Times New Roman"/>
      <w:sz w:val="24"/>
      <w:szCs w:val="20"/>
      <w:lang w:val="en-US"/>
    </w:rPr>
  </w:style>
  <w:style w:type="paragraph" w:styleId="af">
    <w:name w:val="Balloon Text"/>
    <w:basedOn w:val="a"/>
    <w:link w:val="af0"/>
    <w:uiPriority w:val="99"/>
    <w:semiHidden/>
    <w:unhideWhenUsed/>
    <w:rsid w:val="008474FE"/>
    <w:rPr>
      <w:rFonts w:ascii="Tahoma" w:hAnsi="Tahoma" w:cs="Tahoma"/>
      <w:sz w:val="16"/>
      <w:szCs w:val="16"/>
    </w:rPr>
  </w:style>
  <w:style w:type="character" w:customStyle="1" w:styleId="af0">
    <w:name w:val="Текст выноски Знак"/>
    <w:basedOn w:val="a0"/>
    <w:link w:val="af"/>
    <w:uiPriority w:val="99"/>
    <w:semiHidden/>
    <w:rsid w:val="008474F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9C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9C6"/>
    <w:pPr>
      <w:tabs>
        <w:tab w:val="center" w:pos="4844"/>
        <w:tab w:val="right" w:pos="9689"/>
      </w:tabs>
    </w:pPr>
  </w:style>
  <w:style w:type="character" w:customStyle="1" w:styleId="a4">
    <w:name w:val="Верхний колонтитул Знак"/>
    <w:basedOn w:val="a0"/>
    <w:link w:val="a3"/>
    <w:uiPriority w:val="99"/>
    <w:rsid w:val="00F029C6"/>
    <w:rPr>
      <w:rFonts w:ascii="Times New Roman" w:eastAsia="Times New Roman" w:hAnsi="Times New Roman" w:cs="Times New Roman"/>
      <w:sz w:val="24"/>
      <w:szCs w:val="24"/>
      <w:lang w:val="en-US"/>
    </w:rPr>
  </w:style>
  <w:style w:type="paragraph" w:styleId="a5">
    <w:name w:val="Plain Text"/>
    <w:basedOn w:val="a"/>
    <w:link w:val="a6"/>
    <w:uiPriority w:val="99"/>
    <w:rsid w:val="00F029C6"/>
    <w:rPr>
      <w:rFonts w:ascii="Consolas" w:eastAsia="Calibri" w:hAnsi="Consolas"/>
      <w:sz w:val="21"/>
      <w:szCs w:val="21"/>
      <w:lang w:val="ru-RU"/>
    </w:rPr>
  </w:style>
  <w:style w:type="character" w:customStyle="1" w:styleId="a6">
    <w:name w:val="Текст Знак"/>
    <w:basedOn w:val="a0"/>
    <w:link w:val="a5"/>
    <w:uiPriority w:val="99"/>
    <w:rsid w:val="00F029C6"/>
    <w:rPr>
      <w:rFonts w:ascii="Consolas" w:eastAsia="Calibri" w:hAnsi="Consolas" w:cs="Times New Roman"/>
      <w:sz w:val="21"/>
      <w:szCs w:val="21"/>
    </w:rPr>
  </w:style>
  <w:style w:type="character" w:customStyle="1" w:styleId="a7">
    <w:name w:val="Обычный (веб) Знак"/>
    <w:aliases w:val="Знак Знак, Знак Знак"/>
    <w:link w:val="a8"/>
    <w:uiPriority w:val="99"/>
    <w:locked/>
    <w:rsid w:val="00F029C6"/>
    <w:rPr>
      <w:rFonts w:ascii="Times New Roman" w:eastAsia="Times New Roman" w:hAnsi="Times New Roman" w:cs="Times New Roman"/>
      <w:sz w:val="24"/>
      <w:lang w:eastAsia="ru-RU"/>
    </w:rPr>
  </w:style>
  <w:style w:type="paragraph" w:styleId="a8">
    <w:name w:val="Normal (Web)"/>
    <w:aliases w:val="Знак, Знак"/>
    <w:basedOn w:val="a"/>
    <w:link w:val="a7"/>
    <w:uiPriority w:val="99"/>
    <w:unhideWhenUsed/>
    <w:qFormat/>
    <w:rsid w:val="00F029C6"/>
    <w:pPr>
      <w:ind w:left="720"/>
      <w:contextualSpacing/>
    </w:pPr>
    <w:rPr>
      <w:szCs w:val="22"/>
      <w:lang w:val="ru-RU" w:eastAsia="ru-RU"/>
    </w:rPr>
  </w:style>
  <w:style w:type="paragraph" w:customStyle="1" w:styleId="cb">
    <w:name w:val="cb"/>
    <w:basedOn w:val="a"/>
    <w:qFormat/>
    <w:rsid w:val="00F029C6"/>
    <w:pPr>
      <w:jc w:val="center"/>
    </w:pPr>
    <w:rPr>
      <w:rFonts w:eastAsia="Calibri"/>
      <w:b/>
      <w:bCs/>
      <w:lang w:val="ru-RU" w:eastAsia="ru-RU"/>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uiPriority w:val="99"/>
    <w:rsid w:val="00E07E9A"/>
    <w:pPr>
      <w:spacing w:after="160" w:line="240" w:lineRule="exact"/>
    </w:pPr>
    <w:rPr>
      <w:rFonts w:ascii="Arial" w:eastAsia="Batang" w:hAnsi="Arial" w:cs="Arial"/>
      <w:sz w:val="20"/>
      <w:szCs w:val="20"/>
    </w:rPr>
  </w:style>
  <w:style w:type="paragraph" w:styleId="a9">
    <w:name w:val="Title"/>
    <w:basedOn w:val="a"/>
    <w:link w:val="aa"/>
    <w:uiPriority w:val="99"/>
    <w:qFormat/>
    <w:rsid w:val="00E07E9A"/>
    <w:pPr>
      <w:jc w:val="center"/>
    </w:pPr>
    <w:rPr>
      <w:b/>
      <w:lang w:val="ro-RO"/>
    </w:rPr>
  </w:style>
  <w:style w:type="character" w:customStyle="1" w:styleId="aa">
    <w:name w:val="Название Знак"/>
    <w:basedOn w:val="a0"/>
    <w:link w:val="a9"/>
    <w:uiPriority w:val="99"/>
    <w:rsid w:val="00E07E9A"/>
    <w:rPr>
      <w:rFonts w:ascii="Times New Roman" w:eastAsia="Times New Roman" w:hAnsi="Times New Roman" w:cs="Times New Roman"/>
      <w:b/>
      <w:sz w:val="24"/>
      <w:szCs w:val="24"/>
      <w:lang w:val="ro-RO"/>
    </w:rPr>
  </w:style>
  <w:style w:type="paragraph" w:styleId="ab">
    <w:name w:val="footer"/>
    <w:basedOn w:val="a"/>
    <w:link w:val="ac"/>
    <w:uiPriority w:val="99"/>
    <w:unhideWhenUsed/>
    <w:rsid w:val="0045318A"/>
    <w:pPr>
      <w:tabs>
        <w:tab w:val="center" w:pos="4677"/>
        <w:tab w:val="right" w:pos="9355"/>
      </w:tabs>
    </w:pPr>
  </w:style>
  <w:style w:type="character" w:customStyle="1" w:styleId="ac">
    <w:name w:val="Нижний колонтитул Знак"/>
    <w:basedOn w:val="a0"/>
    <w:link w:val="ab"/>
    <w:uiPriority w:val="99"/>
    <w:rsid w:val="0045318A"/>
    <w:rPr>
      <w:rFonts w:ascii="Times New Roman" w:eastAsia="Times New Roman" w:hAnsi="Times New Roman" w:cs="Times New Roman"/>
      <w:sz w:val="24"/>
      <w:szCs w:val="24"/>
      <w:lang w:val="en-US"/>
    </w:rPr>
  </w:style>
  <w:style w:type="paragraph" w:styleId="ad">
    <w:name w:val="Body Text"/>
    <w:basedOn w:val="a"/>
    <w:link w:val="ae"/>
    <w:unhideWhenUsed/>
    <w:rsid w:val="001107F5"/>
    <w:rPr>
      <w:szCs w:val="20"/>
    </w:rPr>
  </w:style>
  <w:style w:type="character" w:customStyle="1" w:styleId="ae">
    <w:name w:val="Основной текст Знак"/>
    <w:basedOn w:val="a0"/>
    <w:link w:val="ad"/>
    <w:rsid w:val="001107F5"/>
    <w:rPr>
      <w:rFonts w:ascii="Times New Roman" w:eastAsia="Times New Roman" w:hAnsi="Times New Roman" w:cs="Times New Roman"/>
      <w:sz w:val="24"/>
      <w:szCs w:val="20"/>
      <w:lang w:val="en-US"/>
    </w:rPr>
  </w:style>
  <w:style w:type="paragraph" w:styleId="af">
    <w:name w:val="Balloon Text"/>
    <w:basedOn w:val="a"/>
    <w:link w:val="af0"/>
    <w:uiPriority w:val="99"/>
    <w:semiHidden/>
    <w:unhideWhenUsed/>
    <w:rsid w:val="008474FE"/>
    <w:rPr>
      <w:rFonts w:ascii="Tahoma" w:hAnsi="Tahoma" w:cs="Tahoma"/>
      <w:sz w:val="16"/>
      <w:szCs w:val="16"/>
    </w:rPr>
  </w:style>
  <w:style w:type="character" w:customStyle="1" w:styleId="af0">
    <w:name w:val="Текст выноски Знак"/>
    <w:basedOn w:val="a0"/>
    <w:link w:val="af"/>
    <w:uiPriority w:val="99"/>
    <w:semiHidden/>
    <w:rsid w:val="008474F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08816">
      <w:bodyDiv w:val="1"/>
      <w:marLeft w:val="0"/>
      <w:marRight w:val="0"/>
      <w:marTop w:val="0"/>
      <w:marBottom w:val="0"/>
      <w:divBdr>
        <w:top w:val="none" w:sz="0" w:space="0" w:color="auto"/>
        <w:left w:val="none" w:sz="0" w:space="0" w:color="auto"/>
        <w:bottom w:val="none" w:sz="0" w:space="0" w:color="auto"/>
        <w:right w:val="none" w:sz="0" w:space="0" w:color="auto"/>
      </w:divBdr>
    </w:div>
    <w:div w:id="153642327">
      <w:bodyDiv w:val="1"/>
      <w:marLeft w:val="0"/>
      <w:marRight w:val="0"/>
      <w:marTop w:val="0"/>
      <w:marBottom w:val="0"/>
      <w:divBdr>
        <w:top w:val="none" w:sz="0" w:space="0" w:color="auto"/>
        <w:left w:val="none" w:sz="0" w:space="0" w:color="auto"/>
        <w:bottom w:val="none" w:sz="0" w:space="0" w:color="auto"/>
        <w:right w:val="none" w:sz="0" w:space="0" w:color="auto"/>
      </w:divBdr>
    </w:div>
    <w:div w:id="206184993">
      <w:bodyDiv w:val="1"/>
      <w:marLeft w:val="0"/>
      <w:marRight w:val="0"/>
      <w:marTop w:val="0"/>
      <w:marBottom w:val="0"/>
      <w:divBdr>
        <w:top w:val="none" w:sz="0" w:space="0" w:color="auto"/>
        <w:left w:val="none" w:sz="0" w:space="0" w:color="auto"/>
        <w:bottom w:val="none" w:sz="0" w:space="0" w:color="auto"/>
        <w:right w:val="none" w:sz="0" w:space="0" w:color="auto"/>
      </w:divBdr>
    </w:div>
    <w:div w:id="224028755">
      <w:bodyDiv w:val="1"/>
      <w:marLeft w:val="0"/>
      <w:marRight w:val="0"/>
      <w:marTop w:val="0"/>
      <w:marBottom w:val="0"/>
      <w:divBdr>
        <w:top w:val="none" w:sz="0" w:space="0" w:color="auto"/>
        <w:left w:val="none" w:sz="0" w:space="0" w:color="auto"/>
        <w:bottom w:val="none" w:sz="0" w:space="0" w:color="auto"/>
        <w:right w:val="none" w:sz="0" w:space="0" w:color="auto"/>
      </w:divBdr>
    </w:div>
    <w:div w:id="384960235">
      <w:bodyDiv w:val="1"/>
      <w:marLeft w:val="0"/>
      <w:marRight w:val="0"/>
      <w:marTop w:val="0"/>
      <w:marBottom w:val="0"/>
      <w:divBdr>
        <w:top w:val="none" w:sz="0" w:space="0" w:color="auto"/>
        <w:left w:val="none" w:sz="0" w:space="0" w:color="auto"/>
        <w:bottom w:val="none" w:sz="0" w:space="0" w:color="auto"/>
        <w:right w:val="none" w:sz="0" w:space="0" w:color="auto"/>
      </w:divBdr>
    </w:div>
    <w:div w:id="413940688">
      <w:bodyDiv w:val="1"/>
      <w:marLeft w:val="0"/>
      <w:marRight w:val="0"/>
      <w:marTop w:val="0"/>
      <w:marBottom w:val="0"/>
      <w:divBdr>
        <w:top w:val="none" w:sz="0" w:space="0" w:color="auto"/>
        <w:left w:val="none" w:sz="0" w:space="0" w:color="auto"/>
        <w:bottom w:val="none" w:sz="0" w:space="0" w:color="auto"/>
        <w:right w:val="none" w:sz="0" w:space="0" w:color="auto"/>
      </w:divBdr>
    </w:div>
    <w:div w:id="452479168">
      <w:bodyDiv w:val="1"/>
      <w:marLeft w:val="0"/>
      <w:marRight w:val="0"/>
      <w:marTop w:val="0"/>
      <w:marBottom w:val="0"/>
      <w:divBdr>
        <w:top w:val="none" w:sz="0" w:space="0" w:color="auto"/>
        <w:left w:val="none" w:sz="0" w:space="0" w:color="auto"/>
        <w:bottom w:val="none" w:sz="0" w:space="0" w:color="auto"/>
        <w:right w:val="none" w:sz="0" w:space="0" w:color="auto"/>
      </w:divBdr>
    </w:div>
    <w:div w:id="600572972">
      <w:bodyDiv w:val="1"/>
      <w:marLeft w:val="0"/>
      <w:marRight w:val="0"/>
      <w:marTop w:val="0"/>
      <w:marBottom w:val="0"/>
      <w:divBdr>
        <w:top w:val="none" w:sz="0" w:space="0" w:color="auto"/>
        <w:left w:val="none" w:sz="0" w:space="0" w:color="auto"/>
        <w:bottom w:val="none" w:sz="0" w:space="0" w:color="auto"/>
        <w:right w:val="none" w:sz="0" w:space="0" w:color="auto"/>
      </w:divBdr>
    </w:div>
    <w:div w:id="705914744">
      <w:bodyDiv w:val="1"/>
      <w:marLeft w:val="0"/>
      <w:marRight w:val="0"/>
      <w:marTop w:val="0"/>
      <w:marBottom w:val="0"/>
      <w:divBdr>
        <w:top w:val="none" w:sz="0" w:space="0" w:color="auto"/>
        <w:left w:val="none" w:sz="0" w:space="0" w:color="auto"/>
        <w:bottom w:val="none" w:sz="0" w:space="0" w:color="auto"/>
        <w:right w:val="none" w:sz="0" w:space="0" w:color="auto"/>
      </w:divBdr>
    </w:div>
    <w:div w:id="717702368">
      <w:bodyDiv w:val="1"/>
      <w:marLeft w:val="0"/>
      <w:marRight w:val="0"/>
      <w:marTop w:val="0"/>
      <w:marBottom w:val="0"/>
      <w:divBdr>
        <w:top w:val="none" w:sz="0" w:space="0" w:color="auto"/>
        <w:left w:val="none" w:sz="0" w:space="0" w:color="auto"/>
        <w:bottom w:val="none" w:sz="0" w:space="0" w:color="auto"/>
        <w:right w:val="none" w:sz="0" w:space="0" w:color="auto"/>
      </w:divBdr>
    </w:div>
    <w:div w:id="783039250">
      <w:bodyDiv w:val="1"/>
      <w:marLeft w:val="0"/>
      <w:marRight w:val="0"/>
      <w:marTop w:val="0"/>
      <w:marBottom w:val="0"/>
      <w:divBdr>
        <w:top w:val="none" w:sz="0" w:space="0" w:color="auto"/>
        <w:left w:val="none" w:sz="0" w:space="0" w:color="auto"/>
        <w:bottom w:val="none" w:sz="0" w:space="0" w:color="auto"/>
        <w:right w:val="none" w:sz="0" w:space="0" w:color="auto"/>
      </w:divBdr>
    </w:div>
    <w:div w:id="854001933">
      <w:bodyDiv w:val="1"/>
      <w:marLeft w:val="0"/>
      <w:marRight w:val="0"/>
      <w:marTop w:val="0"/>
      <w:marBottom w:val="0"/>
      <w:divBdr>
        <w:top w:val="none" w:sz="0" w:space="0" w:color="auto"/>
        <w:left w:val="none" w:sz="0" w:space="0" w:color="auto"/>
        <w:bottom w:val="none" w:sz="0" w:space="0" w:color="auto"/>
        <w:right w:val="none" w:sz="0" w:space="0" w:color="auto"/>
      </w:divBdr>
    </w:div>
    <w:div w:id="1019239868">
      <w:bodyDiv w:val="1"/>
      <w:marLeft w:val="0"/>
      <w:marRight w:val="0"/>
      <w:marTop w:val="0"/>
      <w:marBottom w:val="0"/>
      <w:divBdr>
        <w:top w:val="none" w:sz="0" w:space="0" w:color="auto"/>
        <w:left w:val="none" w:sz="0" w:space="0" w:color="auto"/>
        <w:bottom w:val="none" w:sz="0" w:space="0" w:color="auto"/>
        <w:right w:val="none" w:sz="0" w:space="0" w:color="auto"/>
      </w:divBdr>
    </w:div>
    <w:div w:id="1260289588">
      <w:bodyDiv w:val="1"/>
      <w:marLeft w:val="0"/>
      <w:marRight w:val="0"/>
      <w:marTop w:val="0"/>
      <w:marBottom w:val="0"/>
      <w:divBdr>
        <w:top w:val="none" w:sz="0" w:space="0" w:color="auto"/>
        <w:left w:val="none" w:sz="0" w:space="0" w:color="auto"/>
        <w:bottom w:val="none" w:sz="0" w:space="0" w:color="auto"/>
        <w:right w:val="none" w:sz="0" w:space="0" w:color="auto"/>
      </w:divBdr>
    </w:div>
    <w:div w:id="1421366901">
      <w:bodyDiv w:val="1"/>
      <w:marLeft w:val="0"/>
      <w:marRight w:val="0"/>
      <w:marTop w:val="0"/>
      <w:marBottom w:val="0"/>
      <w:divBdr>
        <w:top w:val="none" w:sz="0" w:space="0" w:color="auto"/>
        <w:left w:val="none" w:sz="0" w:space="0" w:color="auto"/>
        <w:bottom w:val="none" w:sz="0" w:space="0" w:color="auto"/>
        <w:right w:val="none" w:sz="0" w:space="0" w:color="auto"/>
      </w:divBdr>
    </w:div>
    <w:div w:id="1671717152">
      <w:bodyDiv w:val="1"/>
      <w:marLeft w:val="0"/>
      <w:marRight w:val="0"/>
      <w:marTop w:val="0"/>
      <w:marBottom w:val="0"/>
      <w:divBdr>
        <w:top w:val="none" w:sz="0" w:space="0" w:color="auto"/>
        <w:left w:val="none" w:sz="0" w:space="0" w:color="auto"/>
        <w:bottom w:val="none" w:sz="0" w:space="0" w:color="auto"/>
        <w:right w:val="none" w:sz="0" w:space="0" w:color="auto"/>
      </w:divBdr>
    </w:div>
    <w:div w:id="1841658315">
      <w:bodyDiv w:val="1"/>
      <w:marLeft w:val="0"/>
      <w:marRight w:val="0"/>
      <w:marTop w:val="0"/>
      <w:marBottom w:val="0"/>
      <w:divBdr>
        <w:top w:val="none" w:sz="0" w:space="0" w:color="auto"/>
        <w:left w:val="none" w:sz="0" w:space="0" w:color="auto"/>
        <w:bottom w:val="none" w:sz="0" w:space="0" w:color="auto"/>
        <w:right w:val="none" w:sz="0" w:space="0" w:color="auto"/>
      </w:divBdr>
    </w:div>
    <w:div w:id="1906453467">
      <w:bodyDiv w:val="1"/>
      <w:marLeft w:val="0"/>
      <w:marRight w:val="0"/>
      <w:marTop w:val="0"/>
      <w:marBottom w:val="0"/>
      <w:divBdr>
        <w:top w:val="none" w:sz="0" w:space="0" w:color="auto"/>
        <w:left w:val="none" w:sz="0" w:space="0" w:color="auto"/>
        <w:bottom w:val="none" w:sz="0" w:space="0" w:color="auto"/>
        <w:right w:val="none" w:sz="0" w:space="0" w:color="auto"/>
      </w:divBdr>
    </w:div>
    <w:div w:id="1916938356">
      <w:bodyDiv w:val="1"/>
      <w:marLeft w:val="0"/>
      <w:marRight w:val="0"/>
      <w:marTop w:val="0"/>
      <w:marBottom w:val="0"/>
      <w:divBdr>
        <w:top w:val="none" w:sz="0" w:space="0" w:color="auto"/>
        <w:left w:val="none" w:sz="0" w:space="0" w:color="auto"/>
        <w:bottom w:val="none" w:sz="0" w:space="0" w:color="auto"/>
        <w:right w:val="none" w:sz="0" w:space="0" w:color="auto"/>
      </w:divBdr>
    </w:div>
    <w:div w:id="1929345863">
      <w:bodyDiv w:val="1"/>
      <w:marLeft w:val="0"/>
      <w:marRight w:val="0"/>
      <w:marTop w:val="0"/>
      <w:marBottom w:val="0"/>
      <w:divBdr>
        <w:top w:val="none" w:sz="0" w:space="0" w:color="auto"/>
        <w:left w:val="none" w:sz="0" w:space="0" w:color="auto"/>
        <w:bottom w:val="none" w:sz="0" w:space="0" w:color="auto"/>
        <w:right w:val="none" w:sz="0" w:space="0" w:color="auto"/>
      </w:divBdr>
    </w:div>
    <w:div w:id="1931965244">
      <w:bodyDiv w:val="1"/>
      <w:marLeft w:val="0"/>
      <w:marRight w:val="0"/>
      <w:marTop w:val="0"/>
      <w:marBottom w:val="0"/>
      <w:divBdr>
        <w:top w:val="none" w:sz="0" w:space="0" w:color="auto"/>
        <w:left w:val="none" w:sz="0" w:space="0" w:color="auto"/>
        <w:bottom w:val="none" w:sz="0" w:space="0" w:color="auto"/>
        <w:right w:val="none" w:sz="0" w:space="0" w:color="auto"/>
      </w:divBdr>
    </w:div>
    <w:div w:id="21086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17</Pages>
  <Words>4205</Words>
  <Characters>23971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Anatolie Silitrari</dc:creator>
  <cp:keywords/>
  <dc:description/>
  <cp:lastModifiedBy>Anatolie Silitrari</cp:lastModifiedBy>
  <cp:revision>10</cp:revision>
  <cp:lastPrinted>2014-05-26T06:16:00Z</cp:lastPrinted>
  <dcterms:created xsi:type="dcterms:W3CDTF">2014-03-17T07:06:00Z</dcterms:created>
  <dcterms:modified xsi:type="dcterms:W3CDTF">2014-05-26T07:11:00Z</dcterms:modified>
</cp:coreProperties>
</file>