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5F3" w:rsidRDefault="00B775F3" w:rsidP="00B775F3">
      <w:pPr>
        <w:pStyle w:val="a3"/>
        <w:ind w:left="851" w:right="851"/>
        <w:rPr>
          <w:sz w:val="26"/>
          <w:szCs w:val="26"/>
          <w:lang w:val="ro-MO"/>
        </w:rPr>
      </w:pPr>
      <w:r w:rsidRPr="00DB542F">
        <w:rPr>
          <w:sz w:val="26"/>
          <w:szCs w:val="26"/>
          <w:lang w:val="ro-MO"/>
        </w:rPr>
        <w:t>S</w:t>
      </w:r>
      <w:r>
        <w:rPr>
          <w:sz w:val="26"/>
          <w:szCs w:val="26"/>
          <w:lang w:val="ro-MO"/>
        </w:rPr>
        <w:t>inteza propunerilor pe marginea</w:t>
      </w:r>
      <w:bookmarkStart w:id="0" w:name="_GoBack"/>
      <w:bookmarkEnd w:id="0"/>
    </w:p>
    <w:p w:rsidR="00B775F3" w:rsidRDefault="00B775F3" w:rsidP="00B775F3">
      <w:pPr>
        <w:pStyle w:val="a3"/>
        <w:ind w:left="851" w:right="851"/>
        <w:rPr>
          <w:sz w:val="26"/>
          <w:szCs w:val="26"/>
          <w:lang w:val="ro-MO"/>
        </w:rPr>
      </w:pPr>
      <w:r w:rsidRPr="00DB542F">
        <w:rPr>
          <w:sz w:val="26"/>
          <w:szCs w:val="26"/>
          <w:lang w:val="ro-MO"/>
        </w:rPr>
        <w:t xml:space="preserve">proiectului </w:t>
      </w:r>
      <w:proofErr w:type="spellStart"/>
      <w:r w:rsidRPr="00DB542F">
        <w:rPr>
          <w:sz w:val="26"/>
          <w:szCs w:val="26"/>
          <w:lang w:val="ro-MO"/>
        </w:rPr>
        <w:t>Hotărîri</w:t>
      </w:r>
      <w:r>
        <w:rPr>
          <w:sz w:val="26"/>
          <w:szCs w:val="26"/>
          <w:lang w:val="ro-MO"/>
        </w:rPr>
        <w:t>i</w:t>
      </w:r>
      <w:proofErr w:type="spellEnd"/>
      <w:r>
        <w:rPr>
          <w:sz w:val="26"/>
          <w:szCs w:val="26"/>
          <w:lang w:val="ro-MO"/>
        </w:rPr>
        <w:t xml:space="preserve"> Guvernului pentru modificarea</w:t>
      </w:r>
    </w:p>
    <w:p w:rsidR="00B775F3" w:rsidRPr="00DB542F" w:rsidRDefault="00B775F3" w:rsidP="00B775F3">
      <w:pPr>
        <w:pStyle w:val="a3"/>
        <w:ind w:left="851" w:right="851"/>
        <w:rPr>
          <w:sz w:val="26"/>
          <w:szCs w:val="26"/>
          <w:lang w:val="ro-MO"/>
        </w:rPr>
      </w:pPr>
      <w:r w:rsidRPr="00DB542F">
        <w:rPr>
          <w:sz w:val="26"/>
          <w:szCs w:val="26"/>
          <w:lang w:val="ro-MO"/>
        </w:rPr>
        <w:t xml:space="preserve">şi completarea unor </w:t>
      </w:r>
      <w:proofErr w:type="spellStart"/>
      <w:r w:rsidRPr="00DB542F">
        <w:rPr>
          <w:sz w:val="26"/>
          <w:szCs w:val="26"/>
          <w:lang w:val="ro-MO"/>
        </w:rPr>
        <w:t>Hotărîri</w:t>
      </w:r>
      <w:proofErr w:type="spellEnd"/>
      <w:r w:rsidRPr="00DB542F">
        <w:rPr>
          <w:sz w:val="26"/>
          <w:szCs w:val="26"/>
          <w:lang w:val="ro-MO"/>
        </w:rPr>
        <w:t xml:space="preserve"> ale Guvernului</w:t>
      </w:r>
    </w:p>
    <w:p w:rsidR="00B775F3" w:rsidRPr="00DB542F" w:rsidRDefault="00B775F3" w:rsidP="00B775F3">
      <w:pPr>
        <w:pStyle w:val="a3"/>
        <w:tabs>
          <w:tab w:val="left" w:pos="15660"/>
        </w:tabs>
        <w:ind w:right="226"/>
        <w:rPr>
          <w:sz w:val="26"/>
          <w:szCs w:val="26"/>
          <w:lang w:val="ro-MO"/>
        </w:rPr>
      </w:pPr>
    </w:p>
    <w:tbl>
      <w:tblPr>
        <w:tblW w:w="143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2039"/>
        <w:gridCol w:w="5619"/>
        <w:gridCol w:w="6092"/>
      </w:tblGrid>
      <w:tr w:rsidR="00B775F3" w:rsidRPr="00DB542F" w:rsidTr="00576867">
        <w:tblPrEx>
          <w:tblCellMar>
            <w:top w:w="0" w:type="dxa"/>
            <w:bottom w:w="0" w:type="dxa"/>
          </w:tblCellMar>
        </w:tblPrEx>
        <w:trPr>
          <w:trHeight w:val="281"/>
          <w:tblHeader/>
        </w:trPr>
        <w:tc>
          <w:tcPr>
            <w:tcW w:w="633" w:type="dxa"/>
            <w:tcBorders>
              <w:top w:val="single" w:sz="4" w:space="0" w:color="auto"/>
              <w:left w:val="single" w:sz="4" w:space="0" w:color="auto"/>
              <w:bottom w:val="nil"/>
              <w:right w:val="single" w:sz="4" w:space="0" w:color="auto"/>
            </w:tcBorders>
          </w:tcPr>
          <w:p w:rsidR="00B775F3" w:rsidRPr="00DB542F" w:rsidRDefault="00B775F3" w:rsidP="00576867">
            <w:pPr>
              <w:tabs>
                <w:tab w:val="left" w:pos="1843"/>
              </w:tabs>
              <w:jc w:val="right"/>
              <w:rPr>
                <w:b/>
                <w:sz w:val="26"/>
                <w:szCs w:val="26"/>
                <w:lang w:val="ro-MO"/>
              </w:rPr>
            </w:pPr>
            <w:r w:rsidRPr="00DB542F">
              <w:rPr>
                <w:b/>
                <w:sz w:val="26"/>
                <w:szCs w:val="26"/>
                <w:lang w:val="ro-MO"/>
              </w:rPr>
              <w:t>N/o</w:t>
            </w:r>
          </w:p>
        </w:tc>
        <w:tc>
          <w:tcPr>
            <w:tcW w:w="2039" w:type="dxa"/>
            <w:tcBorders>
              <w:top w:val="single" w:sz="4" w:space="0" w:color="auto"/>
              <w:left w:val="single" w:sz="4" w:space="0" w:color="auto"/>
              <w:bottom w:val="nil"/>
              <w:right w:val="single" w:sz="4" w:space="0" w:color="auto"/>
            </w:tcBorders>
          </w:tcPr>
          <w:p w:rsidR="00B775F3" w:rsidRPr="00DB542F" w:rsidRDefault="00B775F3" w:rsidP="00576867">
            <w:pPr>
              <w:tabs>
                <w:tab w:val="left" w:pos="1843"/>
              </w:tabs>
              <w:jc w:val="center"/>
              <w:rPr>
                <w:b/>
                <w:sz w:val="26"/>
                <w:szCs w:val="26"/>
                <w:lang w:val="ro-MO"/>
              </w:rPr>
            </w:pPr>
            <w:r w:rsidRPr="00DB542F">
              <w:rPr>
                <w:b/>
                <w:sz w:val="26"/>
                <w:szCs w:val="26"/>
                <w:lang w:val="ro-MO"/>
              </w:rPr>
              <w:t>Punctul</w:t>
            </w:r>
          </w:p>
        </w:tc>
        <w:tc>
          <w:tcPr>
            <w:tcW w:w="5619" w:type="dxa"/>
            <w:tcBorders>
              <w:top w:val="single" w:sz="4" w:space="0" w:color="auto"/>
              <w:left w:val="single" w:sz="4" w:space="0" w:color="auto"/>
              <w:bottom w:val="nil"/>
              <w:right w:val="single" w:sz="4" w:space="0" w:color="auto"/>
            </w:tcBorders>
          </w:tcPr>
          <w:p w:rsidR="00B775F3" w:rsidRPr="00DB542F" w:rsidRDefault="00B775F3" w:rsidP="00576867">
            <w:pPr>
              <w:jc w:val="center"/>
              <w:rPr>
                <w:b/>
                <w:sz w:val="26"/>
                <w:szCs w:val="26"/>
                <w:lang w:val="ro-MO"/>
              </w:rPr>
            </w:pPr>
            <w:r w:rsidRPr="00DB542F">
              <w:rPr>
                <w:b/>
                <w:sz w:val="26"/>
                <w:szCs w:val="26"/>
                <w:lang w:val="ro-MO"/>
              </w:rPr>
              <w:t>Obiecţiile</w:t>
            </w:r>
          </w:p>
        </w:tc>
        <w:tc>
          <w:tcPr>
            <w:tcW w:w="6092" w:type="dxa"/>
            <w:tcBorders>
              <w:top w:val="single" w:sz="4" w:space="0" w:color="auto"/>
              <w:left w:val="single" w:sz="4" w:space="0" w:color="auto"/>
              <w:bottom w:val="nil"/>
              <w:right w:val="single" w:sz="4" w:space="0" w:color="auto"/>
            </w:tcBorders>
          </w:tcPr>
          <w:p w:rsidR="00B775F3" w:rsidRPr="00DB542F" w:rsidRDefault="00B775F3" w:rsidP="00576867">
            <w:pPr>
              <w:jc w:val="center"/>
              <w:rPr>
                <w:b/>
                <w:sz w:val="26"/>
                <w:szCs w:val="26"/>
                <w:lang w:val="ro-MO"/>
              </w:rPr>
            </w:pPr>
            <w:r w:rsidRPr="00DB542F">
              <w:rPr>
                <w:b/>
                <w:sz w:val="26"/>
                <w:szCs w:val="26"/>
                <w:lang w:val="ro-MO"/>
              </w:rPr>
              <w:t>Nota</w:t>
            </w:r>
          </w:p>
        </w:tc>
      </w:tr>
      <w:tr w:rsidR="00B775F3" w:rsidRPr="00DB542F" w:rsidTr="00576867">
        <w:tblPrEx>
          <w:tblCellMar>
            <w:top w:w="0" w:type="dxa"/>
            <w:bottom w:w="0" w:type="dxa"/>
          </w:tblCellMar>
        </w:tblPrEx>
        <w:trPr>
          <w:trHeight w:val="281"/>
          <w:tblHeader/>
        </w:trPr>
        <w:tc>
          <w:tcPr>
            <w:tcW w:w="633" w:type="dxa"/>
            <w:tcBorders>
              <w:top w:val="single" w:sz="4" w:space="0" w:color="auto"/>
              <w:left w:val="single" w:sz="4" w:space="0" w:color="auto"/>
              <w:bottom w:val="nil"/>
              <w:right w:val="single" w:sz="4" w:space="0" w:color="auto"/>
            </w:tcBorders>
          </w:tcPr>
          <w:p w:rsidR="00B775F3" w:rsidRPr="00DB542F" w:rsidRDefault="00B775F3" w:rsidP="00576867">
            <w:pPr>
              <w:tabs>
                <w:tab w:val="left" w:pos="1843"/>
              </w:tabs>
              <w:jc w:val="right"/>
              <w:rPr>
                <w:b/>
                <w:sz w:val="26"/>
                <w:szCs w:val="26"/>
                <w:lang w:val="ro-MO"/>
              </w:rPr>
            </w:pPr>
          </w:p>
        </w:tc>
        <w:tc>
          <w:tcPr>
            <w:tcW w:w="2039" w:type="dxa"/>
            <w:tcBorders>
              <w:top w:val="single" w:sz="4" w:space="0" w:color="auto"/>
              <w:left w:val="single" w:sz="4" w:space="0" w:color="auto"/>
              <w:bottom w:val="nil"/>
              <w:right w:val="single" w:sz="4" w:space="0" w:color="auto"/>
            </w:tcBorders>
          </w:tcPr>
          <w:p w:rsidR="00B775F3" w:rsidRPr="00DB542F" w:rsidRDefault="00B775F3" w:rsidP="00576867">
            <w:pPr>
              <w:tabs>
                <w:tab w:val="left" w:pos="1843"/>
              </w:tabs>
              <w:jc w:val="center"/>
              <w:rPr>
                <w:b/>
                <w:sz w:val="26"/>
                <w:szCs w:val="26"/>
                <w:lang w:val="ro-MO"/>
              </w:rPr>
            </w:pPr>
            <w:r w:rsidRPr="00DB542F">
              <w:rPr>
                <w:b/>
                <w:sz w:val="26"/>
                <w:szCs w:val="26"/>
                <w:lang w:val="ro-MO"/>
              </w:rPr>
              <w:t>1</w:t>
            </w:r>
          </w:p>
        </w:tc>
        <w:tc>
          <w:tcPr>
            <w:tcW w:w="5619" w:type="dxa"/>
            <w:tcBorders>
              <w:top w:val="single" w:sz="4" w:space="0" w:color="auto"/>
              <w:left w:val="single" w:sz="4" w:space="0" w:color="auto"/>
              <w:bottom w:val="nil"/>
              <w:right w:val="single" w:sz="4" w:space="0" w:color="auto"/>
            </w:tcBorders>
          </w:tcPr>
          <w:p w:rsidR="00B775F3" w:rsidRPr="00DB542F" w:rsidRDefault="00B775F3" w:rsidP="00576867">
            <w:pPr>
              <w:jc w:val="center"/>
              <w:rPr>
                <w:b/>
                <w:sz w:val="26"/>
                <w:szCs w:val="26"/>
                <w:lang w:val="ro-MO"/>
              </w:rPr>
            </w:pPr>
            <w:r w:rsidRPr="00DB542F">
              <w:rPr>
                <w:b/>
                <w:sz w:val="26"/>
                <w:szCs w:val="26"/>
                <w:lang w:val="ro-MO"/>
              </w:rPr>
              <w:t>2</w:t>
            </w:r>
          </w:p>
        </w:tc>
        <w:tc>
          <w:tcPr>
            <w:tcW w:w="6092" w:type="dxa"/>
            <w:tcBorders>
              <w:top w:val="single" w:sz="4" w:space="0" w:color="auto"/>
              <w:left w:val="single" w:sz="4" w:space="0" w:color="auto"/>
              <w:bottom w:val="nil"/>
              <w:right w:val="single" w:sz="4" w:space="0" w:color="auto"/>
            </w:tcBorders>
          </w:tcPr>
          <w:p w:rsidR="00B775F3" w:rsidRPr="00DB542F" w:rsidRDefault="00B775F3" w:rsidP="00576867">
            <w:pPr>
              <w:jc w:val="center"/>
              <w:rPr>
                <w:b/>
                <w:sz w:val="26"/>
                <w:szCs w:val="26"/>
                <w:lang w:val="ro-MO"/>
              </w:rPr>
            </w:pPr>
            <w:r w:rsidRPr="00DB542F">
              <w:rPr>
                <w:b/>
                <w:sz w:val="26"/>
                <w:szCs w:val="26"/>
                <w:lang w:val="ro-MO"/>
              </w:rPr>
              <w:t>3</w:t>
            </w:r>
          </w:p>
        </w:tc>
      </w:tr>
      <w:tr w:rsidR="00B775F3" w:rsidRPr="00DB542F" w:rsidTr="00576867">
        <w:tblPrEx>
          <w:tblCellMar>
            <w:top w:w="0" w:type="dxa"/>
            <w:bottom w:w="0" w:type="dxa"/>
          </w:tblCellMar>
        </w:tblPrEx>
        <w:trPr>
          <w:trHeight w:val="281"/>
          <w:tblHeader/>
        </w:trPr>
        <w:tc>
          <w:tcPr>
            <w:tcW w:w="633" w:type="dxa"/>
            <w:tcBorders>
              <w:top w:val="single" w:sz="4" w:space="0" w:color="auto"/>
              <w:left w:val="single" w:sz="4" w:space="0" w:color="auto"/>
              <w:bottom w:val="nil"/>
              <w:right w:val="single" w:sz="4" w:space="0" w:color="auto"/>
            </w:tcBorders>
            <w:shd w:val="pct25" w:color="auto" w:fill="FFFFFF"/>
          </w:tcPr>
          <w:p w:rsidR="00B775F3" w:rsidRPr="00DB542F" w:rsidRDefault="00B775F3" w:rsidP="00576867">
            <w:pPr>
              <w:tabs>
                <w:tab w:val="left" w:pos="1843"/>
              </w:tabs>
              <w:jc w:val="right"/>
              <w:rPr>
                <w:b/>
                <w:sz w:val="26"/>
                <w:szCs w:val="26"/>
                <w:lang w:val="ro-MO"/>
              </w:rPr>
            </w:pPr>
          </w:p>
        </w:tc>
        <w:tc>
          <w:tcPr>
            <w:tcW w:w="2039" w:type="dxa"/>
            <w:tcBorders>
              <w:top w:val="single" w:sz="4" w:space="0" w:color="auto"/>
              <w:left w:val="single" w:sz="4" w:space="0" w:color="auto"/>
              <w:bottom w:val="nil"/>
              <w:right w:val="single" w:sz="4" w:space="0" w:color="auto"/>
            </w:tcBorders>
            <w:shd w:val="pct25" w:color="auto" w:fill="FFFFFF"/>
          </w:tcPr>
          <w:p w:rsidR="00B775F3" w:rsidRPr="00DB542F" w:rsidRDefault="00B775F3" w:rsidP="00576867">
            <w:pPr>
              <w:tabs>
                <w:tab w:val="left" w:pos="1843"/>
              </w:tabs>
              <w:jc w:val="center"/>
              <w:rPr>
                <w:b/>
                <w:sz w:val="26"/>
                <w:szCs w:val="26"/>
                <w:lang w:val="ro-MO"/>
              </w:rPr>
            </w:pPr>
          </w:p>
        </w:tc>
        <w:tc>
          <w:tcPr>
            <w:tcW w:w="5619" w:type="dxa"/>
            <w:tcBorders>
              <w:top w:val="single" w:sz="4" w:space="0" w:color="auto"/>
              <w:left w:val="single" w:sz="4" w:space="0" w:color="auto"/>
              <w:bottom w:val="nil"/>
              <w:right w:val="single" w:sz="4" w:space="0" w:color="auto"/>
            </w:tcBorders>
            <w:shd w:val="pct25" w:color="auto" w:fill="FFFFFF"/>
          </w:tcPr>
          <w:p w:rsidR="00B775F3" w:rsidRPr="00DB542F" w:rsidRDefault="00B775F3" w:rsidP="00576867">
            <w:pPr>
              <w:jc w:val="center"/>
              <w:rPr>
                <w:b/>
                <w:sz w:val="26"/>
                <w:szCs w:val="26"/>
                <w:lang w:val="ro-MO"/>
              </w:rPr>
            </w:pPr>
          </w:p>
        </w:tc>
        <w:tc>
          <w:tcPr>
            <w:tcW w:w="6092" w:type="dxa"/>
            <w:tcBorders>
              <w:top w:val="single" w:sz="4" w:space="0" w:color="auto"/>
              <w:left w:val="single" w:sz="4" w:space="0" w:color="auto"/>
              <w:bottom w:val="nil"/>
              <w:right w:val="single" w:sz="4" w:space="0" w:color="auto"/>
            </w:tcBorders>
            <w:shd w:val="pct25" w:color="auto" w:fill="FFFFFF"/>
          </w:tcPr>
          <w:p w:rsidR="00B775F3" w:rsidRPr="00DB542F" w:rsidRDefault="00B775F3" w:rsidP="00576867">
            <w:pPr>
              <w:jc w:val="center"/>
              <w:rPr>
                <w:b/>
                <w:sz w:val="26"/>
                <w:szCs w:val="26"/>
                <w:lang w:val="ro-MO"/>
              </w:rPr>
            </w:pPr>
          </w:p>
        </w:tc>
      </w:tr>
      <w:tr w:rsidR="00B775F3" w:rsidRPr="00DB542F" w:rsidTr="00576867">
        <w:tblPrEx>
          <w:tblCellMar>
            <w:top w:w="0" w:type="dxa"/>
            <w:bottom w:w="0" w:type="dxa"/>
          </w:tblCellMar>
        </w:tblPrEx>
        <w:trPr>
          <w:trHeight w:val="256"/>
        </w:trPr>
        <w:tc>
          <w:tcPr>
            <w:tcW w:w="14383" w:type="dxa"/>
            <w:gridSpan w:val="4"/>
            <w:tcBorders>
              <w:top w:val="single" w:sz="4" w:space="0" w:color="auto"/>
              <w:left w:val="single" w:sz="4" w:space="0" w:color="auto"/>
              <w:bottom w:val="single" w:sz="4" w:space="0" w:color="auto"/>
              <w:right w:val="single" w:sz="4" w:space="0" w:color="auto"/>
            </w:tcBorders>
          </w:tcPr>
          <w:p w:rsidR="00B775F3" w:rsidRPr="006D498E" w:rsidRDefault="00B775F3" w:rsidP="00576867">
            <w:pPr>
              <w:jc w:val="center"/>
              <w:rPr>
                <w:b/>
                <w:sz w:val="26"/>
                <w:szCs w:val="26"/>
                <w:lang w:val="ro-MO"/>
              </w:rPr>
            </w:pPr>
            <w:r w:rsidRPr="006D498E">
              <w:rPr>
                <w:b/>
                <w:sz w:val="26"/>
                <w:szCs w:val="26"/>
                <w:lang w:val="ro-MO"/>
              </w:rPr>
              <w:t>Ministerul Finanţelor</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Pr>
                <w:b/>
                <w:sz w:val="26"/>
                <w:szCs w:val="26"/>
                <w:lang w:val="ro-MO"/>
              </w:rPr>
              <w:t>1</w:t>
            </w:r>
            <w:r w:rsidRPr="00DB542F">
              <w:rPr>
                <w:b/>
                <w:sz w:val="26"/>
                <w:szCs w:val="26"/>
                <w:lang w:val="ro-MO"/>
              </w:rPr>
              <w:t>.</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pct.5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sz w:val="26"/>
                <w:szCs w:val="26"/>
                <w:lang w:val="ro-MO"/>
              </w:rPr>
            </w:pPr>
            <w:r w:rsidRPr="00DB542F">
              <w:rPr>
                <w:sz w:val="26"/>
                <w:szCs w:val="26"/>
                <w:lang w:val="ro-MO"/>
              </w:rPr>
              <w:t>Pct. 5 din proiect urmează a fi exclus, deoarece potrivit art.19 alin. (2) din Legea nr. 1380-XIII din 20.11.1997, drept ţară de origine a mărfii pot fi considerate şi un grup de ţări, o uniune vamală de ţări, o parte a ţării, în cazul în care este necesar de a le evidenţia în scopul determinării originii mărfii.</w:t>
            </w:r>
          </w:p>
        </w:tc>
        <w:tc>
          <w:tcPr>
            <w:tcW w:w="6092" w:type="dxa"/>
            <w:tcBorders>
              <w:top w:val="single" w:sz="4" w:space="0" w:color="auto"/>
              <w:left w:val="single" w:sz="4" w:space="0" w:color="auto"/>
              <w:bottom w:val="single" w:sz="4" w:space="0" w:color="auto"/>
              <w:right w:val="single" w:sz="4" w:space="0" w:color="auto"/>
            </w:tcBorders>
          </w:tcPr>
          <w:p w:rsidR="00B775F3" w:rsidRDefault="00B775F3" w:rsidP="00576867">
            <w:pPr>
              <w:jc w:val="both"/>
              <w:rPr>
                <w:sz w:val="26"/>
                <w:szCs w:val="26"/>
                <w:lang w:val="ro-MO"/>
              </w:rPr>
            </w:pPr>
            <w:r w:rsidRPr="00DB542F">
              <w:rPr>
                <w:sz w:val="26"/>
                <w:szCs w:val="26"/>
                <w:lang w:val="ro-MO"/>
              </w:rPr>
              <w:t>Nu se acceptă</w:t>
            </w:r>
            <w:r>
              <w:rPr>
                <w:sz w:val="26"/>
                <w:szCs w:val="26"/>
                <w:lang w:val="ro-MO"/>
              </w:rPr>
              <w:t>.</w:t>
            </w:r>
          </w:p>
          <w:p w:rsidR="00B775F3" w:rsidRPr="00DB542F" w:rsidRDefault="00B775F3" w:rsidP="00576867">
            <w:pPr>
              <w:jc w:val="both"/>
              <w:rPr>
                <w:sz w:val="26"/>
                <w:szCs w:val="26"/>
                <w:lang w:val="ro-MO"/>
              </w:rPr>
            </w:pPr>
            <w:r w:rsidRPr="00DB542F">
              <w:rPr>
                <w:sz w:val="26"/>
                <w:szCs w:val="26"/>
                <w:lang w:val="ro-MO"/>
              </w:rPr>
              <w:t>Proiectul HG ajustează actele normative ale Guvernului cu prevederile Codului vamal şi fiscal, Legii cu privire la tariful vamal şi Legii cu privire la zonele economice libere, care prevăd utilizarea sintagmei „produs în zona liberă”</w:t>
            </w:r>
            <w:r>
              <w:rPr>
                <w:sz w:val="26"/>
                <w:szCs w:val="26"/>
                <w:lang w:val="ro-MO"/>
              </w:rPr>
              <w:t xml:space="preserve">. Sintagma în cauză </w:t>
            </w:r>
            <w:r w:rsidRPr="00DB542F">
              <w:rPr>
                <w:sz w:val="26"/>
                <w:szCs w:val="26"/>
                <w:lang w:val="ro-MO"/>
              </w:rPr>
              <w:t>nu are legătură cu determinarea ţării de origine a mărfii.</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Pr>
                <w:b/>
                <w:sz w:val="26"/>
                <w:szCs w:val="26"/>
                <w:lang w:val="ro-MO"/>
              </w:rPr>
              <w:t>2</w:t>
            </w:r>
            <w:r w:rsidRPr="00DB542F">
              <w:rPr>
                <w:b/>
                <w:sz w:val="26"/>
                <w:szCs w:val="26"/>
                <w:lang w:val="ro-MO"/>
              </w:rPr>
              <w:t>.</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pct.6 subpunct.2)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sz w:val="26"/>
                <w:szCs w:val="26"/>
                <w:lang w:val="ro-MO"/>
              </w:rPr>
            </w:pPr>
            <w:r w:rsidRPr="00DB542F">
              <w:rPr>
                <w:sz w:val="26"/>
                <w:szCs w:val="26"/>
                <w:lang w:val="ro-MO"/>
              </w:rPr>
              <w:t xml:space="preserve">Urmează a fi exclus, </w:t>
            </w:r>
            <w:proofErr w:type="spellStart"/>
            <w:r w:rsidRPr="00DB542F">
              <w:rPr>
                <w:sz w:val="26"/>
                <w:szCs w:val="26"/>
                <w:lang w:val="ro-MO"/>
              </w:rPr>
              <w:t>luînd</w:t>
            </w:r>
            <w:proofErr w:type="spellEnd"/>
            <w:r w:rsidRPr="00DB542F">
              <w:rPr>
                <w:sz w:val="26"/>
                <w:szCs w:val="26"/>
                <w:lang w:val="ro-MO"/>
              </w:rPr>
              <w:t xml:space="preserve"> în considerare argumentele expuse </w:t>
            </w:r>
            <w:proofErr w:type="spellStart"/>
            <w:r w:rsidRPr="00DB542F">
              <w:rPr>
                <w:sz w:val="26"/>
                <w:szCs w:val="26"/>
                <w:lang w:val="ro-MO"/>
              </w:rPr>
              <w:t>vis-a-vis</w:t>
            </w:r>
            <w:proofErr w:type="spellEnd"/>
            <w:r w:rsidRPr="00DB542F">
              <w:rPr>
                <w:sz w:val="26"/>
                <w:szCs w:val="26"/>
                <w:lang w:val="ro-MO"/>
              </w:rPr>
              <w:t xml:space="preserve"> de art. III din proiectul de lege pentru modificarea şi completarea unor acte legislaţie.</w:t>
            </w:r>
          </w:p>
        </w:tc>
        <w:tc>
          <w:tcPr>
            <w:tcW w:w="6092" w:type="dxa"/>
            <w:tcBorders>
              <w:top w:val="single" w:sz="4" w:space="0" w:color="auto"/>
              <w:left w:val="single" w:sz="4" w:space="0" w:color="auto"/>
              <w:bottom w:val="single" w:sz="4" w:space="0" w:color="auto"/>
              <w:right w:val="single" w:sz="4" w:space="0" w:color="auto"/>
            </w:tcBorders>
          </w:tcPr>
          <w:p w:rsidR="00B775F3" w:rsidRDefault="00B775F3" w:rsidP="00576867">
            <w:pPr>
              <w:jc w:val="both"/>
              <w:rPr>
                <w:sz w:val="26"/>
                <w:szCs w:val="26"/>
                <w:lang w:val="ro-MO"/>
              </w:rPr>
            </w:pPr>
            <w:r w:rsidRPr="00DB542F">
              <w:rPr>
                <w:sz w:val="26"/>
                <w:szCs w:val="26"/>
                <w:lang w:val="ro-MO"/>
              </w:rPr>
              <w:t>Nu se acceptă</w:t>
            </w:r>
            <w:r>
              <w:rPr>
                <w:sz w:val="26"/>
                <w:szCs w:val="26"/>
                <w:lang w:val="ro-MO"/>
              </w:rPr>
              <w:t>.</w:t>
            </w:r>
          </w:p>
          <w:p w:rsidR="00B775F3" w:rsidRDefault="00B775F3" w:rsidP="00576867">
            <w:pPr>
              <w:jc w:val="both"/>
              <w:rPr>
                <w:sz w:val="26"/>
                <w:szCs w:val="26"/>
                <w:lang w:val="ro-MO"/>
              </w:rPr>
            </w:pPr>
            <w:r>
              <w:rPr>
                <w:sz w:val="26"/>
                <w:szCs w:val="26"/>
                <w:lang w:val="ro-MO"/>
              </w:rPr>
              <w:t xml:space="preserve">În prezent, </w:t>
            </w:r>
            <w:r w:rsidRPr="00DB542F">
              <w:rPr>
                <w:sz w:val="26"/>
                <w:szCs w:val="26"/>
                <w:lang w:val="ro-MO"/>
              </w:rPr>
              <w:t>cadrul legal (art.87 alin. (2) și art.91 alin. (2) din Codul Vamal nr.1149-XIV din 20 iulie 2000, Art.7 alin. (10) din Legea cu privire la zonele economice libere, nr.440 - XV din 27 iulie 2001, Art. 28 lit. l) din Legea cu privire la tariful vamal nr.1380 20 decembrie 1997, Art. 124 alin. (11) din Codul Fiscal nr.1163-XIII din 24 aprilie 1997) nu stabileşte interzicerea livrării mărfurilor din zona liberă pe teritoriul Republicii Moldova. Mai mult, nu stabileşte termeni exacţi.</w:t>
            </w:r>
          </w:p>
          <w:p w:rsidR="00B775F3" w:rsidRPr="00DB542F" w:rsidRDefault="00B775F3" w:rsidP="00576867">
            <w:pPr>
              <w:jc w:val="both"/>
              <w:rPr>
                <w:sz w:val="26"/>
                <w:szCs w:val="26"/>
                <w:lang w:val="ro-MO"/>
              </w:rPr>
            </w:pPr>
            <w:proofErr w:type="spellStart"/>
            <w:r>
              <w:rPr>
                <w:sz w:val="26"/>
                <w:szCs w:val="26"/>
                <w:lang w:val="ro-MO"/>
              </w:rPr>
              <w:t>Hotărîrea</w:t>
            </w:r>
            <w:proofErr w:type="spellEnd"/>
            <w:r>
              <w:rPr>
                <w:sz w:val="26"/>
                <w:szCs w:val="26"/>
                <w:lang w:val="ro-MO"/>
              </w:rPr>
              <w:t xml:space="preserve"> Guvernului nu poate stabilirea norme care contravin legilor în vigoare.</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Pr>
                <w:b/>
                <w:sz w:val="26"/>
                <w:szCs w:val="26"/>
                <w:lang w:val="ro-MO"/>
              </w:rPr>
              <w:t>3</w:t>
            </w:r>
            <w:r w:rsidRPr="00DB542F">
              <w:rPr>
                <w:b/>
                <w:sz w:val="26"/>
                <w:szCs w:val="26"/>
                <w:lang w:val="ro-MO"/>
              </w:rPr>
              <w:t>.</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pct.6 subpunct.7)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sz w:val="26"/>
                <w:szCs w:val="26"/>
                <w:lang w:val="ro-MO"/>
              </w:rPr>
            </w:pPr>
            <w:r w:rsidRPr="00DB542F">
              <w:rPr>
                <w:sz w:val="26"/>
                <w:szCs w:val="26"/>
                <w:lang w:val="ro-MO"/>
              </w:rPr>
              <w:t>Urmează a fi exclus pct.319</w:t>
            </w:r>
            <w:r w:rsidRPr="00B55F48">
              <w:rPr>
                <w:sz w:val="26"/>
                <w:szCs w:val="26"/>
                <w:vertAlign w:val="superscript"/>
                <w:lang w:val="ro-MO"/>
              </w:rPr>
              <w:t>1</w:t>
            </w:r>
            <w:r w:rsidRPr="00DB542F">
              <w:rPr>
                <w:sz w:val="26"/>
                <w:szCs w:val="26"/>
                <w:lang w:val="ro-MO"/>
              </w:rPr>
              <w:t xml:space="preserve"> alin. (3), deoarece acesta contravine prevederilor Codului vamal.</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lang w:val="ro-MO"/>
              </w:rPr>
            </w:pPr>
            <w:r w:rsidRPr="00DB542F">
              <w:rPr>
                <w:sz w:val="26"/>
                <w:szCs w:val="26"/>
                <w:lang w:val="ro-MO"/>
              </w:rPr>
              <w:t>Se acceptă.</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Pr>
                <w:b/>
                <w:sz w:val="26"/>
                <w:szCs w:val="26"/>
                <w:lang w:val="ro-MO"/>
              </w:rPr>
              <w:t>4</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pct.6 subpunct.7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sz w:val="26"/>
                <w:szCs w:val="26"/>
                <w:lang w:val="ro-MO"/>
              </w:rPr>
            </w:pPr>
            <w:r w:rsidRPr="00DB542F">
              <w:rPr>
                <w:sz w:val="26"/>
                <w:szCs w:val="26"/>
                <w:lang w:val="ro-MO"/>
              </w:rPr>
              <w:t>Pct.319</w:t>
            </w:r>
            <w:r w:rsidRPr="00B55F48">
              <w:rPr>
                <w:sz w:val="26"/>
                <w:szCs w:val="26"/>
                <w:vertAlign w:val="superscript"/>
                <w:lang w:val="ro-MO"/>
              </w:rPr>
              <w:t>2</w:t>
            </w:r>
            <w:r w:rsidRPr="00DB542F">
              <w:rPr>
                <w:sz w:val="26"/>
                <w:szCs w:val="26"/>
                <w:lang w:val="ro-MO"/>
              </w:rPr>
              <w:t xml:space="preserve"> alin.(l), </w:t>
            </w:r>
            <w:proofErr w:type="spellStart"/>
            <w:r w:rsidRPr="00DB542F">
              <w:rPr>
                <w:sz w:val="26"/>
                <w:szCs w:val="26"/>
                <w:lang w:val="ro-MO"/>
              </w:rPr>
              <w:t>cuvîntul</w:t>
            </w:r>
            <w:proofErr w:type="spellEnd"/>
            <w:r w:rsidRPr="00DB542F">
              <w:rPr>
                <w:sz w:val="26"/>
                <w:szCs w:val="26"/>
                <w:lang w:val="ro-MO"/>
              </w:rPr>
              <w:t xml:space="preserve"> „sau” se înlocuieşte cu </w:t>
            </w:r>
            <w:proofErr w:type="spellStart"/>
            <w:r w:rsidRPr="00DB542F">
              <w:rPr>
                <w:sz w:val="26"/>
                <w:szCs w:val="26"/>
                <w:lang w:val="ro-MO"/>
              </w:rPr>
              <w:t>cuvîntul</w:t>
            </w:r>
            <w:proofErr w:type="spellEnd"/>
            <w:r w:rsidRPr="00DB542F">
              <w:rPr>
                <w:sz w:val="26"/>
                <w:szCs w:val="26"/>
                <w:lang w:val="ro-MO"/>
              </w:rPr>
              <w:t xml:space="preserve"> „şi”.</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lang w:val="ro-MO"/>
              </w:rPr>
            </w:pPr>
            <w:r w:rsidRPr="00DB542F">
              <w:rPr>
                <w:sz w:val="26"/>
                <w:szCs w:val="26"/>
                <w:lang w:val="ro-MO"/>
              </w:rPr>
              <w:t xml:space="preserve">Nu se acceptă, deoarece invitaţia poate parveni </w:t>
            </w:r>
            <w:r>
              <w:rPr>
                <w:sz w:val="26"/>
                <w:szCs w:val="26"/>
                <w:lang w:val="ro-MO"/>
              </w:rPr>
              <w:t>nu numai de la ambele părţi, ci şi de la fiecare individual.</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Pr>
                <w:b/>
                <w:sz w:val="26"/>
                <w:szCs w:val="26"/>
                <w:lang w:val="ro-MO"/>
              </w:rPr>
              <w:lastRenderedPageBreak/>
              <w:t>5</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pct.6 subpunct.7)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sz w:val="26"/>
                <w:szCs w:val="26"/>
                <w:lang w:val="ro-MO"/>
              </w:rPr>
            </w:pPr>
            <w:r w:rsidRPr="00DB542F">
              <w:rPr>
                <w:sz w:val="26"/>
                <w:szCs w:val="26"/>
                <w:lang w:val="ro-MO"/>
              </w:rPr>
              <w:t>Pct.319</w:t>
            </w:r>
            <w:r w:rsidRPr="00B55F48">
              <w:rPr>
                <w:sz w:val="26"/>
                <w:szCs w:val="26"/>
                <w:vertAlign w:val="superscript"/>
                <w:lang w:val="ro-MO"/>
              </w:rPr>
              <w:t>3</w:t>
            </w:r>
            <w:r w:rsidRPr="00DB542F">
              <w:rPr>
                <w:sz w:val="26"/>
                <w:szCs w:val="26"/>
                <w:lang w:val="ro-MO"/>
              </w:rPr>
              <w:t xml:space="preserve"> - cuvintele „în conformitate cu cerinţele stabilite de către” se înlocuiesc cu cuvintele „în modul stabilit de”.</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lang w:val="ro-MO"/>
              </w:rPr>
            </w:pPr>
            <w:r w:rsidRPr="00DB542F">
              <w:rPr>
                <w:sz w:val="26"/>
                <w:szCs w:val="26"/>
                <w:lang w:val="ro-MO"/>
              </w:rPr>
              <w:t>Se acceptă.</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Pr>
                <w:b/>
                <w:sz w:val="26"/>
                <w:szCs w:val="26"/>
                <w:lang w:val="ro-MO"/>
              </w:rPr>
              <w:t>6</w:t>
            </w:r>
            <w:r w:rsidRPr="00DB542F">
              <w:rPr>
                <w:b/>
                <w:sz w:val="26"/>
                <w:szCs w:val="26"/>
                <w:lang w:val="ro-MO"/>
              </w:rPr>
              <w:t>.</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pct.6 subpunct.12)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sz w:val="26"/>
                <w:szCs w:val="26"/>
                <w:lang w:val="ro-MO"/>
              </w:rPr>
            </w:pPr>
            <w:r w:rsidRPr="00DB542F">
              <w:rPr>
                <w:sz w:val="26"/>
                <w:szCs w:val="26"/>
                <w:lang w:val="ro-MO"/>
              </w:rPr>
              <w:t xml:space="preserve">Urmează a fi exclus, </w:t>
            </w:r>
            <w:proofErr w:type="spellStart"/>
            <w:r w:rsidRPr="00DB542F">
              <w:rPr>
                <w:sz w:val="26"/>
                <w:szCs w:val="26"/>
                <w:lang w:val="ro-MO"/>
              </w:rPr>
              <w:t>luînd</w:t>
            </w:r>
            <w:proofErr w:type="spellEnd"/>
            <w:r w:rsidRPr="00DB542F">
              <w:rPr>
                <w:sz w:val="26"/>
                <w:szCs w:val="26"/>
                <w:lang w:val="ro-MO"/>
              </w:rPr>
              <w:t xml:space="preserve"> în considerare argumentele expuse </w:t>
            </w:r>
            <w:proofErr w:type="spellStart"/>
            <w:r w:rsidRPr="00DB542F">
              <w:rPr>
                <w:sz w:val="26"/>
                <w:szCs w:val="26"/>
                <w:lang w:val="ro-MO"/>
              </w:rPr>
              <w:t>vis-a-vis</w:t>
            </w:r>
            <w:proofErr w:type="spellEnd"/>
            <w:r w:rsidRPr="00DB542F">
              <w:rPr>
                <w:sz w:val="26"/>
                <w:szCs w:val="26"/>
                <w:lang w:val="ro-MO"/>
              </w:rPr>
              <w:t xml:space="preserve"> de art. II din proiectul de lege pentru modificarea şi completarea unor acte legislative şi pct.5 din proiectul </w:t>
            </w:r>
            <w:proofErr w:type="spellStart"/>
            <w:r w:rsidRPr="00DB542F">
              <w:rPr>
                <w:sz w:val="26"/>
                <w:szCs w:val="26"/>
                <w:lang w:val="ro-MO"/>
              </w:rPr>
              <w:t>Hotărîrii</w:t>
            </w:r>
            <w:proofErr w:type="spellEnd"/>
            <w:r w:rsidRPr="00DB542F">
              <w:rPr>
                <w:sz w:val="26"/>
                <w:szCs w:val="26"/>
                <w:lang w:val="ro-MO"/>
              </w:rPr>
              <w:t xml:space="preserve"> de Guvern pentru modificarea şi completarea unor </w:t>
            </w:r>
            <w:proofErr w:type="spellStart"/>
            <w:r w:rsidRPr="00DB542F">
              <w:rPr>
                <w:sz w:val="26"/>
                <w:szCs w:val="26"/>
                <w:lang w:val="ro-MO"/>
              </w:rPr>
              <w:t>hotărîri</w:t>
            </w:r>
            <w:proofErr w:type="spellEnd"/>
            <w:r w:rsidRPr="00DB542F">
              <w:rPr>
                <w:sz w:val="26"/>
                <w:szCs w:val="26"/>
                <w:lang w:val="ro-MO"/>
              </w:rPr>
              <w:t xml:space="preserve"> ale Guvernului.</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highlight w:val="green"/>
                <w:lang w:val="ro-MO"/>
              </w:rPr>
            </w:pPr>
            <w:r>
              <w:rPr>
                <w:sz w:val="26"/>
                <w:szCs w:val="26"/>
                <w:lang w:val="ro-MO"/>
              </w:rPr>
              <w:t xml:space="preserve">Punctul 6, </w:t>
            </w:r>
            <w:proofErr w:type="spellStart"/>
            <w:r>
              <w:rPr>
                <w:sz w:val="26"/>
                <w:szCs w:val="26"/>
                <w:lang w:val="ro-MO"/>
              </w:rPr>
              <w:t>sbpct</w:t>
            </w:r>
            <w:proofErr w:type="spellEnd"/>
            <w:r>
              <w:rPr>
                <w:sz w:val="26"/>
                <w:szCs w:val="26"/>
                <w:lang w:val="ro-MO"/>
              </w:rPr>
              <w:t>. 12 a fost exclus.</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Pr>
                <w:b/>
                <w:sz w:val="26"/>
                <w:szCs w:val="26"/>
                <w:lang w:val="ro-MO"/>
              </w:rPr>
              <w:t>7</w:t>
            </w:r>
            <w:r w:rsidRPr="00DB542F">
              <w:rPr>
                <w:b/>
                <w:sz w:val="26"/>
                <w:szCs w:val="26"/>
                <w:lang w:val="ro-MO"/>
              </w:rPr>
              <w:t>.</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pct.6 subpunct.13)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sz w:val="26"/>
                <w:szCs w:val="26"/>
                <w:lang w:val="ro-MO"/>
              </w:rPr>
            </w:pPr>
            <w:r w:rsidRPr="00DB542F">
              <w:rPr>
                <w:sz w:val="26"/>
                <w:szCs w:val="26"/>
                <w:lang w:val="ro-MO"/>
              </w:rPr>
              <w:t xml:space="preserve">Urmează a fi exclus, deoarece modificarea propusă contravine expres prevederilor pct.347 al </w:t>
            </w:r>
            <w:proofErr w:type="spellStart"/>
            <w:r w:rsidRPr="00DB542F">
              <w:rPr>
                <w:sz w:val="26"/>
                <w:szCs w:val="26"/>
                <w:lang w:val="ro-MO"/>
              </w:rPr>
              <w:t>Hotărîrii</w:t>
            </w:r>
            <w:proofErr w:type="spellEnd"/>
            <w:r w:rsidRPr="00DB542F">
              <w:rPr>
                <w:sz w:val="26"/>
                <w:szCs w:val="26"/>
                <w:lang w:val="ro-MO"/>
              </w:rPr>
              <w:t xml:space="preserve"> Guvernului nr.1140 din 02.11.2005, care stabileşte că persoana care efectuează operaţiuni cu mărfurile plasate în zona liberă este obligată să ţină evidenţa operativă a mărfurilor, după modelul aprobat de organele vamale şi să o pună la dispoziţia acestora pentru control. Mărfurile se înregistrează în evidenţe în momentul în care sunt introduse în locurile sau în încăperile deţinute de persoana în cauză.</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lang w:val="ro-MO"/>
              </w:rPr>
            </w:pPr>
            <w:r w:rsidRPr="00DB542F">
              <w:rPr>
                <w:sz w:val="26"/>
                <w:szCs w:val="26"/>
                <w:lang w:val="ro-MO"/>
              </w:rPr>
              <w:t xml:space="preserve">Nu se acceptă, </w:t>
            </w:r>
            <w:proofErr w:type="spellStart"/>
            <w:r w:rsidRPr="00DB542F">
              <w:rPr>
                <w:sz w:val="26"/>
                <w:szCs w:val="26"/>
                <w:lang w:val="ro-MO"/>
              </w:rPr>
              <w:t>întrucît</w:t>
            </w:r>
            <w:proofErr w:type="spellEnd"/>
            <w:r w:rsidRPr="00DB542F">
              <w:rPr>
                <w:sz w:val="26"/>
                <w:szCs w:val="26"/>
                <w:lang w:val="ro-MO"/>
              </w:rPr>
              <w:t xml:space="preserve"> formularea normei în cauză este stabilită în art.7 al Legii nr.440 din 27 iulie 2001, precum şi în art.90 din Codul vamal.</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Pr>
                <w:b/>
                <w:sz w:val="26"/>
                <w:szCs w:val="26"/>
                <w:lang w:val="ro-MO"/>
              </w:rPr>
              <w:t>8</w:t>
            </w:r>
            <w:r w:rsidRPr="00DB542F">
              <w:rPr>
                <w:b/>
                <w:sz w:val="26"/>
                <w:szCs w:val="26"/>
                <w:lang w:val="ro-MO"/>
              </w:rPr>
              <w:t>.</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pct.6 subpunct.14)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sz w:val="26"/>
                <w:szCs w:val="26"/>
                <w:lang w:val="ro-MO"/>
              </w:rPr>
            </w:pPr>
            <w:r w:rsidRPr="00DB542F">
              <w:rPr>
                <w:sz w:val="26"/>
                <w:szCs w:val="26"/>
                <w:lang w:val="ro-MO"/>
              </w:rPr>
              <w:t xml:space="preserve">Urmează a fi exclus. Totodată, pct.349 din </w:t>
            </w:r>
            <w:proofErr w:type="spellStart"/>
            <w:r w:rsidRPr="00DB542F">
              <w:rPr>
                <w:sz w:val="26"/>
                <w:szCs w:val="26"/>
                <w:lang w:val="ro-MO"/>
              </w:rPr>
              <w:t>Hotărîrea</w:t>
            </w:r>
            <w:proofErr w:type="spellEnd"/>
            <w:r w:rsidRPr="00DB542F">
              <w:rPr>
                <w:sz w:val="26"/>
                <w:szCs w:val="26"/>
                <w:lang w:val="ro-MO"/>
              </w:rPr>
              <w:t xml:space="preserve"> Guvernului nr.1140 din 02.11.2005 urmează să fie expus în următoarea redacţie:</w:t>
            </w:r>
          </w:p>
          <w:p w:rsidR="00B775F3" w:rsidRPr="00DB542F" w:rsidRDefault="00B775F3" w:rsidP="00576867">
            <w:pPr>
              <w:autoSpaceDE w:val="0"/>
              <w:autoSpaceDN w:val="0"/>
              <w:adjustRightInd w:val="0"/>
              <w:jc w:val="both"/>
              <w:rPr>
                <w:sz w:val="26"/>
                <w:szCs w:val="26"/>
                <w:lang w:val="ro-MO"/>
              </w:rPr>
            </w:pPr>
            <w:r w:rsidRPr="00DB542F">
              <w:rPr>
                <w:sz w:val="26"/>
                <w:szCs w:val="26"/>
                <w:lang w:val="ro-MO"/>
              </w:rPr>
              <w:t xml:space="preserve">„349. Rezidenţii zonelor libere care efectuează operaţiuni cu mărfurile plasate în aceste zone prezintă trimestrial </w:t>
            </w:r>
            <w:proofErr w:type="spellStart"/>
            <w:r w:rsidRPr="00DB542F">
              <w:rPr>
                <w:sz w:val="26"/>
                <w:szCs w:val="26"/>
                <w:lang w:val="ro-MO"/>
              </w:rPr>
              <w:t>pînă</w:t>
            </w:r>
            <w:proofErr w:type="spellEnd"/>
            <w:r w:rsidRPr="00DB542F">
              <w:rPr>
                <w:sz w:val="26"/>
                <w:szCs w:val="26"/>
                <w:lang w:val="ro-MO"/>
              </w:rPr>
              <w:t xml:space="preserve"> la a 15-a zi calendaristică următoare trimestrului de gestiune Serviciului Vamal rapoarte de evidenţă a fluxului de materiale, </w:t>
            </w:r>
            <w:r w:rsidRPr="00DB542F">
              <w:rPr>
                <w:sz w:val="26"/>
                <w:szCs w:val="26"/>
                <w:lang w:val="ro-MO"/>
              </w:rPr>
              <w:lastRenderedPageBreak/>
              <w:t>mărfuri şi produse finite în modul stabilit la anexa nr.31 la prezentul Regulament.”.</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lang w:val="ro-MO"/>
              </w:rPr>
            </w:pPr>
            <w:r w:rsidRPr="00DB542F">
              <w:rPr>
                <w:sz w:val="26"/>
                <w:szCs w:val="26"/>
                <w:lang w:val="ro-MO"/>
              </w:rPr>
              <w:lastRenderedPageBreak/>
              <w:t xml:space="preserve">Nu se acceptă, </w:t>
            </w:r>
            <w:proofErr w:type="spellStart"/>
            <w:r w:rsidRPr="00DB542F">
              <w:rPr>
                <w:sz w:val="26"/>
                <w:szCs w:val="26"/>
                <w:lang w:val="ro-MO"/>
              </w:rPr>
              <w:t>întrucît</w:t>
            </w:r>
            <w:proofErr w:type="spellEnd"/>
            <w:r w:rsidRPr="00DB542F">
              <w:rPr>
                <w:sz w:val="26"/>
                <w:szCs w:val="26"/>
                <w:lang w:val="ro-MO"/>
              </w:rPr>
              <w:t xml:space="preserve"> redacţia pct.347</w:t>
            </w:r>
            <w:r w:rsidRPr="00DB542F">
              <w:rPr>
                <w:sz w:val="26"/>
                <w:szCs w:val="26"/>
                <w:vertAlign w:val="superscript"/>
                <w:lang w:val="ro-MO"/>
              </w:rPr>
              <w:t>1</w:t>
            </w:r>
            <w:r w:rsidRPr="00DB542F">
              <w:rPr>
                <w:sz w:val="26"/>
                <w:szCs w:val="26"/>
                <w:lang w:val="ro-MO"/>
              </w:rPr>
              <w:t xml:space="preserve"> din proiectul HG stabileşte clar termenii de prezentare Serviciului Vamal, de către rezidenţii zonelor libere, a rapoartelor de evidenţă a fluxului de materiale, mărfuri şi produse finite. Prin urmare, pct. 348, 349 şi 350 sunt de prisos şi se propune excluderea acestora.</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center"/>
              <w:rPr>
                <w:b/>
                <w:sz w:val="26"/>
                <w:szCs w:val="26"/>
                <w:lang w:val="ro-MO"/>
              </w:rPr>
            </w:pPr>
            <w:r>
              <w:rPr>
                <w:b/>
                <w:sz w:val="26"/>
                <w:szCs w:val="26"/>
                <w:lang w:val="ro-MO"/>
              </w:rPr>
              <w:lastRenderedPageBreak/>
              <w:t>9.</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pct.6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sz w:val="26"/>
                <w:szCs w:val="26"/>
                <w:lang w:val="ro-MO"/>
              </w:rPr>
            </w:pPr>
            <w:r w:rsidRPr="00DB542F">
              <w:rPr>
                <w:sz w:val="26"/>
                <w:szCs w:val="26"/>
                <w:lang w:val="ro-MO"/>
              </w:rPr>
              <w:t>Pct.6 din proiect urmează să fie completat cu un nou subpunct cu următorul conţinut: „Punctul 336</w:t>
            </w:r>
            <w:r w:rsidRPr="00B55F48">
              <w:rPr>
                <w:sz w:val="26"/>
                <w:szCs w:val="26"/>
                <w:vertAlign w:val="superscript"/>
                <w:lang w:val="ro-MO"/>
              </w:rPr>
              <w:t>1</w:t>
            </w:r>
            <w:r w:rsidRPr="00DB542F">
              <w:rPr>
                <w:sz w:val="26"/>
                <w:szCs w:val="26"/>
                <w:lang w:val="ro-MO"/>
              </w:rPr>
              <w:t xml:space="preserve"> se exclude”.</w:t>
            </w:r>
          </w:p>
          <w:p w:rsidR="00B775F3" w:rsidRPr="00DB542F" w:rsidRDefault="00B775F3" w:rsidP="00576867">
            <w:pPr>
              <w:autoSpaceDE w:val="0"/>
              <w:autoSpaceDN w:val="0"/>
              <w:adjustRightInd w:val="0"/>
              <w:jc w:val="both"/>
              <w:rPr>
                <w:sz w:val="26"/>
                <w:szCs w:val="26"/>
                <w:lang w:val="ro-MO"/>
              </w:rPr>
            </w:pPr>
            <w:r w:rsidRPr="00DB542F">
              <w:rPr>
                <w:sz w:val="26"/>
                <w:szCs w:val="26"/>
                <w:lang w:val="ro-MO"/>
              </w:rPr>
              <w:t xml:space="preserve">Modificarea dată se datorează faptului că, redacţia actuală contravine expres prevederilor art.37 al Codului Vamal, care prevede aplicarea scutirilor de la plata drepturilor de import în cazul reintroducerii timp de 3 ani a mărfurilor autohtone. </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lang w:val="ro-MO"/>
              </w:rPr>
            </w:pPr>
            <w:r w:rsidRPr="00DB542F">
              <w:rPr>
                <w:sz w:val="26"/>
                <w:szCs w:val="26"/>
                <w:lang w:val="ro-MO"/>
              </w:rPr>
              <w:t xml:space="preserve">Nu se acceptă, </w:t>
            </w:r>
            <w:proofErr w:type="spellStart"/>
            <w:r w:rsidRPr="00DB542F">
              <w:rPr>
                <w:sz w:val="26"/>
                <w:szCs w:val="26"/>
                <w:lang w:val="ro-MO"/>
              </w:rPr>
              <w:t>întrucît</w:t>
            </w:r>
            <w:proofErr w:type="spellEnd"/>
            <w:r w:rsidRPr="00DB542F">
              <w:rPr>
                <w:sz w:val="26"/>
                <w:szCs w:val="26"/>
                <w:lang w:val="ro-MO"/>
              </w:rPr>
              <w:t xml:space="preserve"> art.37 din Codul vamal şi pct.336</w:t>
            </w:r>
            <w:r w:rsidRPr="00DB542F">
              <w:rPr>
                <w:sz w:val="26"/>
                <w:szCs w:val="26"/>
                <w:vertAlign w:val="superscript"/>
                <w:lang w:val="ro-MO"/>
              </w:rPr>
              <w:t xml:space="preserve">1 </w:t>
            </w:r>
            <w:r w:rsidRPr="00DB542F">
              <w:rPr>
                <w:sz w:val="26"/>
                <w:szCs w:val="26"/>
                <w:lang w:val="ro-MO"/>
              </w:rPr>
              <w:t xml:space="preserve">al HG 1140 din 02 noiembrie 2005 reglementează norme diferite. În plus, propunerea Ministerului Finanţelor nu reiese din prevederile Legii nr.307 din 26 decembrie 2012. În legătură cu aceasta, </w:t>
            </w:r>
            <w:r>
              <w:rPr>
                <w:sz w:val="26"/>
                <w:szCs w:val="26"/>
                <w:lang w:val="ro-MO"/>
              </w:rPr>
              <w:t>norma nouă</w:t>
            </w:r>
            <w:r w:rsidRPr="00DB542F">
              <w:rPr>
                <w:sz w:val="26"/>
                <w:szCs w:val="26"/>
                <w:lang w:val="ro-MO"/>
              </w:rPr>
              <w:t xml:space="preserve"> ar trebui să introducă modificări în modul stabilit de legislaţia în vigoare.</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sidRPr="00DB542F">
              <w:rPr>
                <w:b/>
                <w:sz w:val="26"/>
                <w:szCs w:val="26"/>
                <w:lang w:val="ro-MO"/>
              </w:rPr>
              <w:t>1</w:t>
            </w:r>
            <w:r>
              <w:rPr>
                <w:b/>
                <w:sz w:val="26"/>
                <w:szCs w:val="26"/>
                <w:lang w:val="ro-MO"/>
              </w:rPr>
              <w:t>0</w:t>
            </w:r>
            <w:r w:rsidRPr="00DB542F">
              <w:rPr>
                <w:b/>
                <w:sz w:val="26"/>
                <w:szCs w:val="26"/>
                <w:lang w:val="ro-MO"/>
              </w:rPr>
              <w:t xml:space="preserve">. </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pct.7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sz w:val="26"/>
                <w:szCs w:val="26"/>
                <w:lang w:val="ro-MO"/>
              </w:rPr>
            </w:pPr>
            <w:r w:rsidRPr="00DB542F">
              <w:rPr>
                <w:sz w:val="26"/>
                <w:szCs w:val="26"/>
                <w:lang w:val="ro-MO"/>
              </w:rPr>
              <w:t>Urmează ca Raportul de evidenţă a fluxului de materiale, mărfuri şi produse finite pentru rezidenţii zonelor libere să se regăsească la un subpunct din pct.6. cu următorul cuprins:</w:t>
            </w:r>
          </w:p>
          <w:p w:rsidR="00B775F3" w:rsidRPr="00DB542F" w:rsidRDefault="00B775F3" w:rsidP="00576867">
            <w:pPr>
              <w:autoSpaceDE w:val="0"/>
              <w:autoSpaceDN w:val="0"/>
              <w:adjustRightInd w:val="0"/>
              <w:jc w:val="both"/>
              <w:rPr>
                <w:sz w:val="26"/>
                <w:szCs w:val="26"/>
                <w:lang w:val="ro-MO"/>
              </w:rPr>
            </w:pPr>
            <w:r w:rsidRPr="00DB542F">
              <w:rPr>
                <w:sz w:val="26"/>
                <w:szCs w:val="26"/>
                <w:lang w:val="ro-MO"/>
              </w:rPr>
              <w:t xml:space="preserve">„Anexa nr.1 la </w:t>
            </w:r>
            <w:proofErr w:type="spellStart"/>
            <w:r w:rsidRPr="00DB542F">
              <w:rPr>
                <w:sz w:val="26"/>
                <w:szCs w:val="26"/>
                <w:lang w:val="ro-MO"/>
              </w:rPr>
              <w:t>Hotărîrea</w:t>
            </w:r>
            <w:proofErr w:type="spellEnd"/>
            <w:r w:rsidRPr="00DB542F">
              <w:rPr>
                <w:sz w:val="26"/>
                <w:szCs w:val="26"/>
                <w:lang w:val="ro-MO"/>
              </w:rPr>
              <w:t xml:space="preserve"> Guvernului nr.1140 din 2.11.2005 se completează cu o anexă nouă 31. cu următorul cuprins:”</w:t>
            </w:r>
          </w:p>
          <w:p w:rsidR="00B775F3" w:rsidRPr="00DB542F" w:rsidRDefault="00B775F3" w:rsidP="00576867">
            <w:pPr>
              <w:autoSpaceDE w:val="0"/>
              <w:autoSpaceDN w:val="0"/>
              <w:adjustRightInd w:val="0"/>
              <w:jc w:val="both"/>
              <w:rPr>
                <w:sz w:val="26"/>
                <w:szCs w:val="26"/>
                <w:lang w:val="ro-MO"/>
              </w:rPr>
            </w:pPr>
            <w:r w:rsidRPr="00DB542F">
              <w:rPr>
                <w:sz w:val="26"/>
                <w:szCs w:val="26"/>
                <w:lang w:val="ro-MO"/>
              </w:rPr>
              <w:t>În partea ce ţine de Raportul sus-menţionat forma acestuia urmează să fie revizuită. reieşind din statutul mărfii (marfă străină sau autohtonă) şi nu a criteriului de introducere a mărfurilor în zona economică liberă - de peste frontierele Republicii Moldova sau de pe restul teritoriul Republicii Moldova.</w:t>
            </w:r>
          </w:p>
        </w:tc>
        <w:tc>
          <w:tcPr>
            <w:tcW w:w="6092" w:type="dxa"/>
            <w:tcBorders>
              <w:top w:val="single" w:sz="4" w:space="0" w:color="auto"/>
              <w:left w:val="single" w:sz="4" w:space="0" w:color="auto"/>
              <w:bottom w:val="single" w:sz="4" w:space="0" w:color="auto"/>
              <w:right w:val="single" w:sz="4" w:space="0" w:color="auto"/>
            </w:tcBorders>
          </w:tcPr>
          <w:p w:rsidR="00B775F3" w:rsidRDefault="00B775F3" w:rsidP="00576867">
            <w:pPr>
              <w:jc w:val="both"/>
              <w:rPr>
                <w:sz w:val="26"/>
                <w:szCs w:val="26"/>
                <w:lang w:val="ro-MO"/>
              </w:rPr>
            </w:pPr>
            <w:r>
              <w:rPr>
                <w:sz w:val="26"/>
                <w:szCs w:val="26"/>
                <w:lang w:val="ro-MO"/>
              </w:rPr>
              <w:t>Se acceptă parţial.</w:t>
            </w:r>
          </w:p>
          <w:p w:rsidR="00B775F3" w:rsidRPr="00DB542F" w:rsidRDefault="00B775F3" w:rsidP="00576867">
            <w:pPr>
              <w:jc w:val="both"/>
              <w:rPr>
                <w:sz w:val="26"/>
                <w:szCs w:val="26"/>
                <w:lang w:val="ro-MO"/>
              </w:rPr>
            </w:pPr>
            <w:r>
              <w:rPr>
                <w:sz w:val="26"/>
                <w:szCs w:val="26"/>
                <w:lang w:val="ro-MO"/>
              </w:rPr>
              <w:t xml:space="preserve">În pct.6 al proiectul HG a fost introdus un subpunct nou. </w:t>
            </w:r>
            <w:r w:rsidRPr="00DB542F">
              <w:rPr>
                <w:sz w:val="26"/>
                <w:szCs w:val="26"/>
                <w:lang w:val="ro-MO"/>
              </w:rPr>
              <w:t>În acelaşi timp, menţionăm că ţinerea evidenţei separate a mărfurilor autohtone şi străine nu este argumentată</w:t>
            </w:r>
            <w:r w:rsidRPr="0098743C">
              <w:rPr>
                <w:sz w:val="26"/>
                <w:szCs w:val="26"/>
                <w:lang w:val="ro-MO"/>
              </w:rPr>
              <w:t>.</w:t>
            </w:r>
          </w:p>
        </w:tc>
      </w:tr>
      <w:tr w:rsidR="00B775F3" w:rsidRPr="00DB542F" w:rsidTr="00576867">
        <w:tblPrEx>
          <w:tblCellMar>
            <w:top w:w="0" w:type="dxa"/>
            <w:bottom w:w="0" w:type="dxa"/>
          </w:tblCellMar>
        </w:tblPrEx>
        <w:trPr>
          <w:trHeight w:val="281"/>
          <w:tblHeader/>
        </w:trPr>
        <w:tc>
          <w:tcPr>
            <w:tcW w:w="633" w:type="dxa"/>
            <w:tcBorders>
              <w:top w:val="single" w:sz="4" w:space="0" w:color="auto"/>
              <w:left w:val="single" w:sz="4" w:space="0" w:color="auto"/>
              <w:bottom w:val="nil"/>
              <w:right w:val="single" w:sz="4" w:space="0" w:color="auto"/>
            </w:tcBorders>
            <w:shd w:val="pct25" w:color="auto" w:fill="FFFFFF"/>
          </w:tcPr>
          <w:p w:rsidR="00B775F3" w:rsidRPr="00DB542F" w:rsidRDefault="00B775F3" w:rsidP="00576867">
            <w:pPr>
              <w:tabs>
                <w:tab w:val="left" w:pos="1843"/>
              </w:tabs>
              <w:jc w:val="right"/>
              <w:rPr>
                <w:b/>
                <w:sz w:val="26"/>
                <w:szCs w:val="26"/>
                <w:lang w:val="ro-MO"/>
              </w:rPr>
            </w:pPr>
          </w:p>
        </w:tc>
        <w:tc>
          <w:tcPr>
            <w:tcW w:w="2039" w:type="dxa"/>
            <w:tcBorders>
              <w:top w:val="single" w:sz="4" w:space="0" w:color="auto"/>
              <w:left w:val="single" w:sz="4" w:space="0" w:color="auto"/>
              <w:bottom w:val="nil"/>
              <w:right w:val="single" w:sz="4" w:space="0" w:color="auto"/>
            </w:tcBorders>
            <w:shd w:val="pct25" w:color="auto" w:fill="FFFFFF"/>
          </w:tcPr>
          <w:p w:rsidR="00B775F3" w:rsidRPr="00DB542F" w:rsidRDefault="00B775F3" w:rsidP="00576867">
            <w:pPr>
              <w:tabs>
                <w:tab w:val="left" w:pos="1843"/>
              </w:tabs>
              <w:jc w:val="center"/>
              <w:rPr>
                <w:b/>
                <w:sz w:val="26"/>
                <w:szCs w:val="26"/>
                <w:lang w:val="ro-MO"/>
              </w:rPr>
            </w:pPr>
          </w:p>
        </w:tc>
        <w:tc>
          <w:tcPr>
            <w:tcW w:w="5619" w:type="dxa"/>
            <w:tcBorders>
              <w:top w:val="single" w:sz="4" w:space="0" w:color="auto"/>
              <w:left w:val="single" w:sz="4" w:space="0" w:color="auto"/>
              <w:bottom w:val="nil"/>
              <w:right w:val="single" w:sz="4" w:space="0" w:color="auto"/>
            </w:tcBorders>
            <w:shd w:val="pct25" w:color="auto" w:fill="FFFFFF"/>
          </w:tcPr>
          <w:p w:rsidR="00B775F3" w:rsidRPr="00DB542F" w:rsidRDefault="00B775F3" w:rsidP="00576867">
            <w:pPr>
              <w:jc w:val="center"/>
              <w:rPr>
                <w:b/>
                <w:sz w:val="26"/>
                <w:szCs w:val="26"/>
                <w:lang w:val="ro-MO"/>
              </w:rPr>
            </w:pPr>
          </w:p>
        </w:tc>
        <w:tc>
          <w:tcPr>
            <w:tcW w:w="6092" w:type="dxa"/>
            <w:tcBorders>
              <w:top w:val="single" w:sz="4" w:space="0" w:color="auto"/>
              <w:left w:val="single" w:sz="4" w:space="0" w:color="auto"/>
              <w:bottom w:val="nil"/>
              <w:right w:val="single" w:sz="4" w:space="0" w:color="auto"/>
            </w:tcBorders>
            <w:shd w:val="pct25" w:color="auto" w:fill="FFFFFF"/>
          </w:tcPr>
          <w:p w:rsidR="00B775F3" w:rsidRPr="00DB542F" w:rsidRDefault="00B775F3" w:rsidP="00576867">
            <w:pPr>
              <w:jc w:val="center"/>
              <w:rPr>
                <w:b/>
                <w:sz w:val="26"/>
                <w:szCs w:val="26"/>
                <w:lang w:val="ro-MO"/>
              </w:rPr>
            </w:pPr>
          </w:p>
        </w:tc>
      </w:tr>
      <w:tr w:rsidR="00B775F3" w:rsidRPr="00DB542F" w:rsidTr="00576867">
        <w:tblPrEx>
          <w:tblCellMar>
            <w:top w:w="0" w:type="dxa"/>
            <w:bottom w:w="0" w:type="dxa"/>
          </w:tblCellMar>
        </w:tblPrEx>
        <w:trPr>
          <w:trHeight w:val="256"/>
        </w:trPr>
        <w:tc>
          <w:tcPr>
            <w:tcW w:w="14383" w:type="dxa"/>
            <w:gridSpan w:val="4"/>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center"/>
              <w:rPr>
                <w:b/>
                <w:sz w:val="26"/>
                <w:szCs w:val="26"/>
                <w:lang w:val="ro-MO"/>
              </w:rPr>
            </w:pPr>
            <w:r w:rsidRPr="00DB542F">
              <w:rPr>
                <w:b/>
                <w:sz w:val="26"/>
                <w:szCs w:val="26"/>
                <w:lang w:val="ro-MO"/>
              </w:rPr>
              <w:t>Centrul Naţional Anticorupţie</w:t>
            </w:r>
            <w:r w:rsidRPr="00DB542F">
              <w:rPr>
                <w:b/>
                <w:color w:val="0000FF"/>
                <w:sz w:val="26"/>
                <w:szCs w:val="26"/>
                <w:lang w:val="ro-MO"/>
              </w:rPr>
              <w:t xml:space="preserve"> </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Pr>
                <w:b/>
                <w:sz w:val="26"/>
                <w:szCs w:val="26"/>
                <w:lang w:val="ro-MO"/>
              </w:rPr>
              <w:t>1</w:t>
            </w:r>
            <w:r w:rsidRPr="00DB542F">
              <w:rPr>
                <w:b/>
                <w:sz w:val="26"/>
                <w:szCs w:val="26"/>
                <w:lang w:val="ro-MO"/>
              </w:rPr>
              <w:t>.</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pct.4 </w:t>
            </w:r>
            <w:proofErr w:type="spellStart"/>
            <w:r w:rsidRPr="00DB542F">
              <w:rPr>
                <w:b/>
                <w:i/>
                <w:sz w:val="26"/>
                <w:szCs w:val="26"/>
                <w:lang w:val="ro-MO"/>
              </w:rPr>
              <w:t>subpct</w:t>
            </w:r>
            <w:proofErr w:type="spellEnd"/>
            <w:r w:rsidRPr="00DB542F">
              <w:rPr>
                <w:b/>
                <w:i/>
                <w:sz w:val="26"/>
                <w:szCs w:val="26"/>
                <w:lang w:val="ro-MO"/>
              </w:rPr>
              <w:t xml:space="preserve">. </w:t>
            </w:r>
            <w:r>
              <w:rPr>
                <w:b/>
                <w:i/>
                <w:sz w:val="26"/>
                <w:szCs w:val="26"/>
                <w:lang w:val="ro-MO"/>
              </w:rPr>
              <w:t>2</w:t>
            </w:r>
            <w:r w:rsidRPr="00DB542F">
              <w:rPr>
                <w:b/>
                <w:i/>
                <w:sz w:val="26"/>
                <w:szCs w:val="26"/>
                <w:lang w:val="ro-MO"/>
              </w:rPr>
              <w:t xml:space="preserve">)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sz w:val="26"/>
                <w:szCs w:val="26"/>
                <w:lang w:val="ro-MO"/>
              </w:rPr>
            </w:pPr>
            <w:r w:rsidRPr="00DB542F">
              <w:rPr>
                <w:sz w:val="26"/>
                <w:szCs w:val="26"/>
                <w:lang w:val="ro-MO"/>
              </w:rPr>
              <w:t xml:space="preserve">Redacţia actuală a pct.21 al regulamentului din Hotărârea Guvernului nr. 686 din 2002 prevede </w:t>
            </w:r>
            <w:r w:rsidRPr="00DB542F">
              <w:rPr>
                <w:sz w:val="26"/>
                <w:szCs w:val="26"/>
                <w:lang w:val="ro-MO"/>
              </w:rPr>
              <w:lastRenderedPageBreak/>
              <w:t>expres responsabilitatea unuia din conducătorii Administraţiei de a semna permisele de acces, însă din propunerea autorului reiese că permisele de acces vor fi semnate de către orice persoană din Administraţia zonei, chiar şi de persoane care nu au funcţii de răspundere, ceea ce provoacă riscul neasigurării unui control riguros şi adecvat al persoanelor şi mărfurilor ce intră pe perimetrul zonelor libere.</w:t>
            </w:r>
          </w:p>
        </w:tc>
        <w:tc>
          <w:tcPr>
            <w:tcW w:w="6092" w:type="dxa"/>
            <w:tcBorders>
              <w:top w:val="single" w:sz="4" w:space="0" w:color="auto"/>
              <w:left w:val="single" w:sz="4" w:space="0" w:color="auto"/>
              <w:bottom w:val="single" w:sz="4" w:space="0" w:color="auto"/>
              <w:right w:val="single" w:sz="4" w:space="0" w:color="auto"/>
            </w:tcBorders>
          </w:tcPr>
          <w:p w:rsidR="00B775F3" w:rsidRDefault="00B775F3" w:rsidP="00576867">
            <w:pPr>
              <w:jc w:val="both"/>
              <w:rPr>
                <w:sz w:val="26"/>
                <w:szCs w:val="26"/>
                <w:lang w:val="ro-MO"/>
              </w:rPr>
            </w:pPr>
            <w:r w:rsidRPr="00DB542F">
              <w:rPr>
                <w:sz w:val="26"/>
                <w:szCs w:val="26"/>
                <w:lang w:val="ro-MO"/>
              </w:rPr>
              <w:lastRenderedPageBreak/>
              <w:t>Se acceptă.</w:t>
            </w:r>
          </w:p>
          <w:p w:rsidR="00B775F3" w:rsidRPr="00DB542F" w:rsidRDefault="00B775F3" w:rsidP="00576867">
            <w:pPr>
              <w:jc w:val="both"/>
              <w:rPr>
                <w:sz w:val="26"/>
                <w:szCs w:val="26"/>
                <w:lang w:val="ro-MO"/>
              </w:rPr>
            </w:pPr>
            <w:r w:rsidRPr="00DB542F">
              <w:rPr>
                <w:sz w:val="26"/>
                <w:szCs w:val="26"/>
                <w:lang w:val="ro-MO"/>
              </w:rPr>
              <w:t xml:space="preserve">Propunerea dată </w:t>
            </w:r>
            <w:r>
              <w:rPr>
                <w:sz w:val="26"/>
                <w:szCs w:val="26"/>
                <w:lang w:val="ro-MO"/>
              </w:rPr>
              <w:t>a fost</w:t>
            </w:r>
            <w:r w:rsidRPr="00DB542F">
              <w:rPr>
                <w:sz w:val="26"/>
                <w:szCs w:val="26"/>
                <w:lang w:val="ro-MO"/>
              </w:rPr>
              <w:t xml:space="preserve"> introdusă în proiectul </w:t>
            </w:r>
            <w:proofErr w:type="spellStart"/>
            <w:r w:rsidRPr="00DB542F">
              <w:rPr>
                <w:sz w:val="26"/>
                <w:szCs w:val="26"/>
                <w:lang w:val="ro-MO"/>
              </w:rPr>
              <w:t>Hotărîrii</w:t>
            </w:r>
            <w:proofErr w:type="spellEnd"/>
            <w:r w:rsidRPr="00DB542F">
              <w:rPr>
                <w:sz w:val="26"/>
                <w:szCs w:val="26"/>
                <w:lang w:val="ro-MO"/>
              </w:rPr>
              <w:t xml:space="preserve"> </w:t>
            </w:r>
            <w:r w:rsidRPr="00DB542F">
              <w:rPr>
                <w:sz w:val="26"/>
                <w:szCs w:val="26"/>
                <w:lang w:val="ro-MO"/>
              </w:rPr>
              <w:lastRenderedPageBreak/>
              <w:t xml:space="preserve">Guvernului. </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Pr>
                <w:b/>
                <w:sz w:val="26"/>
                <w:szCs w:val="26"/>
                <w:lang w:val="ro-MO"/>
              </w:rPr>
              <w:lastRenderedPageBreak/>
              <w:t>2.</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pct.4 </w:t>
            </w:r>
            <w:proofErr w:type="spellStart"/>
            <w:r w:rsidRPr="00DB542F">
              <w:rPr>
                <w:b/>
                <w:i/>
                <w:sz w:val="26"/>
                <w:szCs w:val="26"/>
                <w:lang w:val="ro-MO"/>
              </w:rPr>
              <w:t>subpct</w:t>
            </w:r>
            <w:proofErr w:type="spellEnd"/>
            <w:r w:rsidRPr="00DB542F">
              <w:rPr>
                <w:b/>
                <w:i/>
                <w:sz w:val="26"/>
                <w:szCs w:val="26"/>
                <w:lang w:val="ro-MO"/>
              </w:rPr>
              <w:t xml:space="preserve">. </w:t>
            </w:r>
            <w:r>
              <w:rPr>
                <w:b/>
                <w:i/>
                <w:sz w:val="26"/>
                <w:szCs w:val="26"/>
                <w:lang w:val="ro-MO"/>
              </w:rPr>
              <w:t>2</w:t>
            </w:r>
            <w:r w:rsidRPr="00DB542F">
              <w:rPr>
                <w:b/>
                <w:i/>
                <w:sz w:val="26"/>
                <w:szCs w:val="26"/>
                <w:lang w:val="ro-MO"/>
              </w:rPr>
              <w:t xml:space="preserve">)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sz w:val="26"/>
                <w:szCs w:val="26"/>
                <w:lang w:val="ro-MO"/>
              </w:rPr>
            </w:pPr>
            <w:r w:rsidRPr="00DB542F">
              <w:rPr>
                <w:sz w:val="26"/>
                <w:szCs w:val="26"/>
                <w:lang w:val="ro-MO"/>
              </w:rPr>
              <w:t>Recomandăm autorului de a revizui/reformula noua redacţie a pct.23 al regulamentului aprobat prin Hotărârea Guvernului nr. 686 din 2002 (propusă la pct.4 din proiectul de hotărâre a Guvernului) astfel încât să fie substituită prepoziţia „sau” cu prevederi ce vor stabili responsabilităţile şi competenţele serviciului pază şi ale colaboratorilor postului vamal în ceea ce priveşte controlul permiselor angajaţilor, vizitatorilor şi mijloacelor de transport.</w:t>
            </w:r>
          </w:p>
        </w:tc>
        <w:tc>
          <w:tcPr>
            <w:tcW w:w="6092" w:type="dxa"/>
            <w:tcBorders>
              <w:top w:val="single" w:sz="4" w:space="0" w:color="auto"/>
              <w:left w:val="single" w:sz="4" w:space="0" w:color="auto"/>
              <w:bottom w:val="single" w:sz="4" w:space="0" w:color="auto"/>
              <w:right w:val="single" w:sz="4" w:space="0" w:color="auto"/>
            </w:tcBorders>
          </w:tcPr>
          <w:p w:rsidR="00B775F3" w:rsidRDefault="00B775F3" w:rsidP="00576867">
            <w:pPr>
              <w:jc w:val="both"/>
              <w:rPr>
                <w:sz w:val="26"/>
                <w:szCs w:val="26"/>
                <w:lang w:val="ro-MO"/>
              </w:rPr>
            </w:pPr>
            <w:r w:rsidRPr="00DB542F">
              <w:rPr>
                <w:sz w:val="26"/>
                <w:szCs w:val="26"/>
                <w:lang w:val="ro-MO"/>
              </w:rPr>
              <w:t>Se acceptă</w:t>
            </w:r>
            <w:r>
              <w:rPr>
                <w:sz w:val="26"/>
                <w:szCs w:val="26"/>
                <w:lang w:val="ro-MO"/>
              </w:rPr>
              <w:t>.</w:t>
            </w:r>
          </w:p>
          <w:p w:rsidR="00B775F3" w:rsidRPr="00DB542F" w:rsidRDefault="00B775F3" w:rsidP="00576867">
            <w:pPr>
              <w:jc w:val="both"/>
              <w:rPr>
                <w:sz w:val="26"/>
                <w:szCs w:val="26"/>
                <w:lang w:val="ro-MO"/>
              </w:rPr>
            </w:pPr>
            <w:r w:rsidRPr="00DB542F">
              <w:rPr>
                <w:sz w:val="26"/>
                <w:szCs w:val="26"/>
                <w:lang w:val="ro-MO"/>
              </w:rPr>
              <w:t xml:space="preserve">Propunerea </w:t>
            </w:r>
            <w:r>
              <w:rPr>
                <w:sz w:val="26"/>
                <w:szCs w:val="26"/>
                <w:lang w:val="ro-MO"/>
              </w:rPr>
              <w:t xml:space="preserve">dată </w:t>
            </w:r>
            <w:r w:rsidRPr="00DB542F">
              <w:rPr>
                <w:sz w:val="26"/>
                <w:szCs w:val="26"/>
                <w:lang w:val="ro-MO"/>
              </w:rPr>
              <w:t>a f</w:t>
            </w:r>
            <w:r>
              <w:rPr>
                <w:sz w:val="26"/>
                <w:szCs w:val="26"/>
                <w:lang w:val="ro-MO"/>
              </w:rPr>
              <w:t>ost</w:t>
            </w:r>
            <w:r w:rsidRPr="00DB542F">
              <w:rPr>
                <w:sz w:val="26"/>
                <w:szCs w:val="26"/>
                <w:lang w:val="ro-MO"/>
              </w:rPr>
              <w:t xml:space="preserve"> introdusă în proiectul </w:t>
            </w:r>
            <w:proofErr w:type="spellStart"/>
            <w:r w:rsidRPr="00DB542F">
              <w:rPr>
                <w:sz w:val="26"/>
                <w:szCs w:val="26"/>
                <w:lang w:val="ro-MO"/>
              </w:rPr>
              <w:t>Hotărîrii</w:t>
            </w:r>
            <w:proofErr w:type="spellEnd"/>
            <w:r w:rsidRPr="00DB542F">
              <w:rPr>
                <w:sz w:val="26"/>
                <w:szCs w:val="26"/>
                <w:lang w:val="ro-MO"/>
              </w:rPr>
              <w:t xml:space="preserve"> Guvernului.</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Pr>
                <w:b/>
                <w:sz w:val="26"/>
                <w:szCs w:val="26"/>
                <w:lang w:val="ro-MO"/>
              </w:rPr>
              <w:t>3</w:t>
            </w:r>
            <w:r w:rsidRPr="00DB542F">
              <w:rPr>
                <w:b/>
                <w:sz w:val="26"/>
                <w:szCs w:val="26"/>
                <w:lang w:val="ro-MO"/>
              </w:rPr>
              <w:t>.</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pct.5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sz w:val="26"/>
                <w:szCs w:val="26"/>
                <w:lang w:val="ro-MO"/>
              </w:rPr>
            </w:pPr>
            <w:r w:rsidRPr="00DB542F">
              <w:rPr>
                <w:sz w:val="26"/>
                <w:szCs w:val="26"/>
                <w:lang w:val="ro-MO"/>
              </w:rPr>
              <w:t>Nu au fost regăsite careva argumente în favoarea excluderii din textul pct.16</w:t>
            </w:r>
            <w:r w:rsidRPr="00DB542F">
              <w:rPr>
                <w:sz w:val="26"/>
                <w:szCs w:val="26"/>
                <w:vertAlign w:val="superscript"/>
                <w:lang w:val="ro-MO"/>
              </w:rPr>
              <w:t>2</w:t>
            </w:r>
            <w:r w:rsidRPr="00DB542F">
              <w:rPr>
                <w:sz w:val="26"/>
                <w:szCs w:val="26"/>
                <w:lang w:val="ro-MO"/>
              </w:rPr>
              <w:t xml:space="preserve"> din regulamentul prevăzut la Hotărârea Guvernului nr.1599 din 2002 a normelor de trimitere la Legea nr.1380-XIII din 20.11.1997 cu privire la tariful vamal şi la Nomenclatorul mărfurilor al Republicii Moldova (aprobat prin Hotărârea Guvernului nr.1525 din 29.12.2007).</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lang w:val="ro-MO"/>
              </w:rPr>
            </w:pPr>
            <w:r w:rsidRPr="00DB542F">
              <w:rPr>
                <w:sz w:val="26"/>
                <w:szCs w:val="26"/>
                <w:lang w:val="ro-MO"/>
              </w:rPr>
              <w:t>Referinţa la Legea cu privire la tariful vamal nr.1380-XIII din 20 noiembrie 1997 în pct.16</w:t>
            </w:r>
            <w:r w:rsidRPr="00DB542F">
              <w:rPr>
                <w:sz w:val="26"/>
                <w:szCs w:val="26"/>
                <w:vertAlign w:val="superscript"/>
                <w:lang w:val="ro-MO"/>
              </w:rPr>
              <w:t>2</w:t>
            </w:r>
            <w:r w:rsidRPr="00DB542F">
              <w:rPr>
                <w:sz w:val="26"/>
                <w:szCs w:val="26"/>
                <w:lang w:val="ro-MO"/>
              </w:rPr>
              <w:t xml:space="preserve"> din Hotărârea Guvernului cu privire la regulile de origine a mărfurilor nr.1599 din 13 decembrie 2002 a fost exclusă, deoarece odată cu intrarea în vigoarea a Legii pentru modificarea şi completarea unor acte normative nr.307 din 26 decembrie 2012 s-a introdus sintagma „mărfuri produse în zona liberă”, care este utilizată în Codul vamal, fiscal şi în Legea cu privire la tariful vamal.</w:t>
            </w:r>
          </w:p>
          <w:p w:rsidR="00B775F3" w:rsidRPr="00DB542F" w:rsidRDefault="00B775F3" w:rsidP="00576867">
            <w:pPr>
              <w:jc w:val="both"/>
              <w:rPr>
                <w:sz w:val="26"/>
                <w:szCs w:val="26"/>
                <w:lang w:val="ro-MO"/>
              </w:rPr>
            </w:pPr>
            <w:r w:rsidRPr="00DB542F">
              <w:rPr>
                <w:sz w:val="26"/>
                <w:szCs w:val="26"/>
                <w:lang w:val="ro-MO"/>
              </w:rPr>
              <w:t xml:space="preserve">În acelaşi timp, noţiunea de „mărfuri produse în zona liberă” nu a fost prevăzută în legislaţie. În această </w:t>
            </w:r>
            <w:r w:rsidRPr="00DB542F">
              <w:rPr>
                <w:sz w:val="26"/>
                <w:szCs w:val="26"/>
                <w:lang w:val="ro-MO"/>
              </w:rPr>
              <w:lastRenderedPageBreak/>
              <w:t>ordine de idei, se propune o serie de modificări la pct.16</w:t>
            </w:r>
            <w:r w:rsidRPr="00DB542F">
              <w:rPr>
                <w:sz w:val="26"/>
                <w:szCs w:val="26"/>
                <w:vertAlign w:val="superscript"/>
                <w:lang w:val="ro-MO"/>
              </w:rPr>
              <w:t>1</w:t>
            </w:r>
            <w:r w:rsidRPr="00DB542F">
              <w:rPr>
                <w:sz w:val="26"/>
                <w:szCs w:val="26"/>
                <w:lang w:val="ro-MO"/>
              </w:rPr>
              <w:t>-16</w:t>
            </w:r>
            <w:r w:rsidRPr="00DB542F">
              <w:rPr>
                <w:sz w:val="26"/>
                <w:szCs w:val="26"/>
                <w:vertAlign w:val="superscript"/>
                <w:lang w:val="ro-MO"/>
              </w:rPr>
              <w:t>5</w:t>
            </w:r>
            <w:r w:rsidRPr="00DB542F">
              <w:rPr>
                <w:sz w:val="26"/>
                <w:szCs w:val="26"/>
                <w:lang w:val="ro-MO"/>
              </w:rPr>
              <w:t xml:space="preserve"> din HG nr.1599 din decembrie 2002 ce sunt ajustate în conformitate cu Legea nr.307 din decembrie 2012, deoarece acesta este necesar pentru identificarea situaţiilor în care rezidenţii zonelor economice libere vor primi facilităţi.</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Pr>
                <w:b/>
                <w:sz w:val="26"/>
                <w:szCs w:val="26"/>
                <w:lang w:val="ro-MO"/>
              </w:rPr>
              <w:lastRenderedPageBreak/>
              <w:t>4</w:t>
            </w:r>
            <w:r w:rsidRPr="00DB542F">
              <w:rPr>
                <w:b/>
                <w:sz w:val="26"/>
                <w:szCs w:val="26"/>
                <w:lang w:val="ro-MO"/>
              </w:rPr>
              <w:t>.</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pct.6, </w:t>
            </w:r>
            <w:proofErr w:type="spellStart"/>
            <w:r w:rsidRPr="00DB542F">
              <w:rPr>
                <w:b/>
                <w:i/>
                <w:sz w:val="26"/>
                <w:szCs w:val="26"/>
                <w:lang w:val="ro-MO"/>
              </w:rPr>
              <w:t>subpct</w:t>
            </w:r>
            <w:proofErr w:type="spellEnd"/>
            <w:r w:rsidRPr="00DB542F">
              <w:rPr>
                <w:b/>
                <w:i/>
                <w:sz w:val="26"/>
                <w:szCs w:val="26"/>
                <w:lang w:val="ro-MO"/>
              </w:rPr>
              <w:t xml:space="preserve">. 3 şi 8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sz w:val="26"/>
                <w:szCs w:val="26"/>
                <w:lang w:val="ro-MO"/>
              </w:rPr>
            </w:pPr>
            <w:r w:rsidRPr="00DB542F">
              <w:rPr>
                <w:sz w:val="26"/>
                <w:szCs w:val="26"/>
                <w:lang w:val="ro-MO"/>
              </w:rPr>
              <w:t>Autorul nu a argumentat necesitatea modificării punctelor 310 şi 322 din Regulamentul de aplicare a destinaţiilor vamale aprobat prin Hotărârea Guvernului nr. 1140 din 02.11.2005. În rezultatul modificărilor respective considerăm că se va admite introducerea pe perimetrul zonelor libere a mărfurilor prohibite în acest sens, precum şi se va exclude responsabilitatea unor persoane în ceea ce priveşte luarea de măsuri (inclusiv şi distrugerea mărfurilor) pentru evitarea consecinţelor grave pentru sănătatea oamenilor şi a încălcării normelor ecologice şi de altă natură.</w:t>
            </w:r>
          </w:p>
        </w:tc>
        <w:tc>
          <w:tcPr>
            <w:tcW w:w="6092" w:type="dxa"/>
            <w:tcBorders>
              <w:top w:val="single" w:sz="4" w:space="0" w:color="auto"/>
              <w:left w:val="single" w:sz="4" w:space="0" w:color="auto"/>
              <w:bottom w:val="single" w:sz="4" w:space="0" w:color="auto"/>
              <w:right w:val="single" w:sz="4" w:space="0" w:color="auto"/>
            </w:tcBorders>
          </w:tcPr>
          <w:p w:rsidR="00B775F3" w:rsidRPr="00AF0532" w:rsidRDefault="00B775F3" w:rsidP="00576867">
            <w:pPr>
              <w:jc w:val="both"/>
              <w:rPr>
                <w:sz w:val="26"/>
                <w:szCs w:val="26"/>
                <w:lang w:val="ro-MO"/>
              </w:rPr>
            </w:pPr>
            <w:r w:rsidRPr="00AF0532">
              <w:rPr>
                <w:sz w:val="26"/>
                <w:szCs w:val="26"/>
                <w:lang w:val="ro-MO"/>
              </w:rPr>
              <w:t xml:space="preserve">Modificarea pct.310 din Regulamentul de aplicare a destinaţiilor vamale aprobat prin Hotărârea Guvernului nr. 1140 din 2 noiembrie 2005 reiese din Art.1 pct.6 alin.(14) al Legii pentru modificarea şi completarea unor acte normative nr.307 din 26 decembrie 2012. În conformitate cu legea nominalizată se ajustează actele normative ale Guvernului. </w:t>
            </w:r>
          </w:p>
          <w:p w:rsidR="00B775F3" w:rsidRPr="00AF0532" w:rsidRDefault="00B775F3" w:rsidP="00576867">
            <w:pPr>
              <w:jc w:val="both"/>
              <w:rPr>
                <w:sz w:val="26"/>
                <w:szCs w:val="26"/>
                <w:lang w:val="ro-MO"/>
              </w:rPr>
            </w:pPr>
            <w:r w:rsidRPr="00AF0532">
              <w:rPr>
                <w:sz w:val="26"/>
                <w:szCs w:val="26"/>
                <w:lang w:val="ro-MO"/>
              </w:rPr>
              <w:t>Ce ţine de modificarea pct. 322 menţionăm</w:t>
            </w:r>
            <w:r>
              <w:rPr>
                <w:sz w:val="26"/>
                <w:szCs w:val="26"/>
                <w:lang w:val="ro-MO"/>
              </w:rPr>
              <w:t>,</w:t>
            </w:r>
            <w:r w:rsidRPr="00AF0532">
              <w:rPr>
                <w:sz w:val="26"/>
                <w:szCs w:val="26"/>
                <w:lang w:val="ro-MO"/>
              </w:rPr>
              <w:t xml:space="preserve"> că scopul controlului vamal este specificat în alte acte normative. Astfel, art.7 alin.(9) din Legea cu privire la zo</w:t>
            </w:r>
            <w:r>
              <w:rPr>
                <w:sz w:val="26"/>
                <w:szCs w:val="26"/>
                <w:lang w:val="ro-MO"/>
              </w:rPr>
              <w:t>nele economice libere, nr.440-</w:t>
            </w:r>
            <w:r w:rsidRPr="00AF0532">
              <w:rPr>
                <w:sz w:val="26"/>
                <w:szCs w:val="26"/>
                <w:lang w:val="ro-MO"/>
              </w:rPr>
              <w:t>XV din 27 iulie 2001 stabileşte lista mărfurilor şi obiectelor interzise pe teritoriul zonelor economice libere.</w:t>
            </w:r>
          </w:p>
          <w:p w:rsidR="00B775F3" w:rsidRPr="00AF0532" w:rsidRDefault="00B775F3" w:rsidP="00576867">
            <w:pPr>
              <w:jc w:val="both"/>
              <w:rPr>
                <w:sz w:val="26"/>
                <w:szCs w:val="26"/>
                <w:lang w:val="ro-MO"/>
              </w:rPr>
            </w:pPr>
            <w:r w:rsidRPr="00AF0532">
              <w:rPr>
                <w:sz w:val="26"/>
                <w:szCs w:val="26"/>
                <w:lang w:val="ro-MO"/>
              </w:rPr>
              <w:t>În afara de aceasta, redacţia actuală nu acoperă toate scopurile puse în sarcina Serviciului Vamal.</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Pr>
                <w:b/>
                <w:sz w:val="26"/>
                <w:szCs w:val="26"/>
                <w:lang w:val="ro-MO"/>
              </w:rPr>
              <w:t>5</w:t>
            </w:r>
            <w:r w:rsidRPr="00DB542F">
              <w:rPr>
                <w:b/>
                <w:sz w:val="26"/>
                <w:szCs w:val="26"/>
                <w:lang w:val="ro-MO"/>
              </w:rPr>
              <w:t>.</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pct.6, </w:t>
            </w:r>
            <w:proofErr w:type="spellStart"/>
            <w:r w:rsidRPr="00DB542F">
              <w:rPr>
                <w:b/>
                <w:i/>
                <w:sz w:val="26"/>
                <w:szCs w:val="26"/>
                <w:lang w:val="ro-MO"/>
              </w:rPr>
              <w:t>subpct</w:t>
            </w:r>
            <w:proofErr w:type="spellEnd"/>
            <w:r w:rsidRPr="00DB542F">
              <w:rPr>
                <w:b/>
                <w:i/>
                <w:sz w:val="26"/>
                <w:szCs w:val="26"/>
                <w:lang w:val="ro-MO"/>
              </w:rPr>
              <w:t xml:space="preserve">. 4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sz w:val="26"/>
                <w:szCs w:val="26"/>
                <w:lang w:val="ro-MO"/>
              </w:rPr>
            </w:pPr>
            <w:r w:rsidRPr="00DB542F">
              <w:rPr>
                <w:sz w:val="26"/>
                <w:szCs w:val="26"/>
                <w:lang w:val="ro-MO"/>
              </w:rPr>
              <w:t xml:space="preserve">În vederea sporii aplicabilităţii normei analizate, precum şi pentru a preveni oportunităţile de manifestare a comportamentului discreţionar în vederea obţinerii de avantaje necuvenite, considerăm necesar ca în textul propus la subpct.4) al pct.6 din proiectul hotărârii de Guvern a) să fie substituită sintagma „este în drept să permită” cu cuvântul „permite”, sau să fie inserate prevederi </w:t>
            </w:r>
            <w:r w:rsidRPr="00DB542F">
              <w:rPr>
                <w:sz w:val="26"/>
                <w:szCs w:val="26"/>
                <w:lang w:val="ro-MO"/>
              </w:rPr>
              <w:lastRenderedPageBreak/>
              <w:t>concrete ce vor determina circumstanţele ce pot influenţa permisiunea (decizia) Administraţiei zonei libere referitoare la efectuarea de către nerezidenţi a lucrărilor (prestării serviciilor) de dezvoltare a infrastructurii zonei.</w:t>
            </w:r>
          </w:p>
        </w:tc>
        <w:tc>
          <w:tcPr>
            <w:tcW w:w="6092" w:type="dxa"/>
            <w:tcBorders>
              <w:top w:val="single" w:sz="4" w:space="0" w:color="auto"/>
              <w:left w:val="single" w:sz="4" w:space="0" w:color="auto"/>
              <w:bottom w:val="single" w:sz="4" w:space="0" w:color="auto"/>
              <w:right w:val="single" w:sz="4" w:space="0" w:color="auto"/>
            </w:tcBorders>
          </w:tcPr>
          <w:p w:rsidR="00B775F3" w:rsidRDefault="00B775F3" w:rsidP="00576867">
            <w:pPr>
              <w:jc w:val="both"/>
              <w:rPr>
                <w:sz w:val="26"/>
                <w:szCs w:val="26"/>
                <w:lang w:val="ro-MO"/>
              </w:rPr>
            </w:pPr>
            <w:r>
              <w:rPr>
                <w:sz w:val="26"/>
                <w:szCs w:val="26"/>
                <w:lang w:val="ro-MO"/>
              </w:rPr>
              <w:lastRenderedPageBreak/>
              <w:t>Nu se acceptă.</w:t>
            </w:r>
          </w:p>
          <w:p w:rsidR="00B775F3" w:rsidRPr="00DB542F" w:rsidRDefault="00B775F3" w:rsidP="00576867">
            <w:pPr>
              <w:jc w:val="both"/>
              <w:rPr>
                <w:sz w:val="26"/>
                <w:szCs w:val="26"/>
                <w:lang w:val="ro-MO"/>
              </w:rPr>
            </w:pPr>
            <w:r w:rsidRPr="00DB542F">
              <w:rPr>
                <w:sz w:val="26"/>
                <w:szCs w:val="26"/>
                <w:lang w:val="ro-MO"/>
              </w:rPr>
              <w:t>Redacţia acestui subpunct reiese din Art.1 pct. 5 al Legii pentru modificarea şi completarea unor acte normative nr.307 din 26 decembrie 2012, respectiv,  prin aceasta se aduce actele normative ale Guvernului în conformitate cu legea nominalizată.</w:t>
            </w:r>
          </w:p>
          <w:p w:rsidR="00B775F3" w:rsidRPr="00DB542F" w:rsidRDefault="00B775F3" w:rsidP="00576867">
            <w:pPr>
              <w:jc w:val="both"/>
              <w:rPr>
                <w:sz w:val="26"/>
                <w:szCs w:val="26"/>
                <w:lang w:val="ro-MO"/>
              </w:rPr>
            </w:pPr>
            <w:r w:rsidRPr="00DB542F">
              <w:rPr>
                <w:sz w:val="26"/>
                <w:szCs w:val="26"/>
                <w:lang w:val="ro-MO"/>
              </w:rPr>
              <w:t xml:space="preserve">Totodată, menţionăm că propunerea Centrului Naţional Anticorupţie poate fi luată în considerare pe viitor </w:t>
            </w:r>
            <w:r w:rsidRPr="00DB542F">
              <w:rPr>
                <w:sz w:val="26"/>
                <w:szCs w:val="26"/>
                <w:lang w:val="ro-MO"/>
              </w:rPr>
              <w:lastRenderedPageBreak/>
              <w:t>pentru îmbunătăţirea legislaţiei.</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shd w:val="pct25" w:color="auto" w:fill="FFFFFF"/>
          </w:tcPr>
          <w:p w:rsidR="00B775F3" w:rsidRPr="00DB542F" w:rsidRDefault="00B775F3" w:rsidP="00576867">
            <w:pPr>
              <w:jc w:val="right"/>
              <w:rPr>
                <w:b/>
                <w:sz w:val="26"/>
                <w:szCs w:val="26"/>
                <w:lang w:val="ro-MO"/>
              </w:rPr>
            </w:pPr>
          </w:p>
        </w:tc>
        <w:tc>
          <w:tcPr>
            <w:tcW w:w="2039" w:type="dxa"/>
            <w:tcBorders>
              <w:top w:val="single" w:sz="4" w:space="0" w:color="auto"/>
              <w:left w:val="single" w:sz="4" w:space="0" w:color="auto"/>
              <w:bottom w:val="single" w:sz="4" w:space="0" w:color="auto"/>
              <w:right w:val="single" w:sz="4" w:space="0" w:color="auto"/>
            </w:tcBorders>
            <w:shd w:val="pct25" w:color="auto" w:fill="FFFFFF"/>
          </w:tcPr>
          <w:p w:rsidR="00B775F3" w:rsidRPr="00DB542F" w:rsidRDefault="00B775F3" w:rsidP="00576867">
            <w:pPr>
              <w:jc w:val="both"/>
              <w:rPr>
                <w:b/>
                <w:i/>
                <w:sz w:val="26"/>
                <w:szCs w:val="26"/>
                <w:lang w:val="ro-MO"/>
              </w:rPr>
            </w:pPr>
          </w:p>
        </w:tc>
        <w:tc>
          <w:tcPr>
            <w:tcW w:w="5619" w:type="dxa"/>
            <w:tcBorders>
              <w:top w:val="single" w:sz="4" w:space="0" w:color="auto"/>
              <w:left w:val="single" w:sz="4" w:space="0" w:color="auto"/>
              <w:bottom w:val="single" w:sz="4" w:space="0" w:color="auto"/>
              <w:right w:val="single" w:sz="4" w:space="0" w:color="auto"/>
            </w:tcBorders>
            <w:shd w:val="pct25" w:color="auto" w:fill="FFFFFF"/>
          </w:tcPr>
          <w:p w:rsidR="00B775F3" w:rsidRPr="00DB542F" w:rsidRDefault="00B775F3" w:rsidP="00576867">
            <w:pPr>
              <w:autoSpaceDE w:val="0"/>
              <w:autoSpaceDN w:val="0"/>
              <w:adjustRightInd w:val="0"/>
              <w:jc w:val="both"/>
              <w:rPr>
                <w:sz w:val="26"/>
                <w:szCs w:val="26"/>
                <w:lang w:val="ro-MO"/>
              </w:rPr>
            </w:pPr>
          </w:p>
        </w:tc>
        <w:tc>
          <w:tcPr>
            <w:tcW w:w="6092" w:type="dxa"/>
            <w:tcBorders>
              <w:top w:val="single" w:sz="4" w:space="0" w:color="auto"/>
              <w:left w:val="single" w:sz="4" w:space="0" w:color="auto"/>
              <w:bottom w:val="single" w:sz="4" w:space="0" w:color="auto"/>
              <w:right w:val="single" w:sz="4" w:space="0" w:color="auto"/>
            </w:tcBorders>
            <w:shd w:val="pct25" w:color="auto" w:fill="FFFFFF"/>
          </w:tcPr>
          <w:p w:rsidR="00B775F3" w:rsidRPr="00DB542F" w:rsidRDefault="00B775F3" w:rsidP="00576867">
            <w:pPr>
              <w:jc w:val="both"/>
              <w:rPr>
                <w:sz w:val="26"/>
                <w:szCs w:val="26"/>
                <w:lang w:val="ro-MO"/>
              </w:rPr>
            </w:pPr>
          </w:p>
        </w:tc>
      </w:tr>
      <w:tr w:rsidR="00B775F3" w:rsidRPr="00DB542F" w:rsidTr="00576867">
        <w:tblPrEx>
          <w:tblCellMar>
            <w:top w:w="0" w:type="dxa"/>
            <w:bottom w:w="0" w:type="dxa"/>
          </w:tblCellMar>
        </w:tblPrEx>
        <w:trPr>
          <w:trHeight w:val="256"/>
        </w:trPr>
        <w:tc>
          <w:tcPr>
            <w:tcW w:w="14383" w:type="dxa"/>
            <w:gridSpan w:val="4"/>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center"/>
              <w:rPr>
                <w:b/>
                <w:sz w:val="26"/>
                <w:szCs w:val="26"/>
                <w:lang w:val="ro-MO"/>
              </w:rPr>
            </w:pPr>
            <w:r w:rsidRPr="00DB542F">
              <w:rPr>
                <w:b/>
                <w:sz w:val="26"/>
                <w:szCs w:val="26"/>
                <w:lang w:val="ro-MO"/>
              </w:rPr>
              <w:t>Ministerul Justiţiei</w:t>
            </w:r>
            <w:r w:rsidRPr="00DB542F">
              <w:rPr>
                <w:b/>
                <w:color w:val="0000FF"/>
                <w:sz w:val="26"/>
                <w:szCs w:val="26"/>
                <w:lang w:val="ro-MO"/>
              </w:rPr>
              <w:t xml:space="preserve"> </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sidRPr="00DB542F">
              <w:rPr>
                <w:b/>
                <w:sz w:val="26"/>
                <w:szCs w:val="26"/>
                <w:lang w:val="ro-MO"/>
              </w:rPr>
              <w:t>1.</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La general</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iCs/>
                <w:sz w:val="26"/>
                <w:szCs w:val="26"/>
                <w:lang w:val="ro-MO"/>
              </w:rPr>
            </w:pPr>
            <w:r w:rsidRPr="00DB542F">
              <w:rPr>
                <w:iCs/>
                <w:sz w:val="26"/>
                <w:szCs w:val="26"/>
                <w:lang w:val="ro-MO"/>
              </w:rPr>
              <w:t>Considerăm oportună coordonarea acestui proiect cu Consiliul Concurentei.</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lang w:val="ro-MO"/>
              </w:rPr>
            </w:pPr>
            <w:r w:rsidRPr="00DB542F">
              <w:rPr>
                <w:sz w:val="26"/>
                <w:szCs w:val="26"/>
                <w:lang w:val="ro-MO"/>
              </w:rPr>
              <w:t xml:space="preserve">Nu se acceptă, </w:t>
            </w:r>
            <w:proofErr w:type="spellStart"/>
            <w:r w:rsidRPr="00DB542F">
              <w:rPr>
                <w:sz w:val="26"/>
                <w:szCs w:val="26"/>
                <w:lang w:val="ro-MO"/>
              </w:rPr>
              <w:t>întrucît</w:t>
            </w:r>
            <w:proofErr w:type="spellEnd"/>
            <w:r w:rsidRPr="00DB542F">
              <w:rPr>
                <w:sz w:val="26"/>
                <w:szCs w:val="26"/>
                <w:lang w:val="ro-MO"/>
              </w:rPr>
              <w:t xml:space="preserve"> proiectul de lege nu stabileşte norme sau prevederi ce ţin nemijlocit de atribuţiile funcţionale ale Consiliul Concurenţei. Mai mult, amendament</w:t>
            </w:r>
            <w:r>
              <w:rPr>
                <w:sz w:val="26"/>
                <w:szCs w:val="26"/>
                <w:lang w:val="ro-MO"/>
              </w:rPr>
              <w:t xml:space="preserve">ele actelor legislative nu introduc norme noi, ci </w:t>
            </w:r>
            <w:r w:rsidRPr="00DB542F">
              <w:rPr>
                <w:sz w:val="26"/>
                <w:szCs w:val="26"/>
                <w:lang w:val="ro-MO"/>
              </w:rPr>
              <w:t>vin întru ajustarea acestora cu modificările şi completările aprobate prin Legea nr. 307 din 26 decembrie 2012 cu privire la modificarea şi completarea unor acte normative.</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sidRPr="00DB542F">
              <w:rPr>
                <w:b/>
                <w:sz w:val="26"/>
                <w:szCs w:val="26"/>
                <w:lang w:val="ro-MO"/>
              </w:rPr>
              <w:t>2.</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La pr. HG</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iCs/>
                <w:sz w:val="26"/>
                <w:szCs w:val="26"/>
                <w:lang w:val="ro-MO"/>
              </w:rPr>
            </w:pPr>
            <w:r w:rsidRPr="00DB542F">
              <w:rPr>
                <w:iCs/>
                <w:sz w:val="26"/>
                <w:szCs w:val="26"/>
                <w:lang w:val="ro-MO"/>
              </w:rPr>
              <w:t>Unele amendamente din proiect reies din proiectul legii ce vizează modificarea Legii nr. 440 din 27 iulie 2007, care încă nu au fost aprobate. Astfel, amendamentele respective urmează a fi precedate adoptării proiectului legii pentru modificarea şi completarea unor acte legislative.</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lang w:val="ro-MO"/>
              </w:rPr>
            </w:pPr>
            <w:r>
              <w:rPr>
                <w:sz w:val="26"/>
                <w:szCs w:val="26"/>
                <w:lang w:val="ro-MO"/>
              </w:rPr>
              <w:t>Punctul 6, sbpct.12) a fost exclus.</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sidRPr="00DB542F">
              <w:rPr>
                <w:b/>
                <w:sz w:val="26"/>
                <w:szCs w:val="26"/>
                <w:lang w:val="ro-MO"/>
              </w:rPr>
              <w:t>3.</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La pr. HG</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iCs/>
                <w:sz w:val="26"/>
                <w:szCs w:val="26"/>
                <w:lang w:val="ro-MO"/>
              </w:rPr>
            </w:pPr>
            <w:r w:rsidRPr="00DB542F">
              <w:rPr>
                <w:iCs/>
                <w:sz w:val="26"/>
                <w:szCs w:val="26"/>
                <w:lang w:val="ro-MO"/>
              </w:rPr>
              <w:t xml:space="preserve">Se va revedea temeiul legal indicat la clauza de emitere, </w:t>
            </w:r>
            <w:proofErr w:type="spellStart"/>
            <w:r w:rsidRPr="00DB542F">
              <w:rPr>
                <w:iCs/>
                <w:sz w:val="26"/>
                <w:szCs w:val="26"/>
                <w:lang w:val="ro-MO"/>
              </w:rPr>
              <w:t>întrucît</w:t>
            </w:r>
            <w:proofErr w:type="spellEnd"/>
            <w:r w:rsidRPr="00DB542F">
              <w:rPr>
                <w:iCs/>
                <w:sz w:val="26"/>
                <w:szCs w:val="26"/>
                <w:lang w:val="ro-MO"/>
              </w:rPr>
              <w:t xml:space="preserve"> ca temei legal urmează a fi indicat actul legislativ de bază întru executarea căruia se emite </w:t>
            </w:r>
            <w:proofErr w:type="spellStart"/>
            <w:r w:rsidRPr="00DB542F">
              <w:rPr>
                <w:iCs/>
                <w:sz w:val="26"/>
                <w:szCs w:val="26"/>
                <w:lang w:val="ro-MO"/>
              </w:rPr>
              <w:t>hotărîrea</w:t>
            </w:r>
            <w:proofErr w:type="spellEnd"/>
            <w:r w:rsidRPr="00DB542F">
              <w:rPr>
                <w:iCs/>
                <w:sz w:val="26"/>
                <w:szCs w:val="26"/>
                <w:lang w:val="ro-MO"/>
              </w:rPr>
              <w:t xml:space="preserve"> respectivă, ci nu actul de modificare sau completare a acestuia.</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lang w:val="ro-MO"/>
              </w:rPr>
            </w:pPr>
            <w:r w:rsidRPr="00DB542F">
              <w:rPr>
                <w:sz w:val="26"/>
                <w:szCs w:val="26"/>
                <w:lang w:val="ro-MO"/>
              </w:rPr>
              <w:t>Se acceptă.</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sidRPr="00DB542F">
              <w:rPr>
                <w:b/>
                <w:sz w:val="26"/>
                <w:szCs w:val="26"/>
                <w:lang w:val="ro-MO"/>
              </w:rPr>
              <w:t>4.</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pct.4 </w:t>
            </w:r>
            <w:proofErr w:type="spellStart"/>
            <w:r w:rsidRPr="00DB542F">
              <w:rPr>
                <w:b/>
                <w:i/>
                <w:iCs/>
                <w:sz w:val="26"/>
                <w:szCs w:val="26"/>
                <w:lang w:val="ro-MO"/>
              </w:rPr>
              <w:t>sbp</w:t>
            </w:r>
            <w:proofErr w:type="spellEnd"/>
            <w:r w:rsidRPr="00DB542F">
              <w:rPr>
                <w:b/>
                <w:i/>
                <w:iCs/>
                <w:sz w:val="26"/>
                <w:szCs w:val="26"/>
                <w:lang w:val="ro-MO"/>
              </w:rPr>
              <w:t>. 1)</w:t>
            </w:r>
            <w:r w:rsidRPr="00DB542F">
              <w:rPr>
                <w:iCs/>
                <w:sz w:val="26"/>
                <w:szCs w:val="26"/>
                <w:lang w:val="ro-MO"/>
              </w:rPr>
              <w:t xml:space="preserve">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iCs/>
                <w:sz w:val="26"/>
                <w:szCs w:val="26"/>
                <w:lang w:val="ro-MO"/>
              </w:rPr>
            </w:pPr>
            <w:r w:rsidRPr="00DB542F">
              <w:rPr>
                <w:iCs/>
                <w:sz w:val="26"/>
                <w:szCs w:val="26"/>
                <w:lang w:val="ro-MO"/>
              </w:rPr>
              <w:t xml:space="preserve">Se va concretiza amendamentul propus la pct. 1, </w:t>
            </w:r>
            <w:proofErr w:type="spellStart"/>
            <w:r w:rsidRPr="00DB542F">
              <w:rPr>
                <w:iCs/>
                <w:sz w:val="26"/>
                <w:szCs w:val="26"/>
                <w:lang w:val="ro-MO"/>
              </w:rPr>
              <w:t>întrucît</w:t>
            </w:r>
            <w:proofErr w:type="spellEnd"/>
            <w:r w:rsidRPr="00DB542F">
              <w:rPr>
                <w:iCs/>
                <w:sz w:val="26"/>
                <w:szCs w:val="26"/>
                <w:lang w:val="ro-MO"/>
              </w:rPr>
              <w:t xml:space="preserve"> nu se regăseşte în textul actului normativ.</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lang w:val="ro-MO"/>
              </w:rPr>
            </w:pPr>
            <w:r w:rsidRPr="00DB542F">
              <w:rPr>
                <w:sz w:val="26"/>
                <w:szCs w:val="26"/>
                <w:lang w:val="ro-MO"/>
              </w:rPr>
              <w:t>Se acceptă.</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sidRPr="00DB542F">
              <w:rPr>
                <w:b/>
                <w:sz w:val="26"/>
                <w:szCs w:val="26"/>
                <w:lang w:val="ro-MO"/>
              </w:rPr>
              <w:lastRenderedPageBreak/>
              <w:t>5.</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pct.4 </w:t>
            </w:r>
            <w:proofErr w:type="spellStart"/>
            <w:r w:rsidRPr="00DB542F">
              <w:rPr>
                <w:b/>
                <w:i/>
                <w:iCs/>
                <w:sz w:val="26"/>
                <w:szCs w:val="26"/>
                <w:lang w:val="ro-MO"/>
              </w:rPr>
              <w:t>sbp</w:t>
            </w:r>
            <w:proofErr w:type="spellEnd"/>
            <w:r w:rsidRPr="00DB542F">
              <w:rPr>
                <w:b/>
                <w:i/>
                <w:iCs/>
                <w:sz w:val="26"/>
                <w:szCs w:val="26"/>
                <w:lang w:val="ro-MO"/>
              </w:rPr>
              <w:t>. 2)</w:t>
            </w:r>
            <w:r w:rsidRPr="00DB542F">
              <w:rPr>
                <w:iCs/>
                <w:sz w:val="26"/>
                <w:szCs w:val="26"/>
                <w:lang w:val="ro-MO"/>
              </w:rPr>
              <w:t xml:space="preserve">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iCs/>
                <w:sz w:val="26"/>
                <w:szCs w:val="26"/>
                <w:lang w:val="ro-MO"/>
              </w:rPr>
            </w:pPr>
            <w:r w:rsidRPr="00DB542F">
              <w:rPr>
                <w:iCs/>
                <w:sz w:val="26"/>
                <w:szCs w:val="26"/>
                <w:lang w:val="ro-MO"/>
              </w:rPr>
              <w:t>Se va indica corect,,</w:t>
            </w:r>
            <w:r w:rsidRPr="00DB542F">
              <w:rPr>
                <w:i/>
                <w:sz w:val="26"/>
                <w:szCs w:val="26"/>
                <w:lang w:val="ro-MO"/>
              </w:rPr>
              <w:t>În anexa 1",</w:t>
            </w:r>
            <w:r w:rsidRPr="00DB542F">
              <w:rPr>
                <w:iCs/>
                <w:sz w:val="26"/>
                <w:szCs w:val="26"/>
                <w:lang w:val="ro-MO"/>
              </w:rPr>
              <w:t xml:space="preserve"> respectiv, la </w:t>
            </w:r>
            <w:proofErr w:type="spellStart"/>
            <w:r w:rsidRPr="00DB542F">
              <w:rPr>
                <w:iCs/>
                <w:sz w:val="26"/>
                <w:szCs w:val="26"/>
                <w:lang w:val="ro-MO"/>
              </w:rPr>
              <w:t>sbp</w:t>
            </w:r>
            <w:proofErr w:type="spellEnd"/>
            <w:r w:rsidRPr="00DB542F">
              <w:rPr>
                <w:iCs/>
                <w:sz w:val="26"/>
                <w:szCs w:val="26"/>
                <w:lang w:val="ro-MO"/>
              </w:rPr>
              <w:t xml:space="preserve">. 3) se va indica </w:t>
            </w:r>
            <w:r w:rsidRPr="00DB542F">
              <w:rPr>
                <w:i/>
                <w:sz w:val="26"/>
                <w:szCs w:val="26"/>
                <w:lang w:val="ro-MO"/>
              </w:rPr>
              <w:t>,,În anexa 2".</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lang w:val="ro-MO"/>
              </w:rPr>
            </w:pPr>
            <w:r w:rsidRPr="00DB542F">
              <w:rPr>
                <w:sz w:val="26"/>
                <w:szCs w:val="26"/>
                <w:lang w:val="ro-MO"/>
              </w:rPr>
              <w:t>Se acceptă.</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sidRPr="00DB542F">
              <w:rPr>
                <w:b/>
                <w:sz w:val="26"/>
                <w:szCs w:val="26"/>
                <w:lang w:val="ro-MO"/>
              </w:rPr>
              <w:t>6.</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pct.4 </w:t>
            </w:r>
            <w:proofErr w:type="spellStart"/>
            <w:r w:rsidRPr="00DB542F">
              <w:rPr>
                <w:b/>
                <w:i/>
                <w:iCs/>
                <w:sz w:val="26"/>
                <w:szCs w:val="26"/>
                <w:lang w:val="ro-MO"/>
              </w:rPr>
              <w:t>sbp</w:t>
            </w:r>
            <w:proofErr w:type="spellEnd"/>
            <w:r w:rsidRPr="00DB542F">
              <w:rPr>
                <w:b/>
                <w:i/>
                <w:iCs/>
                <w:sz w:val="26"/>
                <w:szCs w:val="26"/>
                <w:lang w:val="ro-MO"/>
              </w:rPr>
              <w:t>. 2)</w:t>
            </w:r>
            <w:r w:rsidRPr="00DB542F">
              <w:rPr>
                <w:iCs/>
                <w:sz w:val="26"/>
                <w:szCs w:val="26"/>
                <w:lang w:val="ro-MO"/>
              </w:rPr>
              <w:t xml:space="preserve">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iCs/>
                <w:sz w:val="26"/>
                <w:szCs w:val="26"/>
                <w:lang w:val="ro-MO"/>
              </w:rPr>
            </w:pPr>
            <w:r w:rsidRPr="00DB542F">
              <w:rPr>
                <w:iCs/>
                <w:sz w:val="26"/>
                <w:szCs w:val="26"/>
                <w:lang w:val="ro-MO"/>
              </w:rPr>
              <w:t xml:space="preserve">La amendamentele propuse la alin. 1 menţionăm că oportun ar fi de completat textul după </w:t>
            </w:r>
            <w:proofErr w:type="spellStart"/>
            <w:r w:rsidRPr="00DB542F">
              <w:rPr>
                <w:iCs/>
                <w:sz w:val="26"/>
                <w:szCs w:val="26"/>
                <w:lang w:val="ro-MO"/>
              </w:rPr>
              <w:t>cuvîntul</w:t>
            </w:r>
            <w:proofErr w:type="spellEnd"/>
            <w:r w:rsidRPr="00DB542F">
              <w:rPr>
                <w:iCs/>
                <w:sz w:val="26"/>
                <w:szCs w:val="26"/>
                <w:lang w:val="ro-MO"/>
              </w:rPr>
              <w:t xml:space="preserve"> „</w:t>
            </w:r>
            <w:r w:rsidRPr="00DB542F">
              <w:rPr>
                <w:i/>
                <w:sz w:val="26"/>
                <w:szCs w:val="26"/>
                <w:lang w:val="ro-MO"/>
              </w:rPr>
              <w:t>zonă "</w:t>
            </w:r>
            <w:r w:rsidRPr="00DB542F">
              <w:rPr>
                <w:iCs/>
                <w:sz w:val="26"/>
                <w:szCs w:val="26"/>
                <w:lang w:val="ro-MO"/>
              </w:rPr>
              <w:t xml:space="preserve"> cu </w:t>
            </w:r>
            <w:proofErr w:type="spellStart"/>
            <w:r w:rsidRPr="00DB542F">
              <w:rPr>
                <w:iCs/>
                <w:sz w:val="26"/>
                <w:szCs w:val="26"/>
                <w:lang w:val="ro-MO"/>
              </w:rPr>
              <w:t>cuvîntul</w:t>
            </w:r>
            <w:proofErr w:type="spellEnd"/>
            <w:r w:rsidRPr="00DB542F">
              <w:rPr>
                <w:i/>
                <w:sz w:val="26"/>
                <w:szCs w:val="26"/>
                <w:lang w:val="ro-MO"/>
              </w:rPr>
              <w:t xml:space="preserve"> „liberă",</w:t>
            </w:r>
            <w:r w:rsidRPr="00DB542F">
              <w:rPr>
                <w:iCs/>
                <w:sz w:val="26"/>
                <w:szCs w:val="26"/>
                <w:lang w:val="ro-MO"/>
              </w:rPr>
              <w:t xml:space="preserve"> prin urmare acestea se vor revedea în acest sens.</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lang w:val="ro-MO"/>
              </w:rPr>
            </w:pPr>
            <w:r w:rsidRPr="00DB542F">
              <w:rPr>
                <w:sz w:val="26"/>
                <w:szCs w:val="26"/>
                <w:lang w:val="ro-MO"/>
              </w:rPr>
              <w:t>Se acceptă.</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sidRPr="00DB542F">
              <w:rPr>
                <w:b/>
                <w:sz w:val="26"/>
                <w:szCs w:val="26"/>
                <w:lang w:val="ro-MO"/>
              </w:rPr>
              <w:t>7.</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pct.6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iCs/>
                <w:sz w:val="26"/>
                <w:szCs w:val="26"/>
                <w:lang w:val="ro-MO"/>
              </w:rPr>
            </w:pPr>
            <w:r w:rsidRPr="00DB542F">
              <w:rPr>
                <w:iCs/>
                <w:sz w:val="26"/>
                <w:szCs w:val="26"/>
                <w:lang w:val="ro-MO"/>
              </w:rPr>
              <w:t>Întru respectarea normelor gramaticale, la pct. 6 se va exclude prepoziţia „</w:t>
            </w:r>
            <w:r w:rsidRPr="00DB542F">
              <w:rPr>
                <w:i/>
                <w:sz w:val="26"/>
                <w:szCs w:val="26"/>
                <w:lang w:val="ro-MO"/>
              </w:rPr>
              <w:t>în"</w:t>
            </w:r>
            <w:r w:rsidRPr="00DB542F">
              <w:rPr>
                <w:iCs/>
                <w:sz w:val="26"/>
                <w:szCs w:val="26"/>
                <w:lang w:val="ro-MO"/>
              </w:rPr>
              <w:t xml:space="preserve"> de la începutul clauzei de modificare.</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lang w:val="ro-MO"/>
              </w:rPr>
            </w:pPr>
            <w:r w:rsidRPr="00DB542F">
              <w:rPr>
                <w:sz w:val="26"/>
                <w:szCs w:val="26"/>
                <w:lang w:val="ro-MO"/>
              </w:rPr>
              <w:t>Se acceptă.</w:t>
            </w:r>
          </w:p>
        </w:tc>
      </w:tr>
      <w:tr w:rsidR="00B775F3" w:rsidRPr="00DB542F" w:rsidTr="00576867">
        <w:tblPrEx>
          <w:tblCellMar>
            <w:top w:w="0" w:type="dxa"/>
            <w:bottom w:w="0" w:type="dxa"/>
          </w:tblCellMar>
        </w:tblPrEx>
        <w:trPr>
          <w:trHeight w:val="256"/>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sidRPr="00DB542F">
              <w:rPr>
                <w:b/>
                <w:sz w:val="26"/>
                <w:szCs w:val="26"/>
                <w:lang w:val="ro-MO"/>
              </w:rPr>
              <w:t>8.</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pct.6 </w:t>
            </w:r>
            <w:proofErr w:type="spellStart"/>
            <w:r w:rsidRPr="00DB542F">
              <w:rPr>
                <w:b/>
                <w:i/>
                <w:iCs/>
                <w:sz w:val="26"/>
                <w:szCs w:val="26"/>
                <w:lang w:val="ro-MO"/>
              </w:rPr>
              <w:t>sbp</w:t>
            </w:r>
            <w:proofErr w:type="spellEnd"/>
            <w:r w:rsidRPr="00DB542F">
              <w:rPr>
                <w:b/>
                <w:i/>
                <w:iCs/>
                <w:sz w:val="26"/>
                <w:szCs w:val="26"/>
                <w:lang w:val="ro-MO"/>
              </w:rPr>
              <w:t>. 4)</w:t>
            </w:r>
            <w:r w:rsidRPr="00DB542F">
              <w:rPr>
                <w:iCs/>
                <w:sz w:val="26"/>
                <w:szCs w:val="26"/>
                <w:lang w:val="ro-MO"/>
              </w:rPr>
              <w:t xml:space="preserve">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iCs/>
                <w:sz w:val="26"/>
                <w:szCs w:val="26"/>
                <w:lang w:val="ro-MO"/>
              </w:rPr>
            </w:pPr>
            <w:r w:rsidRPr="00DB542F">
              <w:rPr>
                <w:iCs/>
                <w:sz w:val="26"/>
                <w:szCs w:val="26"/>
                <w:lang w:val="ro-MO"/>
              </w:rPr>
              <w:t>Pentru a le reda un caracter dispozitiv amendamentelor propuse se va revedea formula</w:t>
            </w:r>
            <w:r w:rsidRPr="00DB542F">
              <w:rPr>
                <w:i/>
                <w:sz w:val="26"/>
                <w:szCs w:val="26"/>
                <w:lang w:val="ro-MO"/>
              </w:rPr>
              <w:t xml:space="preserve"> „este în drept",</w:t>
            </w:r>
            <w:r w:rsidRPr="00DB542F">
              <w:rPr>
                <w:iCs/>
                <w:sz w:val="26"/>
                <w:szCs w:val="26"/>
                <w:lang w:val="ro-MO"/>
              </w:rPr>
              <w:t xml:space="preserve"> </w:t>
            </w:r>
            <w:proofErr w:type="spellStart"/>
            <w:r w:rsidRPr="00DB542F">
              <w:rPr>
                <w:iCs/>
                <w:sz w:val="26"/>
                <w:szCs w:val="26"/>
                <w:lang w:val="ro-MO"/>
              </w:rPr>
              <w:t>întrucît</w:t>
            </w:r>
            <w:proofErr w:type="spellEnd"/>
            <w:r w:rsidRPr="00DB542F">
              <w:rPr>
                <w:iCs/>
                <w:sz w:val="26"/>
                <w:szCs w:val="26"/>
                <w:lang w:val="ro-MO"/>
              </w:rPr>
              <w:t xml:space="preserve"> în redacţia propusă, acestea pot genera un comportament discreţionar din partea Administraţiei zonei libere.</w:t>
            </w:r>
          </w:p>
        </w:tc>
        <w:tc>
          <w:tcPr>
            <w:tcW w:w="6092" w:type="dxa"/>
            <w:tcBorders>
              <w:top w:val="single" w:sz="4" w:space="0" w:color="auto"/>
              <w:left w:val="single" w:sz="4" w:space="0" w:color="auto"/>
              <w:bottom w:val="single" w:sz="4" w:space="0" w:color="auto"/>
              <w:right w:val="single" w:sz="4" w:space="0" w:color="auto"/>
            </w:tcBorders>
          </w:tcPr>
          <w:p w:rsidR="00B775F3" w:rsidRDefault="00B775F3" w:rsidP="00576867">
            <w:pPr>
              <w:jc w:val="both"/>
              <w:rPr>
                <w:sz w:val="26"/>
                <w:szCs w:val="26"/>
                <w:lang w:val="ro-MO"/>
              </w:rPr>
            </w:pPr>
            <w:r>
              <w:rPr>
                <w:sz w:val="26"/>
                <w:szCs w:val="26"/>
                <w:lang w:val="ro-MO"/>
              </w:rPr>
              <w:t>Nu se acceptă.</w:t>
            </w:r>
          </w:p>
          <w:p w:rsidR="00B775F3" w:rsidRPr="00DB542F" w:rsidRDefault="00B775F3" w:rsidP="00576867">
            <w:pPr>
              <w:jc w:val="both"/>
              <w:rPr>
                <w:sz w:val="26"/>
                <w:szCs w:val="26"/>
                <w:lang w:val="ro-MO"/>
              </w:rPr>
            </w:pPr>
            <w:r w:rsidRPr="00DB542F">
              <w:rPr>
                <w:sz w:val="26"/>
                <w:szCs w:val="26"/>
                <w:lang w:val="ro-MO"/>
              </w:rPr>
              <w:t>Redacţia acestui subpunct reiese din Art.1 pct. 5 al Legii pentru modificarea şi completarea unor acte normative nr.307 din</w:t>
            </w:r>
            <w:r>
              <w:rPr>
                <w:sz w:val="26"/>
                <w:szCs w:val="26"/>
                <w:lang w:val="ro-MO"/>
              </w:rPr>
              <w:t xml:space="preserve"> 26 decembrie 2012, respectiv, </w:t>
            </w:r>
            <w:r w:rsidRPr="00DB542F">
              <w:rPr>
                <w:sz w:val="26"/>
                <w:szCs w:val="26"/>
                <w:lang w:val="ro-MO"/>
              </w:rPr>
              <w:t>prin aceasta se aduce actele normative ale Guvernului în conformitate cu legea nominalizată.</w:t>
            </w:r>
          </w:p>
          <w:p w:rsidR="00B775F3" w:rsidRPr="00DB542F" w:rsidRDefault="00B775F3" w:rsidP="00576867">
            <w:pPr>
              <w:jc w:val="both"/>
              <w:rPr>
                <w:sz w:val="26"/>
                <w:szCs w:val="26"/>
                <w:lang w:val="ro-MO"/>
              </w:rPr>
            </w:pPr>
            <w:r w:rsidRPr="00DB542F">
              <w:rPr>
                <w:sz w:val="26"/>
                <w:szCs w:val="26"/>
                <w:lang w:val="ro-MO"/>
              </w:rPr>
              <w:t>Totodată, menţionăm că propunerea Ministerului Justiţiei poate fi luată în considerare pe viitor pentru îmbunătăţirea legislaţiei.</w:t>
            </w:r>
          </w:p>
        </w:tc>
      </w:tr>
      <w:tr w:rsidR="00B775F3" w:rsidRPr="00DB542F" w:rsidTr="00576867">
        <w:tblPrEx>
          <w:tblCellMar>
            <w:top w:w="0" w:type="dxa"/>
            <w:bottom w:w="0" w:type="dxa"/>
          </w:tblCellMar>
        </w:tblPrEx>
        <w:trPr>
          <w:trHeight w:val="599"/>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sidRPr="00DB542F">
              <w:rPr>
                <w:b/>
                <w:sz w:val="26"/>
                <w:szCs w:val="26"/>
                <w:lang w:val="ro-MO"/>
              </w:rPr>
              <w:t>9.</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pct.6 </w:t>
            </w:r>
            <w:proofErr w:type="spellStart"/>
            <w:r w:rsidRPr="00DB542F">
              <w:rPr>
                <w:b/>
                <w:i/>
                <w:iCs/>
                <w:sz w:val="26"/>
                <w:szCs w:val="26"/>
                <w:lang w:val="ro-MO"/>
              </w:rPr>
              <w:t>sbp</w:t>
            </w:r>
            <w:proofErr w:type="spellEnd"/>
            <w:r w:rsidRPr="00DB542F">
              <w:rPr>
                <w:b/>
                <w:i/>
                <w:iCs/>
                <w:sz w:val="26"/>
                <w:szCs w:val="26"/>
                <w:lang w:val="ro-MO"/>
              </w:rPr>
              <w:t>. 7)</w:t>
            </w:r>
            <w:r w:rsidRPr="00DB542F">
              <w:rPr>
                <w:iCs/>
                <w:sz w:val="26"/>
                <w:szCs w:val="26"/>
                <w:lang w:val="ro-MO"/>
              </w:rPr>
              <w:t xml:space="preserve">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iCs/>
                <w:sz w:val="26"/>
                <w:szCs w:val="26"/>
                <w:lang w:val="ro-MO"/>
              </w:rPr>
            </w:pPr>
            <w:r w:rsidRPr="00DB542F">
              <w:rPr>
                <w:iCs/>
                <w:sz w:val="26"/>
                <w:szCs w:val="26"/>
                <w:lang w:val="ro-MO"/>
              </w:rPr>
              <w:t>Reglementările propuse la alin. (3) pct. 319</w:t>
            </w:r>
            <w:r w:rsidRPr="00DB542F">
              <w:rPr>
                <w:iCs/>
                <w:sz w:val="26"/>
                <w:szCs w:val="26"/>
                <w:vertAlign w:val="superscript"/>
                <w:lang w:val="ro-MO"/>
              </w:rPr>
              <w:t>1</w:t>
            </w:r>
            <w:r w:rsidRPr="00DB542F">
              <w:rPr>
                <w:iCs/>
                <w:sz w:val="26"/>
                <w:szCs w:val="26"/>
                <w:lang w:val="ro-MO"/>
              </w:rPr>
              <w:t xml:space="preserve"> constituie norme primare, care nu urmează să se conţină într-un act normativ, prin urmare, se vor exclude.</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lang w:val="ro-MO"/>
              </w:rPr>
            </w:pPr>
            <w:r w:rsidRPr="00DB542F">
              <w:rPr>
                <w:sz w:val="26"/>
                <w:szCs w:val="26"/>
                <w:lang w:val="ro-MO"/>
              </w:rPr>
              <w:t>Se acceptă</w:t>
            </w:r>
            <w:r>
              <w:rPr>
                <w:sz w:val="26"/>
                <w:szCs w:val="26"/>
                <w:lang w:val="ro-MO"/>
              </w:rPr>
              <w:t>.</w:t>
            </w:r>
          </w:p>
        </w:tc>
      </w:tr>
      <w:tr w:rsidR="00B775F3" w:rsidRPr="00DB542F" w:rsidTr="00576867">
        <w:tblPrEx>
          <w:tblCellMar>
            <w:top w:w="0" w:type="dxa"/>
            <w:bottom w:w="0" w:type="dxa"/>
          </w:tblCellMar>
        </w:tblPrEx>
        <w:trPr>
          <w:trHeight w:val="599"/>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Pr>
                <w:b/>
                <w:sz w:val="26"/>
                <w:szCs w:val="26"/>
                <w:lang w:val="ro-MO"/>
              </w:rPr>
              <w:t>1</w:t>
            </w:r>
            <w:r w:rsidRPr="00DB542F">
              <w:rPr>
                <w:b/>
                <w:sz w:val="26"/>
                <w:szCs w:val="26"/>
                <w:lang w:val="ro-MO"/>
              </w:rPr>
              <w:t>0.</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pct.6 </w:t>
            </w:r>
            <w:proofErr w:type="spellStart"/>
            <w:r w:rsidRPr="00DB542F">
              <w:rPr>
                <w:b/>
                <w:i/>
                <w:iCs/>
                <w:sz w:val="26"/>
                <w:szCs w:val="26"/>
                <w:lang w:val="ro-MO"/>
              </w:rPr>
              <w:t>sbp</w:t>
            </w:r>
            <w:proofErr w:type="spellEnd"/>
            <w:r w:rsidRPr="00DB542F">
              <w:rPr>
                <w:b/>
                <w:i/>
                <w:iCs/>
                <w:sz w:val="26"/>
                <w:szCs w:val="26"/>
                <w:lang w:val="ro-MO"/>
              </w:rPr>
              <w:t>. 7)</w:t>
            </w:r>
            <w:r w:rsidRPr="00DB542F">
              <w:rPr>
                <w:iCs/>
                <w:sz w:val="26"/>
                <w:szCs w:val="26"/>
                <w:lang w:val="ro-MO"/>
              </w:rPr>
              <w:t xml:space="preserve">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iCs/>
                <w:sz w:val="26"/>
                <w:szCs w:val="26"/>
                <w:lang w:val="ro-MO"/>
              </w:rPr>
            </w:pPr>
            <w:r w:rsidRPr="00DB542F">
              <w:rPr>
                <w:sz w:val="26"/>
                <w:szCs w:val="26"/>
                <w:lang w:val="ro-MO"/>
              </w:rPr>
              <w:t>Pct. 319</w:t>
            </w:r>
            <w:r w:rsidRPr="00DB542F">
              <w:rPr>
                <w:sz w:val="26"/>
                <w:szCs w:val="26"/>
                <w:vertAlign w:val="superscript"/>
                <w:lang w:val="ro-MO"/>
              </w:rPr>
              <w:t>2</w:t>
            </w:r>
            <w:r w:rsidRPr="00DB542F">
              <w:rPr>
                <w:sz w:val="26"/>
                <w:szCs w:val="26"/>
                <w:lang w:val="ro-MO"/>
              </w:rPr>
              <w:t xml:space="preserve"> alin. (1) </w:t>
            </w:r>
            <w:proofErr w:type="spellStart"/>
            <w:r w:rsidRPr="00DB542F">
              <w:rPr>
                <w:sz w:val="26"/>
                <w:szCs w:val="26"/>
                <w:lang w:val="ro-MO"/>
              </w:rPr>
              <w:t>cuvîntul</w:t>
            </w:r>
            <w:proofErr w:type="spellEnd"/>
            <w:r w:rsidRPr="00DB542F">
              <w:rPr>
                <w:rStyle w:val="a8"/>
                <w:lang w:val="ro-MO"/>
              </w:rPr>
              <w:t xml:space="preserve"> „sau"</w:t>
            </w:r>
            <w:r w:rsidRPr="00DB542F">
              <w:rPr>
                <w:sz w:val="26"/>
                <w:szCs w:val="26"/>
                <w:lang w:val="ro-MO"/>
              </w:rPr>
              <w:t xml:space="preserve"> se va substitui cu </w:t>
            </w:r>
            <w:proofErr w:type="spellStart"/>
            <w:r w:rsidRPr="00DB542F">
              <w:rPr>
                <w:sz w:val="26"/>
                <w:szCs w:val="26"/>
                <w:lang w:val="ro-MO"/>
              </w:rPr>
              <w:t>cuvîntul</w:t>
            </w:r>
            <w:proofErr w:type="spellEnd"/>
            <w:r w:rsidRPr="00DB542F">
              <w:rPr>
                <w:rStyle w:val="a8"/>
                <w:lang w:val="ro-MO"/>
              </w:rPr>
              <w:t xml:space="preserve"> „şi".</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lang w:val="ro-MO"/>
              </w:rPr>
            </w:pPr>
            <w:r w:rsidRPr="00DB542F">
              <w:rPr>
                <w:sz w:val="26"/>
                <w:szCs w:val="26"/>
                <w:lang w:val="ro-MO"/>
              </w:rPr>
              <w:t xml:space="preserve">Nu se acceptă, deoarece invitaţia poate parveni </w:t>
            </w:r>
            <w:r>
              <w:rPr>
                <w:sz w:val="26"/>
                <w:szCs w:val="26"/>
                <w:lang w:val="ro-MO"/>
              </w:rPr>
              <w:t>nu numai de la ambele părţi, ci şi de la fiecare individual.</w:t>
            </w:r>
          </w:p>
        </w:tc>
      </w:tr>
      <w:tr w:rsidR="00B775F3" w:rsidRPr="00DB542F" w:rsidTr="00576867">
        <w:tblPrEx>
          <w:tblCellMar>
            <w:top w:w="0" w:type="dxa"/>
            <w:bottom w:w="0" w:type="dxa"/>
          </w:tblCellMar>
        </w:tblPrEx>
        <w:trPr>
          <w:trHeight w:val="599"/>
        </w:trPr>
        <w:tc>
          <w:tcPr>
            <w:tcW w:w="633"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right"/>
              <w:rPr>
                <w:b/>
                <w:sz w:val="26"/>
                <w:szCs w:val="26"/>
                <w:lang w:val="ro-MO"/>
              </w:rPr>
            </w:pPr>
            <w:r>
              <w:rPr>
                <w:b/>
                <w:sz w:val="26"/>
                <w:szCs w:val="26"/>
                <w:lang w:val="ro-MO"/>
              </w:rPr>
              <w:t>1</w:t>
            </w:r>
            <w:r w:rsidRPr="00DB542F">
              <w:rPr>
                <w:b/>
                <w:sz w:val="26"/>
                <w:szCs w:val="26"/>
                <w:lang w:val="ro-MO"/>
              </w:rPr>
              <w:t>1.</w:t>
            </w:r>
          </w:p>
        </w:tc>
        <w:tc>
          <w:tcPr>
            <w:tcW w:w="203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b/>
                <w:i/>
                <w:sz w:val="26"/>
                <w:szCs w:val="26"/>
                <w:lang w:val="ro-MO"/>
              </w:rPr>
            </w:pPr>
            <w:r w:rsidRPr="00DB542F">
              <w:rPr>
                <w:b/>
                <w:i/>
                <w:sz w:val="26"/>
                <w:szCs w:val="26"/>
                <w:lang w:val="ro-MO"/>
              </w:rPr>
              <w:t xml:space="preserve">La pct.6 </w:t>
            </w:r>
            <w:proofErr w:type="spellStart"/>
            <w:r w:rsidRPr="00DB542F">
              <w:rPr>
                <w:b/>
                <w:i/>
                <w:iCs/>
                <w:sz w:val="26"/>
                <w:szCs w:val="26"/>
                <w:lang w:val="ro-MO"/>
              </w:rPr>
              <w:t>sbp</w:t>
            </w:r>
            <w:proofErr w:type="spellEnd"/>
            <w:r w:rsidRPr="00DB542F">
              <w:rPr>
                <w:b/>
                <w:i/>
                <w:iCs/>
                <w:sz w:val="26"/>
                <w:szCs w:val="26"/>
                <w:lang w:val="ro-MO"/>
              </w:rPr>
              <w:t>. 16)</w:t>
            </w:r>
            <w:r w:rsidRPr="00DB542F">
              <w:rPr>
                <w:iCs/>
                <w:sz w:val="26"/>
                <w:szCs w:val="26"/>
                <w:lang w:val="ro-MO"/>
              </w:rPr>
              <w:t xml:space="preserve"> </w:t>
            </w:r>
          </w:p>
        </w:tc>
        <w:tc>
          <w:tcPr>
            <w:tcW w:w="5619"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autoSpaceDE w:val="0"/>
              <w:autoSpaceDN w:val="0"/>
              <w:adjustRightInd w:val="0"/>
              <w:jc w:val="both"/>
              <w:rPr>
                <w:b/>
                <w:sz w:val="26"/>
                <w:szCs w:val="26"/>
                <w:lang w:val="ro-MO"/>
              </w:rPr>
            </w:pPr>
            <w:r w:rsidRPr="00DB542F">
              <w:rPr>
                <w:rStyle w:val="213pt"/>
                <w:b w:val="0"/>
                <w:lang w:val="ro-MO"/>
              </w:rPr>
              <w:t xml:space="preserve">Sintagma </w:t>
            </w:r>
            <w:r w:rsidRPr="00DB542F">
              <w:rPr>
                <w:rStyle w:val="213pt"/>
                <w:b w:val="0"/>
                <w:i/>
                <w:lang w:val="ro-MO"/>
              </w:rPr>
              <w:t>„se introduc în final cuvintele”</w:t>
            </w:r>
            <w:r w:rsidRPr="00DB542F">
              <w:rPr>
                <w:rStyle w:val="213pt"/>
                <w:b w:val="0"/>
                <w:lang w:val="ro-MO"/>
              </w:rPr>
              <w:t xml:space="preserve"> se substituie cu sintagma </w:t>
            </w:r>
            <w:r w:rsidRPr="00DB542F">
              <w:rPr>
                <w:rStyle w:val="213pt"/>
                <w:b w:val="0"/>
                <w:i/>
                <w:lang w:val="ro-MO"/>
              </w:rPr>
              <w:t>„în final se completează”</w:t>
            </w:r>
            <w:r w:rsidRPr="00DB542F">
              <w:rPr>
                <w:rStyle w:val="213pt"/>
                <w:b w:val="0"/>
                <w:lang w:val="ro-MO"/>
              </w:rPr>
              <w:t>.</w:t>
            </w:r>
          </w:p>
        </w:tc>
        <w:tc>
          <w:tcPr>
            <w:tcW w:w="6092" w:type="dxa"/>
            <w:tcBorders>
              <w:top w:val="single" w:sz="4" w:space="0" w:color="auto"/>
              <w:left w:val="single" w:sz="4" w:space="0" w:color="auto"/>
              <w:bottom w:val="single" w:sz="4" w:space="0" w:color="auto"/>
              <w:right w:val="single" w:sz="4" w:space="0" w:color="auto"/>
            </w:tcBorders>
          </w:tcPr>
          <w:p w:rsidR="00B775F3" w:rsidRPr="00DB542F" w:rsidRDefault="00B775F3" w:rsidP="00576867">
            <w:pPr>
              <w:jc w:val="both"/>
              <w:rPr>
                <w:sz w:val="26"/>
                <w:szCs w:val="26"/>
                <w:lang w:val="ro-MO"/>
              </w:rPr>
            </w:pPr>
            <w:r w:rsidRPr="00DB542F">
              <w:rPr>
                <w:sz w:val="26"/>
                <w:szCs w:val="26"/>
                <w:lang w:val="ro-MO"/>
              </w:rPr>
              <w:t>Se acceptă.</w:t>
            </w:r>
          </w:p>
        </w:tc>
      </w:tr>
    </w:tbl>
    <w:p w:rsidR="00B775F3" w:rsidRPr="00DB542F" w:rsidRDefault="00B775F3" w:rsidP="00B775F3">
      <w:pPr>
        <w:rPr>
          <w:sz w:val="26"/>
          <w:szCs w:val="26"/>
          <w:lang w:val="ro-MO"/>
        </w:rPr>
      </w:pPr>
    </w:p>
    <w:p w:rsidR="00FA0D77" w:rsidRDefault="00FA0D77"/>
    <w:sectPr w:rsidR="00FA0D77" w:rsidSect="00A46B2E">
      <w:footerReference w:type="even" r:id="rId5"/>
      <w:footerReference w:type="default" r:id="rId6"/>
      <w:pgSz w:w="16840" w:h="11907" w:orient="landscape" w:code="9"/>
      <w:pgMar w:top="1134" w:right="1134" w:bottom="1134" w:left="1134" w:header="567" w:footer="56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2E" w:rsidRDefault="00B775F3" w:rsidP="0058384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46B2E" w:rsidRDefault="00B775F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B2E" w:rsidRDefault="00B775F3" w:rsidP="0058384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A46B2E" w:rsidRPr="00BD5944" w:rsidRDefault="00B775F3" w:rsidP="00BD5944">
    <w:pPr>
      <w:pStyle w:val="a6"/>
      <w:ind w:right="360"/>
      <w:rPr>
        <w:lang w:val="ro-RO"/>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5F3"/>
    <w:rsid w:val="000829F4"/>
    <w:rsid w:val="003430A9"/>
    <w:rsid w:val="00675BAD"/>
    <w:rsid w:val="008D4C32"/>
    <w:rsid w:val="009365CB"/>
    <w:rsid w:val="00B775F3"/>
    <w:rsid w:val="00F52C38"/>
    <w:rsid w:val="00F564D8"/>
    <w:rsid w:val="00FA0D77"/>
    <w:rsid w:val="00FC6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5F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775F3"/>
    <w:pPr>
      <w:ind w:left="2268" w:right="2268"/>
      <w:jc w:val="center"/>
    </w:pPr>
    <w:rPr>
      <w:b/>
      <w:sz w:val="28"/>
      <w:lang w:val="ro-RO"/>
    </w:rPr>
  </w:style>
  <w:style w:type="character" w:customStyle="1" w:styleId="a4">
    <w:name w:val="Название Знак"/>
    <w:basedOn w:val="a0"/>
    <w:link w:val="a3"/>
    <w:rsid w:val="00B775F3"/>
    <w:rPr>
      <w:rFonts w:ascii="Times New Roman" w:eastAsia="Times New Roman" w:hAnsi="Times New Roman" w:cs="Times New Roman"/>
      <w:b/>
      <w:sz w:val="28"/>
      <w:szCs w:val="20"/>
      <w:lang w:val="ro-RO" w:eastAsia="ru-RU"/>
    </w:rPr>
  </w:style>
  <w:style w:type="character" w:styleId="a5">
    <w:name w:val="page number"/>
    <w:basedOn w:val="a0"/>
    <w:rsid w:val="00B775F3"/>
  </w:style>
  <w:style w:type="paragraph" w:styleId="a6">
    <w:name w:val="footer"/>
    <w:basedOn w:val="a"/>
    <w:link w:val="a7"/>
    <w:rsid w:val="00B775F3"/>
    <w:pPr>
      <w:tabs>
        <w:tab w:val="center" w:pos="4536"/>
        <w:tab w:val="right" w:pos="9072"/>
      </w:tabs>
    </w:pPr>
  </w:style>
  <w:style w:type="character" w:customStyle="1" w:styleId="a7">
    <w:name w:val="Нижний колонтитул Знак"/>
    <w:basedOn w:val="a0"/>
    <w:link w:val="a6"/>
    <w:rsid w:val="00B775F3"/>
    <w:rPr>
      <w:rFonts w:ascii="Times New Roman" w:eastAsia="Times New Roman" w:hAnsi="Times New Roman" w:cs="Times New Roman"/>
      <w:sz w:val="20"/>
      <w:szCs w:val="20"/>
      <w:lang w:eastAsia="ru-RU"/>
    </w:rPr>
  </w:style>
  <w:style w:type="character" w:customStyle="1" w:styleId="a8">
    <w:name w:val="Основной текст + Курсив"/>
    <w:aliases w:val="Интервал 1 pt"/>
    <w:rsid w:val="00B775F3"/>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213pt">
    <w:name w:val="Основной текст (2) + 13 pt"/>
    <w:aliases w:val="Не полужирный,Курсив"/>
    <w:rsid w:val="00B775F3"/>
    <w:rPr>
      <w:rFonts w:ascii="Times New Roman" w:eastAsia="Times New Roman" w:hAnsi="Times New Roman" w:cs="Times New Roman"/>
      <w:b/>
      <w:bCs/>
      <w:i w:val="0"/>
      <w:iCs w:val="0"/>
      <w:smallCaps w:val="0"/>
      <w:strike w:val="0"/>
      <w:spacing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5F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775F3"/>
    <w:pPr>
      <w:ind w:left="2268" w:right="2268"/>
      <w:jc w:val="center"/>
    </w:pPr>
    <w:rPr>
      <w:b/>
      <w:sz w:val="28"/>
      <w:lang w:val="ro-RO"/>
    </w:rPr>
  </w:style>
  <w:style w:type="character" w:customStyle="1" w:styleId="a4">
    <w:name w:val="Название Знак"/>
    <w:basedOn w:val="a0"/>
    <w:link w:val="a3"/>
    <w:rsid w:val="00B775F3"/>
    <w:rPr>
      <w:rFonts w:ascii="Times New Roman" w:eastAsia="Times New Roman" w:hAnsi="Times New Roman" w:cs="Times New Roman"/>
      <w:b/>
      <w:sz w:val="28"/>
      <w:szCs w:val="20"/>
      <w:lang w:val="ro-RO" w:eastAsia="ru-RU"/>
    </w:rPr>
  </w:style>
  <w:style w:type="character" w:styleId="a5">
    <w:name w:val="page number"/>
    <w:basedOn w:val="a0"/>
    <w:rsid w:val="00B775F3"/>
  </w:style>
  <w:style w:type="paragraph" w:styleId="a6">
    <w:name w:val="footer"/>
    <w:basedOn w:val="a"/>
    <w:link w:val="a7"/>
    <w:rsid w:val="00B775F3"/>
    <w:pPr>
      <w:tabs>
        <w:tab w:val="center" w:pos="4536"/>
        <w:tab w:val="right" w:pos="9072"/>
      </w:tabs>
    </w:pPr>
  </w:style>
  <w:style w:type="character" w:customStyle="1" w:styleId="a7">
    <w:name w:val="Нижний колонтитул Знак"/>
    <w:basedOn w:val="a0"/>
    <w:link w:val="a6"/>
    <w:rsid w:val="00B775F3"/>
    <w:rPr>
      <w:rFonts w:ascii="Times New Roman" w:eastAsia="Times New Roman" w:hAnsi="Times New Roman" w:cs="Times New Roman"/>
      <w:sz w:val="20"/>
      <w:szCs w:val="20"/>
      <w:lang w:eastAsia="ru-RU"/>
    </w:rPr>
  </w:style>
  <w:style w:type="character" w:customStyle="1" w:styleId="a8">
    <w:name w:val="Основной текст + Курсив"/>
    <w:aliases w:val="Интервал 1 pt"/>
    <w:rsid w:val="00B775F3"/>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213pt">
    <w:name w:val="Основной текст (2) + 13 pt"/>
    <w:aliases w:val="Не полужирный,Курсив"/>
    <w:rsid w:val="00B775F3"/>
    <w:rPr>
      <w:rFonts w:ascii="Times New Roman" w:eastAsia="Times New Roman" w:hAnsi="Times New Roman" w:cs="Times New Roman"/>
      <w:b/>
      <w:bCs/>
      <w:i w:val="0"/>
      <w:iCs w:val="0"/>
      <w:smallCaps w:val="0"/>
      <w:strike w:val="0"/>
      <w:spacing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1969</Words>
  <Characters>11228</Characters>
  <Application>Microsoft Office Word</Application>
  <DocSecurity>0</DocSecurity>
  <Lines>93</Lines>
  <Paragraphs>26</Paragraphs>
  <ScaleCrop>false</ScaleCrop>
  <Company>SPecialiST RePack</Company>
  <LinksUpToDate>false</LinksUpToDate>
  <CharactersWithSpaces>13171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Me-235-Alexandru</dc:creator>
  <cp:lastModifiedBy>Me-235-Alexandru</cp:lastModifiedBy>
  <cp:revision>1</cp:revision>
  <dcterms:created xsi:type="dcterms:W3CDTF">2014-10-23T13:43:00Z</dcterms:created>
  <dcterms:modified xsi:type="dcterms:W3CDTF">2014-10-23T13:49:00Z</dcterms:modified>
</cp:coreProperties>
</file>