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ED" w:rsidRPr="00A753E9" w:rsidRDefault="00A753E9">
      <w:pPr>
        <w:rPr>
          <w:lang w:val="en-US"/>
        </w:rPr>
      </w:pPr>
      <w:r w:rsidRPr="00A753E9">
        <w:rPr>
          <w:rFonts w:ascii="Arial" w:hAnsi="Arial" w:cs="Arial"/>
          <w:color w:val="000000"/>
          <w:sz w:val="18"/>
          <w:szCs w:val="18"/>
          <w:shd w:val="clear" w:color="auto" w:fill="FFFFFF"/>
          <w:lang w:val="en-US"/>
        </w:rPr>
        <w:t>POLITICA DE PERSONAL  ÎN CADRUL MINISTERULUI ECONOMIEI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Politica de personal în cadrul Ministerului Economiei a fost elaborată întru realizarea Concepţiei cu privire la personal în serviciul public aprobată prin Hotărîrea Parlamentului Republicii Moldova nr. 1227-XV din 18 iulie 2002, a Legii cu privire la funcţia publică şi statutul funcţionarului public, nr.158-XVI din 04 iulie 2008 şi Hotărîrii Guvernului privind punerea în aplicare a prevederilor Legii nr.158-XVI din 04 iulie 2008 cu privire la funcţia publică şi statutul funcţionarului public, nr.201 din 11.03.2009. </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Întru dezvoltarea unui serviciu public meritocratic, format din funcţionari publici recrutaţi, evaluaţi şi promovaţi în baza calităţilor profesionale şi performanţelor individuale, procedurile şi metodele de implementare a tuturor aspectelor politicii de personal sunt asigurate în cadrul ministerului prin realizarea următoarelor principii: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I.CARIERA FUNCŢIONARILOR PUBLICI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1.RECRUTAREA ŞI SELECTAREA PERSONALULUI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Recrutarea este un proces de identificare şi atragere în cadrul ministerului a candidaţilor pentru ocuparea funcţiilor publice vacante, care corespund cerinţelor postului, posedă caracteristicile cerute de post.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Selectarea este un proces de alegere din rândurile candidaţilor pentru ocuparea funcţiilor publice vacante a celor mai competente persoane, în baza criteriilor stabilite pentru postul de muncă în Fişa postului.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Ocuparea funcţiei publice vacante în cadrul ministerului se face prin:</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concurs</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promovare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transfer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Procedura de ocupare a funcţiei publice vacante în cadrul ministerului se realizează în baza sistemului de recrutare şi selectare, prevăzut de Legea nr.158-XVI din 04 iulie 2008 cu privire la funcţia publică şi statutul funcţionarului public şi Regulamentului cu privire la ocuparea funcţiei publice vacante prin concurs, anexa nr. 1 la Hotărîrea Guvernului nr. 201 din 11.03.2010 şi este dominantă în autoritatea publică.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Sistemul de recrutare şi selectare reprezintă totalitatea strategiilor, metodelor şi procedurilor incluse într-un proces continuu şi sistematic de: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planificare a necesarului de personal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identificare a funcţiilor publice vacante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publicitate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preselecţie în baza documentelor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selecţie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luarea deciziei de alegere a candidatului potrivit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numirea în post, funcţie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integrarea angajatului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Sistemul de recrutare şi selectare a cadrelor se bazează pe următoarele principii: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publicitate, informarea cît mai largă a cetăţenilor, pentru ca posturile vacante să fie completate cu persoane competente, ca orice cetăţean să-şi poată realiza dreptul la ocuparea funcţiei publice;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obiectivitate, oferirea oportunităţilor egale tuturor candidaţilor, asigurarea selecţiei fără prejudecăţi, prevenirea oricăror intervenţii politice şi influenţă din partea VIP, garantarea că nu va fi admisă discriminarea pe motive de sex, vârstă, naţionalitate, apartenenţă sau neapartenenţă la unul din partide, etc;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alegere după merit, asigurarea selectării celor mai calificate, celor mai capabile şi mai competente persoane;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transparenţă, asigurarea transparenţei procedurilor de selectare. Transparenţa procesului de organizare a concursului se desfăşoară prin plasarea pe site-ul ministerului şi pe panoul informaţional a tuturor informaţiilor cu privire la desfăşurarea concursului.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Pentru familiarizarea noilor angajaţi cu modul de organizare şi funcţionare a ministerului, programul de lucru, principiile şi normele de conduită a funcţionarilor publici, drepturile şi obligaţiunile acestora, e.t.c, în cadrul ministerului a fost elaborat şi aprobat Ghidul noului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Perioada de probă a funcţionarilor publici debutanţi se desfăşoară în baza unui Program individual, aprobat de conducerea ministerului concomitent cu actul de numire în funcţie a acestora.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Asigurarea autorităţii publice cu personal calificat este una din cele mai esenţiale părţi componente ale gestionării resurselor umane, precum şi a întregii ei activităţi.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2.Promovarea în funcţie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Promovarea este modalitatea de dezvoltare a carierei prin ocuparea unei funcţii publice superioare celei existente.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xml:space="preserve">Modul în care se face promovarea este prevăzut în art. 45 din Legea cu privire la funcţia publică şi statutul </w:t>
      </w:r>
      <w:r w:rsidRPr="00A753E9">
        <w:rPr>
          <w:rFonts w:ascii="Arial" w:hAnsi="Arial" w:cs="Arial"/>
          <w:color w:val="000000"/>
          <w:sz w:val="18"/>
          <w:szCs w:val="18"/>
          <w:shd w:val="clear" w:color="auto" w:fill="FFFFFF"/>
          <w:lang w:val="en-US"/>
        </w:rPr>
        <w:lastRenderedPageBreak/>
        <w:t>funcţionarului public, nr.158 / 2008.</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Promovarea funcţionarului public într-o funcţie publică superioară se face în bază de merit şi se efectuează în cazul, cînd funcţia publică respectivă este vacantă.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Poate fi promovat într-o funcţie publică superioară funcţionarul public care a obţinut în urma evaluării performanţelor profesionale a calificativului „foarte bine” la ultima evaluare sau calificativul „bine la ultimele 2 evaluări.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3.Transferul</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Transferul este o modalitate a modificării raporturilor de serviciu şi se efectuează în baza art. 48 din Legea cu privire la funcţia publică şi statutul funcţionarului public, nr.158 / 2008.</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Conform acestui articol din lege, transferul poate fi în aceeaşi unitate/subdiviziune, între unităţile /subdiviziunile interioare ale ministerului sau între două autorităţi publice.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Secţia resurse umane generalizează propunerile cu privire la modalitatea de ocuparea a funcţiei publice vacante şi le prezintă conducerii autorităţii publice pentru luarea deciziei cu privire la ocuparea funcţiei publice vacante prin promovare, transfer sau concurs.</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4. Integrarea socioprofesională a noilor angajaţi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Integrarea socioprofesională reprezintă procesul de asimilare a unei persoane în mediul profesional, de adaptare a acesteia la cerinţele de muncă şi comportament ale colectivului în cadrul căruia activează.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Acest proces se desfăşoară în cadrul ministerului în conformitate cu prevederile Legii nr.158-XVI din 4 iulie 2008 cu privire la funcţia publică şi statutul funcţionarului public, Regulamentului cu privire la perioada de probă pentru funcţionarul public debutant, Regulamentul-cadru al subdiviziunii resurse umane din autoritatea publică, aprobate prin Hotărîrea Guvernului nr.201 din 11 martie 2009 ,,Privind punerea în aplicare a prevederilor Legii nr.158-XXI din 4 iulie 2008 cu privire la funcţia publică şi statutul funcţionarului public” şi Hotărîrii Guvernului nr.724 din 13 iunie 2003 ,,Cu privire la serviciul resurse umane din cadrul autorităţii administraţiei publice centrale locale”.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Activitatea de integrare a noului angajat este cu mult mai complexă decît pare la prima vedere şi poate fi aplicată sub diferite forme, cum ar fi: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integrarea administrativă (planul de dezvoltare instituţională/planul de dezvoltare pentru următorii ani, obiectivele autorităţii publice,Ghidul noului angajat, etc.);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economică (salariul de funcţie, sporurile la salariu, sistemul de premii, alte recompense);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psihofiziologică (acomodarea la condiţiile de muncă: solicitarea fizică şi psihică, nivelul intensităţii muncii, confortul locului de muncă, factorii mediului ambiant);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socială (relaţii interpersonale în cadrul echipei, tradiţiile, regulile de comportament).</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Iniţierea detaliată cu privire la integrarea noului angajat o face conducătorul subdiviziunii, avîndu-se în vedere următoarele: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crearea unei atmosfere psihologice pozitive, care să-l facă pe noul angajat să se simtă sigur în acţiunile sale;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dezvoltarea interesului faţă de post şi de autoritatea publică;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oferirea informaţiilor minimum necesare despre angajamentele de muncă;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explicarea standardelor de performanţă şi comportament pe care trebuie să le îndeplinească;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descrierea angajamentelor de instruire profesională şi posibilităţile de promovare în cadrul autorităţii publice etc.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Conducătorul subdiviziunii prezintă noul angajat colegilor. Pentru ca noul angajat să se simtă cît mai confortabil, prezentarea va avea loc în momentul cînd ceilalţi colegi nu vor fi antrenaţi în diverse şedinţe sau discuţii telefonice. Astfel, se creează un microclimat familial pentru noul venit, nefiind tratat ca un străin. Pregătirea locului de muncă al noului angajat se face din timp.</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În timpul prezentării noului angajat, conducătorul subdiviziunii manifestă o atitudine prietenoasă, optimă relaxantă şi se abţine de la remarci defavorabile despre colegii noului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Pentru documentarea noului angajat/funcţionarului public debutant cu datele generale despre autoritatea publică, Secţia resurse umane prezintă spre familiarizare Ghidul noului angajat, fiecărui nou angajat în prima zi de activitate.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Din punct de vedere al eficienţei, perioada de integrare a noului angajat poate fi divizată în trei etape: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a) etapa de informare. Este etapa cînd noul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se familiarizează cu activităţile specifice cerinţelor postului pe care îl ocupă;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studiază materialele existente referitor la activitatea subdiviziunii;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face cunoştinţă cu persoanele cu care urmează să colaboreze în plan profesional etc.;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b) etapa de însuşire a sarcinilor de bază ale funcţiei. Este etapa cînd noul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începe să efectueze activităţi specifice postului pentru care este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demonstrează treptat o creştere a eficienţei activităţii sale;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 etapa de contribuţie personală în activitatea autorităţii publice. Este etapa în care noul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lastRenderedPageBreak/>
        <w:t>• este ,,stăpîn” pe postul său;</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îşi corectează eventualele erori profesionale;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contribuie din plin la activitatea autorităţii, conform cerinţelor funcţiei deţinute.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II. EVALUAREA PERFORMANŢELOR PROFESIONALE ALE FUNCŢIONARULUI PUBLIC</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Scopul evaluării funcţionarului public constă în estimarea obiectivă a rezultatelor individuale obţinute, având la bază sarcinile şi atribuţiile de serviciu, precum şi priorităţile la nivel de subdiviziune şi autoritate publică. Astfel, evaluarea reprezintă un proces care serveşte atît autorităţii publice, cît şi angajaţilor în scopul creşterii productivităţii muncii, a calităţii şi a perfecţionării competenţelor profesionale. De asemenea, rezultatele evaluării servesc drept referinţă pentru luarea deciziilor manageriale cu privire la personal, precum şi constituie un instrument eficient de management care ajută conducătorii să planifice, să organizeze şi să monitorizeze în mod eficient activitatea subdiviziunii/autorităţii publice.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Modalitatea de evaluare a performanţelor profesionale ale funcţionarului public a fost aprobată prin Hotărîrea Guvernului nr.201 din 11 martie 2009, anexa nr.8, Regulamentul cu privire la evaluarea performanţelor profesionale ale funcţionarului public.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Evaluarea activităţii este un proces de apreciere a nivelului performanţelor profesionale ale funcţionarului public, raportat la standarde, calitatea îndeplinirii sarcinilor ce îi revin în raport cu postul de muncă, funcţia ocupată.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Evaluarea anuală a performanţelor profesionale reprezintă procedura de personal prin care se determină nivelul de îndeplinire a obiectivelor individuale de activitate şi nivelul de manifestare a abilităţilor profesionale şi a caracteristicelor comportamentale de către funcţionarul public, în vederea aprecierii rezultatelor obţinute şi identificării necesităţilor de dezvoltare profesională.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Evaluarea funcţionarului public înlocuieşte complet şi definitiv procedura de atestare a funcţionarului public, aplicată anterior de 01 ianuarie 2009.</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Procedura de evaluare nu se aplică funcţionarilor publici debutanţi.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Evaluarea funcţionarului public se desfăşoară anual. Sunt evaluate performanţele, abilităţile profesionale şi caracteristicile comportamentale manifestate în perioada 1 ianuarie – 31 decembrie a fiecărui an.</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Procedura de evaluare are loc în perioada 15 decembrie a anului în curs – 15 februarie a anului următor.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Funcţionarii publici care au activat mai puţin de 4 luni într</w:t>
      </w:r>
      <w:r w:rsidRPr="00A753E9">
        <w:rPr>
          <w:rFonts w:ascii="Cambria Math" w:hAnsi="Cambria Math" w:cs="Cambria Math"/>
          <w:color w:val="000000"/>
          <w:sz w:val="18"/>
          <w:szCs w:val="18"/>
          <w:shd w:val="clear" w:color="auto" w:fill="FFFFFF"/>
          <w:lang w:val="en-US"/>
        </w:rPr>
        <w:t>‐</w:t>
      </w:r>
      <w:r w:rsidRPr="00A753E9">
        <w:rPr>
          <w:rFonts w:ascii="Arial" w:hAnsi="Arial" w:cs="Arial"/>
          <w:color w:val="000000"/>
          <w:sz w:val="18"/>
          <w:szCs w:val="18"/>
          <w:shd w:val="clear" w:color="auto" w:fill="FFFFFF"/>
          <w:lang w:val="en-US"/>
        </w:rPr>
        <w:t>o funcţie publică nu sunt evaluaţi.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Evaluarea funcţionarilor publici are efecte pozitive şi contribuie direct la îmbunătăţirea performanţei individuale şi instituţionale, doar în cazul în care se aplică în mod obiectiv, transparent şi echitabil.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Evaluarea funcţionarilor publici îşi propune aprecierea a două componente de bază a performanţei individuale: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1.Obiectivele individuale de activitate reprezintă priorităţi</w:t>
      </w:r>
      <w:r w:rsidRPr="00A753E9">
        <w:rPr>
          <w:rFonts w:ascii="Cambria Math" w:hAnsi="Cambria Math" w:cs="Cambria Math"/>
          <w:color w:val="000000"/>
          <w:sz w:val="18"/>
          <w:szCs w:val="18"/>
          <w:shd w:val="clear" w:color="auto" w:fill="FFFFFF"/>
          <w:lang w:val="en-US"/>
        </w:rPr>
        <w:t>‐</w:t>
      </w:r>
      <w:r w:rsidRPr="00A753E9">
        <w:rPr>
          <w:rFonts w:ascii="Arial" w:hAnsi="Arial" w:cs="Arial"/>
          <w:color w:val="000000"/>
          <w:sz w:val="18"/>
          <w:szCs w:val="18"/>
          <w:shd w:val="clear" w:color="auto" w:fill="FFFFFF"/>
          <w:lang w:val="en-US"/>
        </w:rPr>
        <w:t>cheie în activitatea funcţionarului public, care implică rezultatele dorite/scontate şi urmează a fi realizate în perioada evaluată. Pentru fiecare obiectiv sunt stabiliţi indicatori de performanţă, care măsoară cantitativ şi calitativ realizarea obiectivelor stabilite anual şi aprobate de conducerea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Criteriile de evaluare reprezintă abilităţile profesionale şi comportamentul/atitudinile necesare funcţionarului public pentru a</w:t>
      </w:r>
      <w:r w:rsidRPr="00A753E9">
        <w:rPr>
          <w:rFonts w:ascii="Cambria Math" w:hAnsi="Cambria Math" w:cs="Cambria Math"/>
          <w:color w:val="000000"/>
          <w:sz w:val="18"/>
          <w:szCs w:val="18"/>
          <w:shd w:val="clear" w:color="auto" w:fill="FFFFFF"/>
          <w:lang w:val="en-US"/>
        </w:rPr>
        <w:t>‐</w:t>
      </w:r>
      <w:r w:rsidRPr="00A753E9">
        <w:rPr>
          <w:rFonts w:ascii="Arial" w:hAnsi="Arial" w:cs="Arial"/>
          <w:color w:val="000000"/>
          <w:sz w:val="18"/>
          <w:szCs w:val="18"/>
          <w:shd w:val="clear" w:color="auto" w:fill="FFFFFF"/>
          <w:lang w:val="en-US"/>
        </w:rPr>
        <w:t>şi îndeplini cît mai optim obiectivele stabilite şi sarcinile de bază ale funcţiei deţinute. În funcţie de specificul activităţii, criteriile de evaluare pentru funcţionarii publici de conducere (cu funcţii manageriale) diferă de criteriile de evaluare stabilite pentru funcţionarii publici de execuţie.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Criteriile de evaluare ale funcţionarilor publici sunt următoarele: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pentru funcţiile de conducere:/dari publici de execuţie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Competenţă managerială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Competenţă profesională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Activism şi spirit de iniţiativă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 Creativitate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 Eficienţă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 Comunicare şi reprezentare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 pentru funcţiile de execuţie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Competenţă profesională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Activism şi spirit de iniţiativă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Eficienţă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 Calitate a muncii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5.Lucru în echipă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6.Comunicare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Principiile de bază ale evaluării performanţelor</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xml:space="preserve">Evaluarea performanţelor profesionale ale funcţionarului public în cadrul ministerului se realizează în conformitate cu </w:t>
      </w:r>
      <w:r w:rsidRPr="00A753E9">
        <w:rPr>
          <w:rFonts w:ascii="Arial" w:hAnsi="Arial" w:cs="Arial"/>
          <w:color w:val="000000"/>
          <w:sz w:val="18"/>
          <w:szCs w:val="18"/>
          <w:shd w:val="clear" w:color="auto" w:fill="FFFFFF"/>
          <w:lang w:val="en-US"/>
        </w:rPr>
        <w:lastRenderedPageBreak/>
        <w:t>următoarele principii de bază:</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a) obiectivitate – factorii implicaţi în procesul de evaluare vor lua decizii în mod imparţial în baza argumentelor şi faptelor concrete, astfel încît să redea cît se poate de exact atît meritele, performanţele, cît şi deficienţele şi nerealizările înregistrate în activitatea celui evaluat;</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b) cooperare şi comunicare continuă – asigurarea unui mediu cooperant şi menţinerea unor relaţii de comunicare deschisă şi permanentă între toţi factorii implicaţi în procesul de evaluare;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 respectare a demnităţii – asigurarea unui mediu în cadrul căruia este respectată demnitatea fiecărui funcţionar public şi a unui climat liber de orice manifestare şi formă de hărţuire, exploatare, umilire, dispreţ, ameninţare sau intimidare.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În procesul evaluării performanţelor profesionale ale funcţionarilor publici din cadrul ministerului se stabilesc obiective individuale de activitate pentru fiecare funcţionar public pentru anul următor. Între obiectivele individuale şi obiectivele instituţionale trebuie să fie o legătura strânsă. Obiectivele strategice, stabilite la nivel de autoritate publică, trebuie să fie detalizate în obiective specifice pentru subdiviziunile instituţiei, iar acestea din urma să fie detalizate în obiective şi mai specifice şi concrete pentru funcţionarii publici din subdiviziune.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Obiectivele la nivel instituţional sunt stabilite în mai multe documente strategice. În cadrul ministerului, documentul cel mai important pentru stabilirea obiectivelor instituţionale este Programul de Dezvoltare Strategică 2012-2014 (PDS), care se implementează în baza Planurilor anuale de activitate ale autorităţii publice.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Un aspect important al managementului resurselor umane îl constituie sistemul de management al performanţei aplicat în cadrul autorităţii publice, inclusiv sistemul de evaluare a performanţei organizaţionale, deoarece prin evaluare putem să înţelegem mai bine cum au fost obţinute rezultatele individuale, la nivel de subdiviziune şi autoritate publică, care au fost barierele şi care este modalitatea optimă de depăşire ale acestora.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Unul din rolurile fiecărui conducător de subdiviziune constă în asigurarea unui management eficient al personalului din subordine pentru a atinge rezultate optime la toate nivelurile (funcţionar public, subdiviziune, autoritate publică). Astfel, conducătorul de subdiviziune, întru asigurarea şi menţinerea unei performanţe sporite a personalului aplică tehnici şi instrumente manageriale pentru a menţine un climat motivaţional pozitiv de muncă şi de dezvoltare profesională continuă.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Funcţionarii publici care nu sunt de acord cu rezultatul evaluării pot să îl conteste în ordinea şi în termenii stipulaţi în Regulamentul cu privire la evaluarea performanţelor profesionale ale funcţionarului public (Hotărîrea Guvernului nr.201 din 11 03.2009).</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III. DEZVOLTAREA PROFESIONALĂ CONTINUĂ 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FUNCŢIONARILOR PUBLICI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Dezvoltarea profesională continuă este atît un drept cît şi o obligaţie a funcţionarului public, ambele stipulate în Legea nr.158-XVI din 04.07.2008 cu privire la funcţia publică şi statutul funcţionarului public Dezvoltarea profesională continuă este o parte indispensabilă a activităţii de zi cu zi a oricărui funcţionar public.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Dezvoltarea profesională continuă a funcţionarilor publici presupune activitatea de aprofundare şi de actualizare a cunoştinţelor, de dezvoltare a aptitudinilor şi de modelare a atitudinilor personalului, necesare pentru realizarea eficientă a obiectivelor ce ţin de activitatea profesională.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Pentru ca sistemul de dezvoltare profesională a funcţionarilor publici să devină eficient, el trebuie să se bazeze pe următoarele principii: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garantarea dreptului fiecărui funcţionar la dezvoltarea potenţialului propriu prin oferirea posibilităţilor de dezvoltare continuă;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obiectivitate, sistemul de dezvoltare profesională continuă trebuie să asigure posibilităţi egale fiecărui funcţionar public la instruire, atît în ţară, cît şi peste hotare, fără nici un fel de discriminare pe criterii de sex, vârstă, naţionalitate, etc.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transparenţă, politica de dezvoltarea profesională continuă a funcţionarilor publici, procedurile de realizare a procesului de instruire vor fi clar formulate, cunoscute şi înţelese de toţi funcţionarii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Instruirea funcţionarului public sau a oricărui alt angajat trebuie abordată în cadrul ministerului în contextul activităţii acestuia în calitate de colaborator al ministerului, cît şi în contextul vieţii şi dezvoltării în ansamblu al acestuia. Fiecare funcţionar public îşi dezvoltă o strategie proprie de învăţare, bazată pe autoevaluarea propriilor posibilităţi începând să înveţe în momentul în care observă necesitatea unei schimbări.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xml:space="preserve">În cadrul Ministerului Economiei, anual se identifică necesităţile de instruire ale funcţionarilor publici. Secţia resurse umane elaborează şi prezintă conducerii spre aprobare Planul de perfecţionare continuă a funcţionarilor publici, care </w:t>
      </w:r>
      <w:r w:rsidRPr="00A753E9">
        <w:rPr>
          <w:rFonts w:ascii="Arial" w:hAnsi="Arial" w:cs="Arial"/>
          <w:color w:val="000000"/>
          <w:sz w:val="18"/>
          <w:szCs w:val="18"/>
          <w:shd w:val="clear" w:color="auto" w:fill="FFFFFF"/>
          <w:lang w:val="en-US"/>
        </w:rPr>
        <w:lastRenderedPageBreak/>
        <w:t>ulterior se prezintă Cancelariei de Stat pentru identificare prestatorilor serviciilor de 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Cursurile de perfecţionare profesională a funcţionarilor publici în cadrul ministerului se desfăşoară atît prin instruiri interne cît şi externe.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Anual sunt alocate mijloace financiare pentru desfăşurarea procesului de instruire internă.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Dezvoltarea profesională a funcţionarilor publici este asigurată :</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de către prestatorii de servicii în domeniul instruirii din sectorul de stat (Academia de Administrare Publică pe lîngă Preşedintele Republicii Moldova prin intermediul comenzii de stat şi a Fondului fiduciar multi-donator), cît şi din cel privat şi neguvernamental (universităţi, centre de instruire, şcoli de business, în cadrul diferitelor proiecte).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de către practicieni: funcţionari publici competenţi de nivel republican şi local, conducători de performanţă;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de către diferite organizaţii internaţionale;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prin diverse tipuri şi forme de instruire internă (în cadrul ministerului) prin desfăşurarea de seminare, conferinţe, mese rotunde, tutelare, autoinstruire.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cursuri on –line organizate de către Organizaţia Mondială a Comerţului .</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IV.CARIERA PROFESIONALĂ A FUNCŢIONARILOR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Cariera profesională a funcţionarilor publici este o succesiune a poziţiilor şi posturilor de muncă, funcţiilor ocupate de o persoană în timpul activităţii profesionale.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Cariera profesională a funcţionarilor publici începe de la poziţia de funcţionar public debutant, căruia i se stabileşte perioadă de probă 6 luni. Perioada de probă se desfăşoară în baza unui Program individual de desfăşurare a perioadei de probă şi a unui Plan individual de instruire a funcţionarului public debutant.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Perioada de probă are drept scop verificarea cunoştinţelor, abilităţilor şi aptitudinilor profesionale în îndeplinirea funcţiei publice, formarea practică a funcţionarilor publici debutanţi, precum şi cunoaşterea de către aceştia a specificului şi exigenţelor administraţiei publice. Pe parcursul perioadei de probă , activitatea funcţionarului public debutant se desfăşoară sub îndrumarea unui mentor care se desemnează odată cu numirea acestuia în funcţie. După expirarea acestui termen şi în funcţie de rezultatele evaluării activităţii, se emite actul administrativ de confirmare în sau de eliberare din funcţia publică a funcţionarului public debutant.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Noii angajaţii, care anterior au deţinut funcţie publică sunt numiţi în funcţie conform legislaţiei în vigoare (prin promovare, transfer sau concurs) şi sunt familiarizaţi la angajare cu Ghidul noului angajat aprobat de conducerea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Promovarea ca modalitate a modificării raporturilor de serviciu este modalitatea de dezvoltare a carierei prin ocuparea unei funcţii publice superioare celei exercitate.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Promovarea se face în bază de merit la funcţia publică vacantă atunci cînd funcţionarul public a obţinut în urma evaluării performanţelor profesionale calificativul „foarte bine” la ultima evaluare sau calificativul „bine” la ultimele 2 evaluări.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Totodată, pentru motivarea personalului paralel cu motivarea financiară în cadrul ministerului se folosesc sau pot fi folosite şi alte motivaţii non financiare: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comunicare corectă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confort la locul de muncă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instruiri şi traininguri interne şi peste hotare de scurtă şi lungă durată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abonamente sau accesul la cluburile de sport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scurte programe de relaxare şi energizare la locul de muncă, menite să elimine stresul şi să creeze noi asociaţii mentale între locul de muncă şi starea de spirit a salariatului.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recunoaşterea publică a meritelor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sărbătorirea zilei de naştere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organizarea activităţilor corporative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organizarea excursiilor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creşterea spiritului competitiv, dezvoltarea ambiţiei şi a dorinţei de reuşită a personalului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creşterea coeziunii de echipă şi îmbunătăţirea atmosferei de lucru.</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e.t.c</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V. COLECTAREA, PĂSTRAREA ŞI UTILIZAREA INFORMAŢIEI DESPRE FUNCŢIONARII PUBLICI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Colectarea păstrarea şi utilizarea informaţiei despre funcţionarii publici se efectuează printr-un sistem informaţional unic ce reprezintă un ansamblu organizat de metode, proceduri şi mijloace folosite pentru aceasta.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Sistemul informaţional unic asigură informatizarea diferitelor activităţi privind resursele umane cum sînt: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evidenţa şi administrarea personalului;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stabilirea cuantumului recompenselor;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monitorizarea şi analiza fluctuaţiei personalului;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planificarea resurselor umane;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recrutarea, angajarea personalului;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evaluarea şi promovarea personalului, dezvoltarea lui profesională;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lastRenderedPageBreak/>
        <w:t>- evidenţa funcţiilor publice vacante, etc.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În acest sistem se include Matricea de evidenţă a instruirii personalului din cadrul ministerului, formularul „Date generale cu privire la personalul din cadrul ministerului”, registrul funcţionarilor publici şi dosarele personale ale acestora, care conţin următoarele date personale: numele, prenumele, patronimicul, domiciliul, data naşterii, funcţia publică pe care o ocupă, vechimea în această funcţie, studiile, documentul de numire în funcţie, cel referitor la depunerea jurământului, actele de studii, instruirile desfăşurate, precum şi certificatele privind cursurile de perfecţionare, evaluarea anuală a performanţelor profesionale ale funcţionarului public, obiectivele individuale de activitate ale funcţionarului public, fişa postului, atribuirea gradelor de calificare, promovările în funcţie, sancţiunile disciplinare, etc.</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VI. MECANISMUL DE REALIZARE A POLITICII DE PERSONAL</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La compartimentul recrutării şi selectării personalului: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Conducerea Ministerului Economiei: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Asigură managementul eficient privind recrutarea şi selectarea personalului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Ia decizii cu privire la modalitatea de ocupare a funcţiei publice vacante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Emite actul administrativ de numire în funcţie a personalului.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Conducătorul subdiviziunii structurale: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Participă la identificarea posturilor de muncă din cadrul subdiviziunii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Participă activ la organizarea şi desfăşurarea procesului de recrutare şi selectare a personalului , la procedurile privind ocuparea funcţiilor publice vacante.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Secţia resurse umane elaborează şi implementează următoarele măsuri: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Prognozează şi planifică necesarul de personal.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Identifică posturile de muncă, funcţiile vacante.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Aplică proceduri de personal conform legislaţiei cu privire la funcţia publică şi statutul funcţionarului publici privind ocuparea funcţiei publice vacante.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 Întocmeşte şi prezintă Cancelariei de Stat rapoarte curente şi anuale cu privire la activitatea de recrutare şi selectare a personalului.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 În caz de necesitate organizează şi desfăşoară procesul de recrutare şi selectare prin concurs a candidaţilor pentru ocuparea funcţiilor publice vacante în temeiul prevederilor Legii nr.158-XVI din 04.07.2008 şi Hotărîrii Guvernului nr.201 din 11.03.2010 „Privind punerea în aplicare a prevederilor Legii nr.158-XVI din 04 iulie 2008 cu privire la funcţia publică şi statutul funcţionarului public”.</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La compartimentul evaluării performanţelor profesionale ale funcţionarului public din aparatul central al Ministerului Economiei :</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Conducerea Ministerului Economiei :</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Asigură managementul eficient al performanţei autorităţii publice prin analiza, monitorizarea şi evaluarea performanţei subdiviziunilor în raport cu performanţa autorităţii. Conducătorul autorităţii publice este responsabil de distribuirea corectă şi obiectivă a calificativelor de evaluare în cadrul autorităţii.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2..Aprobă la sfârşitul anului de gestiune actul administrativ cu privire la evaluarea performanţelor profesionale ale funcţionarului public şi fişele de stabilire a obiectivelor individuale de activitate pentru anul următor.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3.În baza rezultatelor evaluării, ia decizia cu privire la personal.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4.Monitorizează procesul de evaluare a performanţelor profesionale ale funcţionarilor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5.Examinează, după caz, contestările apărute în procesul de evaluare a performanţelor profesionale , ia decizia cu privire la soluţionarea lor.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 Aprobă rapoarte anuale cu privire la evaluarea performanţelor profesionale ale funcţionarilor publici, pentru ulterioara prezentare către Cancelaria de Stat</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Funcţionarul public :</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Fiecare funcţionar public este obligat să participe la toate etapele procesului de evaluare, să manifeste colaborare şi deschidere.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Evaluatorul: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lastRenderedPageBreak/>
        <w:t>Evaluatorul este persoana care nemijlocit evaluează activitatea funcţionarului public din subordinea directă a acestuia.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Evaluatorul: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apreciază performanţele funcţionarului public;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identifică necesităţile de 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stabileşte calificativul de evaluare,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 stabileşte obiectivele individuale de activitate ale funcţionarilor publici din subordine pentru anul următor.</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Contrasemnatarul: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Contrasemnatarul este superiorul direct al evaluatorului şi are rolul de a verifica: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corectitudinea aplicării procedurii de evaluare a funcţionarilor publici şi de a interveni în cazul în care au fost înregistrate careva încălcări;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corespunderea nivelului de performanţă a subdiviziunii interioare.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Secţia resurse umane a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1.Asigură implementarea corectă a procesului de evaluare prin oferirea asistenţei informaţionale şi metodologice pentru toţi factorii implicaţi în procesul de evaluare.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2.Elaborează la sfârşitul anului de gestiune actul administrativ cu privire la evaluarea performanţelor profesionale ale funcţionarului public şi sistematizează pentru a fi plasate în dosarele personale fişele de stabilire a obiectivelor individuale de activitate pentru anul următor.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3.Monitorizează procesul de evaluare a performanţelor profesionale ale funcţionarului public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 Elaborează şi prezintă conducerii ministerului propuneri cu privire la soluţionarea contestărilor apărute în procesul de apreciere a performanţelor profesionale.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 Acumulează şi analizează informaţiile cu privire la evaluarea performanţelor profesionale ale funcţionarilor publici, întocmeşte rapoarte anuale în baza ei şi le prezintă conducerii ministerului şi Cancelariei de Stat.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6.În baza rezultatelor evaluării performanţelor profesionale ale funcţionarului public, după caz, se elaborează propuneri şi se prezintă conducerii ministerului pentru ulterioara promovare în funcţia publică superioară vacantă.</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La compartimentul dezvoltarea profesională continuă a funcţionarilor publici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Conducerea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Stabileşte obiectivele de instruire, a căror realizare va contribui la obţinerea unor performanţe mai înalte de către funcţionarii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Aprobă planurile de 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Alocă mijloacele financiare necesare.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4.Monitorizează procesul de dezvoltare profesională a colaboratorilor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 Prezintă Cancelariei de Stat rapoarte trimestriale şi anuale cu privire la dezvoltarea profesională a colaboratorilor ministerului.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Conducătorii subdiviziunilor structurale: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Participă la identificarea necesităţilor în instruire pentru funcţionarii publici din subordine.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Monitorizează procesul de dezvoltare profesională a colaboratorilor din subordine.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Asigură condiţiile necesare pentru desfăşurarea procesului de instruire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Secţia resurse umane: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Identifică necesităţile de instruire ale personalului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Planifică procesul de 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Negociază cu prestatorii serviciilor de instruire interni şi externi.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 Asigură condiţiile necesare pentru desfăşurarea procesului de 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 Evaluează procesul de 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 Ţine evidenţa datelor ce ţin de instruirea personalului prin intermediul Registrului de evidenţă a instruirilor.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Funcţionarul public din cadrul ministerului: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Are dreptul şi obligaţia de a-şi perfecţiona, în mod continuu abilităţile şi pregătirea profesională.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2.Colaborează cu conducerea ministerului şi Secţia resurse umane la identificarea necesităţilor individuale de instruire.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Participă activ la realizarea obiectivelor instruirii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 Oferă informaţii necesare pentru evaluarea eficienţei instruirii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 Aplică cunoştinţele şi abilităţile obţinute în procesul de instruire în activitatea practică.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 Împărtăşeşte cu colegii din echipă cunoştinţele acumulate în procesul dezvoltării profesionale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La compartimentul carierei profesionale a funcţionarilor publici.</w:t>
      </w:r>
      <w:r w:rsidRPr="00A753E9">
        <w:rPr>
          <w:rFonts w:ascii="Arial" w:hAnsi="Arial" w:cs="Arial"/>
          <w:color w:val="000000"/>
          <w:sz w:val="18"/>
          <w:szCs w:val="18"/>
          <w:lang w:val="en-US"/>
        </w:rPr>
        <w:br/>
      </w:r>
      <w:r w:rsidRPr="00A753E9">
        <w:rPr>
          <w:rFonts w:ascii="Arial" w:hAnsi="Arial" w:cs="Arial"/>
          <w:color w:val="000000"/>
          <w:sz w:val="18"/>
          <w:szCs w:val="18"/>
          <w:lang w:val="en-US"/>
        </w:rPr>
        <w:lastRenderedPageBreak/>
        <w:br/>
      </w:r>
      <w:r w:rsidRPr="00A753E9">
        <w:rPr>
          <w:rFonts w:ascii="Arial" w:hAnsi="Arial" w:cs="Arial"/>
          <w:color w:val="000000"/>
          <w:sz w:val="18"/>
          <w:szCs w:val="18"/>
          <w:shd w:val="clear" w:color="auto" w:fill="FFFFFF"/>
          <w:lang w:val="en-US"/>
        </w:rPr>
        <w:t>Conducerea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Defineşte politica cu privire la cariera profesională a funcţionarilor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2.Ia decizii cu privire la conferirea, avansarea în grad de calificare, precum şi promovarea în funcţie publică vacantă a funcţionarilor publici din cadrul ministerului în baza rezultatelor evaluării anuale a performanţelor profesionale ale acestora.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Monitorizează procesul ce ţine de cariera profesională a funcţionarilor publici.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Secţia resurse umane: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Organizează şi desfăşoară procedurile respective legate de cariera funcţionarilor publici (promovare, transfer)</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Întocmeşte acte administrative respective cu privire la avansarea în grad de calificare, promovarea în funcţie a funcţionarilor publici la funcţiile publice/posturile vacante, precum şi transferul acestora la funcţii echivalente celei deţinute din cadrul altor subdiviziuni ale autorităţii, şi le prezintă conducerii ministerului pentru aprobare.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La compartimentul colectării, păstrării şi utilizării informaţiei despre funcţionarii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Conducerea ministerului: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Analizează informaţiile cu privire la funcţionarii publici şi funcţiile publice, utilizează aceste informaţii în procesele decizionale.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Prezintă Cancelariei de Stat rapoarte semestriale, trimestriale şi anuale cu privire la managementul funcţiilor publice şi al funcţionarilor publici.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Secţia resurse umane: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 Colectează şi păstrează informaţiile despre funcţionarii publici, le utilizează la perfectarea rapoartelor cu privire la personal.</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 Modifică şi completează datele din registrul funcţionarilor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 Întocmeşte rapoarte semestriale, trimestriale şi anuale cu privire la managementul funcţiilor publice şi al funcţionarilor publici şi le prezintă conducerii.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La compartimentul integrării socioprofesionale a noilor angajaţi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Conducătorul subdiviziunii:</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1.asigură amenajarea locului de muncă al noului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2.informează colegii despre primirea noului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3.prezintă noul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4.explică drepturile şi obligaţiile angajatului;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5.împreună cu noul angajat examinează fişa postului pentru poziţia acestuia;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6.comunică programul de muncă şi odihnă în cadrul autorităţii;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7.explică cerinţele de muncă: disciplina tehnologică şi organizatorică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8.realizează dialogul direct şi periodic cu noul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9.realizează controlul integrării noului angajat etc.</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Secţia resurse umane:</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1.elaborează şi prezintă spre aprobare conducerii ministerului Ghidul noului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2.perfectează permisul pentru accesul liber al noului angajat în sediul autorităţii publice;</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3.perfectează ordinul privind numirea sau confirmarea în funcţie a funcţionarului public;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4.explică mărimea salariului de funcţie, sporurile la salariu, sistemul de premii, alte recompense de care beneficiază funcţionarii publici;</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5.în comun cu conducătorul subdiviziunii în care activează, noul angajat /funcţionarul public debutant şi mentorul acestuia, întocmeşte Programul de desfăşurare a perioadei de probă a funcţionarului public debutant; Programul individual de instruire a acestuia;</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6.familiarizează noul angajat cu organigrama autorităţii publice, punctele de reper referitoare la politica şi strategia autorităţii publice, locul de amplasare a subdiviziunii în care se află locul de muncă;</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7.familiarizează noul angajat cu locul de amplasare a spaţiilor auxiliare: cantina, punctul medical, vestiarul etc.</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8.monitorizează activitatea de integrare etc.</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Mentorul:</w:t>
      </w:r>
      <w:r w:rsidRPr="00A753E9">
        <w:rPr>
          <w:rFonts w:ascii="Arial" w:hAnsi="Arial" w:cs="Arial"/>
          <w:color w:val="000000"/>
          <w:sz w:val="18"/>
          <w:szCs w:val="18"/>
          <w:lang w:val="en-US"/>
        </w:rPr>
        <w:br/>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1.sensibilizează echipa de lucru pentru acceptarea noului angajat;</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 xml:space="preserve">2.familiarizează noul angajat cu sistemul de relaţii interpersonale din colectiv, tradiţiile lui, regulile de comportament </w:t>
      </w:r>
      <w:r w:rsidRPr="00A753E9">
        <w:rPr>
          <w:rFonts w:ascii="Arial" w:hAnsi="Arial" w:cs="Arial"/>
          <w:color w:val="000000"/>
          <w:sz w:val="18"/>
          <w:szCs w:val="18"/>
          <w:shd w:val="clear" w:color="auto" w:fill="FFFFFF"/>
          <w:lang w:val="en-US"/>
        </w:rPr>
        <w:lastRenderedPageBreak/>
        <w:t>în cadrul echipei de lucru;</w:t>
      </w:r>
      <w:r w:rsidRPr="00A753E9">
        <w:rPr>
          <w:rFonts w:ascii="Arial" w:hAnsi="Arial" w:cs="Arial"/>
          <w:color w:val="000000"/>
          <w:sz w:val="18"/>
          <w:szCs w:val="18"/>
          <w:lang w:val="en-US"/>
        </w:rPr>
        <w:br/>
      </w:r>
      <w:r w:rsidRPr="00A753E9">
        <w:rPr>
          <w:rFonts w:ascii="Arial" w:hAnsi="Arial" w:cs="Arial"/>
          <w:color w:val="000000"/>
          <w:sz w:val="18"/>
          <w:szCs w:val="18"/>
          <w:shd w:val="clear" w:color="auto" w:fill="FFFFFF"/>
          <w:lang w:val="en-US"/>
        </w:rPr>
        <w:t>3.încurajează generarea iniţiativelor noului angajat.</w:t>
      </w:r>
    </w:p>
    <w:sectPr w:rsidR="008F16ED" w:rsidRPr="00A753E9" w:rsidSect="008F16ED">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753E9"/>
    <w:rsid w:val="008F16ED"/>
    <w:rsid w:val="00A75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5093</Words>
  <Characters>29031</Characters>
  <Application>Microsoft Office Word</Application>
  <DocSecurity>0</DocSecurity>
  <Lines>241</Lines>
  <Paragraphs>68</Paragraphs>
  <ScaleCrop>false</ScaleCrop>
  <Company/>
  <LinksUpToDate>false</LinksUpToDate>
  <CharactersWithSpaces>34056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Nicoleta</cp:lastModifiedBy>
  <cp:revision>1</cp:revision>
  <dcterms:created xsi:type="dcterms:W3CDTF">2014-01-29T07:06:00Z</dcterms:created>
  <dcterms:modified xsi:type="dcterms:W3CDTF">2014-01-29T07:07:00Z</dcterms:modified>
</cp:coreProperties>
</file>