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3C" w:rsidRPr="0005786A" w:rsidRDefault="0016223C" w:rsidP="0016223C">
      <w:pPr>
        <w:pStyle w:val="Heading3"/>
        <w:tabs>
          <w:tab w:val="left" w:pos="851"/>
          <w:tab w:val="left" w:pos="2268"/>
          <w:tab w:val="left" w:pos="2835"/>
          <w:tab w:val="left" w:pos="3969"/>
          <w:tab w:val="left" w:pos="4253"/>
          <w:tab w:val="left" w:pos="5103"/>
          <w:tab w:val="left" w:pos="7655"/>
        </w:tabs>
        <w:ind w:left="0"/>
        <w:jc w:val="right"/>
        <w:rPr>
          <w:sz w:val="18"/>
          <w:szCs w:val="18"/>
        </w:rPr>
      </w:pPr>
      <w:r w:rsidRPr="0005786A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1114D3" w:rsidRPr="0005786A" w:rsidTr="004C0913">
        <w:tc>
          <w:tcPr>
            <w:tcW w:w="9776" w:type="dxa"/>
            <w:shd w:val="clear" w:color="auto" w:fill="D9D9D9" w:themeFill="background1" w:themeFillShade="D9"/>
            <w:vAlign w:val="center"/>
          </w:tcPr>
          <w:p w:rsidR="001114D3" w:rsidRPr="0005786A" w:rsidRDefault="001114D3" w:rsidP="004C0913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05786A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NOTA INFORMATIVĂ </w:t>
            </w:r>
          </w:p>
          <w:p w:rsidR="001114D3" w:rsidRPr="0005786A" w:rsidRDefault="001114D3" w:rsidP="004C0913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05786A">
              <w:rPr>
                <w:b/>
                <w:color w:val="000000" w:themeColor="text1"/>
                <w:sz w:val="24"/>
                <w:szCs w:val="24"/>
                <w:lang w:val="ro-RO"/>
              </w:rPr>
              <w:t>privind starea actuală a relațiilor comercial-economice</w:t>
            </w:r>
          </w:p>
          <w:p w:rsidR="001114D3" w:rsidRPr="0005786A" w:rsidRDefault="001114D3" w:rsidP="004C0913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05786A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între Republica Moldova şi </w:t>
            </w:r>
            <w:r w:rsidR="00B27F25" w:rsidRPr="0005786A">
              <w:rPr>
                <w:b/>
                <w:color w:val="000000" w:themeColor="text1"/>
                <w:sz w:val="24"/>
                <w:szCs w:val="24"/>
                <w:lang w:val="ro-RO"/>
              </w:rPr>
              <w:t>Emiratele Arabe Unite</w:t>
            </w:r>
            <w:r w:rsidRPr="0005786A">
              <w:rPr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  <w:p w:rsidR="001114D3" w:rsidRPr="0005786A" w:rsidRDefault="001114D3" w:rsidP="004C0913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1114D3" w:rsidRPr="0005786A" w:rsidRDefault="001114D3" w:rsidP="001114D3">
      <w:pPr>
        <w:rPr>
          <w:sz w:val="24"/>
          <w:szCs w:val="24"/>
          <w:lang w:val="ro-RO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1114D3" w:rsidRPr="0005786A" w:rsidTr="004C0913">
        <w:tc>
          <w:tcPr>
            <w:tcW w:w="9776" w:type="dxa"/>
            <w:shd w:val="clear" w:color="auto" w:fill="D9D9D9" w:themeFill="background1" w:themeFillShade="D9"/>
          </w:tcPr>
          <w:p w:rsidR="001114D3" w:rsidRPr="0005786A" w:rsidRDefault="001114D3" w:rsidP="00DA13F0">
            <w:pPr>
              <w:spacing w:before="120" w:after="120" w:line="276" w:lineRule="auto"/>
              <w:rPr>
                <w:bCs/>
                <w:color w:val="000000" w:themeColor="text1"/>
                <w:sz w:val="24"/>
                <w:szCs w:val="24"/>
                <w:lang w:val="ro-RO"/>
              </w:rPr>
            </w:pPr>
            <w:r w:rsidRPr="0005786A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Cadrul juridic.</w:t>
            </w:r>
          </w:p>
        </w:tc>
      </w:tr>
      <w:tr w:rsidR="001114D3" w:rsidRPr="00A2394D" w:rsidTr="004C0913">
        <w:tc>
          <w:tcPr>
            <w:tcW w:w="9776" w:type="dxa"/>
          </w:tcPr>
          <w:p w:rsidR="00096A5C" w:rsidRPr="0005786A" w:rsidRDefault="001114D3" w:rsidP="00DA13F0">
            <w:pPr>
              <w:spacing w:before="120" w:after="120" w:line="276" w:lineRule="auto"/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 w:rsidRPr="0005786A">
              <w:rPr>
                <w:color w:val="000000" w:themeColor="text1"/>
                <w:sz w:val="24"/>
                <w:szCs w:val="24"/>
                <w:lang w:val="ro-RO"/>
              </w:rPr>
              <w:t>Principalele Acorduri cu caracter economic:</w:t>
            </w:r>
            <w:r w:rsidR="00B27F25" w:rsidRPr="0005786A">
              <w:rPr>
                <w:color w:val="000000" w:themeColor="text1"/>
                <w:sz w:val="24"/>
                <w:szCs w:val="24"/>
                <w:lang w:val="ro-RO"/>
              </w:rPr>
              <w:tab/>
            </w:r>
          </w:p>
          <w:p w:rsidR="00096A5C" w:rsidRPr="0005786A" w:rsidRDefault="00B27F25" w:rsidP="00DA13F0">
            <w:pPr>
              <w:spacing w:before="120" w:after="120" w:line="276" w:lineRule="auto"/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 w:rsidRPr="0005786A">
              <w:rPr>
                <w:color w:val="000000" w:themeColor="text1"/>
                <w:sz w:val="24"/>
                <w:szCs w:val="24"/>
                <w:lang w:val="ro-RO"/>
              </w:rPr>
              <w:t>Acordul între Guvernul Republicii Moldova şi Guvernul Emiratelor Arabe Unite privind promovarea şi protejarea reciprocă a investiţiilor (</w:t>
            </w:r>
            <w:r w:rsidR="00DC226C">
              <w:rPr>
                <w:color w:val="000000" w:themeColor="text1"/>
                <w:sz w:val="24"/>
                <w:szCs w:val="24"/>
                <w:lang w:val="ro-RO"/>
              </w:rPr>
              <w:t>prin Decretul Președintelui nr. 180-XVIII din 15.05.2017 a fost aprobată semnarea acordului respectiv</w:t>
            </w:r>
            <w:r w:rsidRPr="0005786A">
              <w:rPr>
                <w:color w:val="000000" w:themeColor="text1"/>
                <w:sz w:val="24"/>
                <w:szCs w:val="24"/>
                <w:lang w:val="ro-RO"/>
              </w:rPr>
              <w:t xml:space="preserve">); </w:t>
            </w:r>
          </w:p>
          <w:p w:rsidR="00096A5C" w:rsidRPr="0005786A" w:rsidRDefault="00B27F25" w:rsidP="00DA13F0">
            <w:pPr>
              <w:spacing w:before="120" w:after="120" w:line="276" w:lineRule="auto"/>
              <w:jc w:val="both"/>
              <w:rPr>
                <w:color w:val="000000" w:themeColor="text1"/>
                <w:sz w:val="24"/>
                <w:szCs w:val="24"/>
                <w:lang w:val="ro-RO"/>
              </w:rPr>
            </w:pPr>
            <w:r w:rsidRPr="0005786A">
              <w:rPr>
                <w:color w:val="000000" w:themeColor="text1"/>
                <w:sz w:val="24"/>
                <w:szCs w:val="24"/>
                <w:lang w:val="ro-RO"/>
              </w:rPr>
              <w:t xml:space="preserve">Acordul între Guvernul Republicii Moldova şi Guvernul Emiratelor Arabe Unite privind </w:t>
            </w:r>
            <w:r w:rsidR="00BF30A6">
              <w:rPr>
                <w:color w:val="000000" w:themeColor="text1"/>
                <w:sz w:val="24"/>
                <w:szCs w:val="24"/>
                <w:lang w:val="ro-RO"/>
              </w:rPr>
              <w:t>cooperarea economică și tehnică</w:t>
            </w:r>
            <w:r w:rsidR="00096A5C" w:rsidRPr="0005786A"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5786A">
              <w:rPr>
                <w:color w:val="000000" w:themeColor="text1"/>
                <w:sz w:val="24"/>
                <w:szCs w:val="24"/>
                <w:lang w:val="ro-RO"/>
              </w:rPr>
              <w:t>(</w:t>
            </w:r>
            <w:r w:rsidR="00BF30A6">
              <w:rPr>
                <w:color w:val="000000" w:themeColor="text1"/>
                <w:sz w:val="24"/>
                <w:szCs w:val="24"/>
                <w:lang w:val="ro-RO"/>
              </w:rPr>
              <w:t>prin HG nr. 516 din 5 iulie 2017 a fost aprobată semnarea acordului</w:t>
            </w:r>
            <w:r w:rsidRPr="0005786A">
              <w:rPr>
                <w:color w:val="000000" w:themeColor="text1"/>
                <w:sz w:val="24"/>
                <w:szCs w:val="24"/>
                <w:lang w:val="ro-RO"/>
              </w:rPr>
              <w:t xml:space="preserve">); </w:t>
            </w:r>
          </w:p>
          <w:p w:rsidR="001114D3" w:rsidRPr="0005786A" w:rsidRDefault="00BF30A6" w:rsidP="00DA13F0">
            <w:pPr>
              <w:spacing w:before="120" w:after="120" w:line="276" w:lineRule="auto"/>
              <w:jc w:val="both"/>
              <w:rPr>
                <w:bCs/>
                <w:noProof/>
                <w:kern w:val="32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 w:eastAsia="en-US"/>
              </w:rPr>
              <w:t>Acordul</w:t>
            </w:r>
            <w:r w:rsidR="00096A5C" w:rsidRPr="0005786A">
              <w:rPr>
                <w:rFonts w:eastAsia="Calibri"/>
                <w:sz w:val="24"/>
                <w:szCs w:val="24"/>
                <w:lang w:val="ro-RO" w:eastAsia="en-US"/>
              </w:rPr>
              <w:t xml:space="preserve"> </w:t>
            </w:r>
            <w:r w:rsidR="00096A5C" w:rsidRPr="0005786A">
              <w:rPr>
                <w:bCs/>
                <w:noProof/>
                <w:kern w:val="32"/>
                <w:sz w:val="24"/>
                <w:szCs w:val="24"/>
                <w:lang w:val="ro-RO"/>
              </w:rPr>
              <w:t xml:space="preserve">între </w:t>
            </w:r>
            <w:r w:rsidR="00DC226C">
              <w:rPr>
                <w:bCs/>
                <w:noProof/>
                <w:kern w:val="32"/>
                <w:sz w:val="24"/>
                <w:szCs w:val="24"/>
                <w:lang w:val="ro-RO"/>
              </w:rPr>
              <w:t xml:space="preserve">Guvernul </w:t>
            </w:r>
            <w:r w:rsidR="00096A5C" w:rsidRPr="0005786A">
              <w:rPr>
                <w:bCs/>
                <w:noProof/>
                <w:kern w:val="32"/>
                <w:sz w:val="24"/>
                <w:szCs w:val="24"/>
                <w:lang w:val="ro-RO"/>
              </w:rPr>
              <w:t>Republi</w:t>
            </w:r>
            <w:r w:rsidR="00DC226C">
              <w:rPr>
                <w:bCs/>
                <w:noProof/>
                <w:kern w:val="32"/>
                <w:sz w:val="24"/>
                <w:szCs w:val="24"/>
                <w:lang w:val="ro-RO"/>
              </w:rPr>
              <w:t>cii</w:t>
            </w:r>
            <w:r w:rsidR="00096A5C" w:rsidRPr="0005786A">
              <w:rPr>
                <w:bCs/>
                <w:noProof/>
                <w:kern w:val="32"/>
                <w:sz w:val="24"/>
                <w:szCs w:val="24"/>
                <w:lang w:val="ro-RO"/>
              </w:rPr>
              <w:t xml:space="preserve"> Moldova şi </w:t>
            </w:r>
            <w:r w:rsidR="00DC226C">
              <w:rPr>
                <w:bCs/>
                <w:noProof/>
                <w:kern w:val="32"/>
                <w:sz w:val="24"/>
                <w:szCs w:val="24"/>
                <w:lang w:val="ro-RO"/>
              </w:rPr>
              <w:t xml:space="preserve">Guvernul </w:t>
            </w:r>
            <w:r w:rsidR="00096A5C" w:rsidRPr="0005786A">
              <w:rPr>
                <w:bCs/>
                <w:noProof/>
                <w:kern w:val="32"/>
                <w:sz w:val="24"/>
                <w:szCs w:val="24"/>
                <w:lang w:val="ro-RO"/>
              </w:rPr>
              <w:t>Emiratel</w:t>
            </w:r>
            <w:r w:rsidR="00DC226C">
              <w:rPr>
                <w:bCs/>
                <w:noProof/>
                <w:kern w:val="32"/>
                <w:sz w:val="24"/>
                <w:szCs w:val="24"/>
                <w:lang w:val="ro-RO"/>
              </w:rPr>
              <w:t>or</w:t>
            </w:r>
            <w:r w:rsidR="00096A5C" w:rsidRPr="0005786A">
              <w:rPr>
                <w:bCs/>
                <w:noProof/>
                <w:kern w:val="32"/>
                <w:sz w:val="24"/>
                <w:szCs w:val="24"/>
                <w:lang w:val="ro-RO"/>
              </w:rPr>
              <w:t xml:space="preserve"> Arabe Unite</w:t>
            </w:r>
            <w:r w:rsidR="00096A5C" w:rsidRPr="0005786A">
              <w:rPr>
                <w:rFonts w:eastAsia="Calibri"/>
                <w:sz w:val="24"/>
                <w:szCs w:val="24"/>
                <w:lang w:val="ro-RO" w:eastAsia="en-US"/>
              </w:rPr>
              <w:t xml:space="preserve"> pentru evitarea dublei impuneri şi prevederea evaziunii fiscale cu privire la impozitele pe venit şi pe proprietate</w:t>
            </w:r>
            <w:r w:rsidR="00096A5C" w:rsidRPr="0005786A">
              <w:rPr>
                <w:bCs/>
                <w:noProof/>
                <w:kern w:val="32"/>
                <w:sz w:val="24"/>
                <w:szCs w:val="24"/>
                <w:lang w:val="ro-RO"/>
              </w:rPr>
              <w:t xml:space="preserve"> (</w:t>
            </w:r>
            <w:r w:rsidR="00DC226C">
              <w:rPr>
                <w:bCs/>
                <w:noProof/>
                <w:kern w:val="32"/>
                <w:sz w:val="24"/>
                <w:szCs w:val="24"/>
                <w:lang w:val="ro-RO"/>
              </w:rPr>
              <w:t>prin HG nr. 515 din 5 iulie 2017 a fost aprobată semnarea acordului</w:t>
            </w:r>
            <w:r w:rsidR="00096A5C" w:rsidRPr="0005786A">
              <w:rPr>
                <w:bCs/>
                <w:noProof/>
                <w:kern w:val="32"/>
                <w:sz w:val="24"/>
                <w:szCs w:val="24"/>
                <w:lang w:val="ro-RO"/>
              </w:rPr>
              <w:t>)</w:t>
            </w:r>
            <w:r w:rsidR="00DC226C">
              <w:rPr>
                <w:bCs/>
                <w:noProof/>
                <w:kern w:val="32"/>
                <w:sz w:val="24"/>
                <w:szCs w:val="24"/>
                <w:lang w:val="ro-RO"/>
              </w:rPr>
              <w:t>.</w:t>
            </w:r>
          </w:p>
        </w:tc>
      </w:tr>
    </w:tbl>
    <w:p w:rsidR="001114D3" w:rsidRPr="0005786A" w:rsidRDefault="001114D3" w:rsidP="001114D3">
      <w:pPr>
        <w:rPr>
          <w:sz w:val="24"/>
          <w:szCs w:val="24"/>
          <w:lang w:val="ro-RO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1114D3" w:rsidRPr="0005786A" w:rsidTr="004C0913">
        <w:tc>
          <w:tcPr>
            <w:tcW w:w="9776" w:type="dxa"/>
            <w:shd w:val="clear" w:color="auto" w:fill="D9D9D9" w:themeFill="background1" w:themeFillShade="D9"/>
          </w:tcPr>
          <w:p w:rsidR="001114D3" w:rsidRPr="0005786A" w:rsidRDefault="001114D3" w:rsidP="004C0913">
            <w:pPr>
              <w:spacing w:before="120" w:after="120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05786A">
              <w:rPr>
                <w:b/>
                <w:color w:val="000000" w:themeColor="text1"/>
                <w:sz w:val="24"/>
                <w:szCs w:val="24"/>
                <w:lang w:val="ro-RO"/>
              </w:rPr>
              <w:t>Comisia interguvernamentală.</w:t>
            </w:r>
          </w:p>
        </w:tc>
      </w:tr>
      <w:tr w:rsidR="001114D3" w:rsidRPr="00DA13F0" w:rsidTr="004C0913">
        <w:tc>
          <w:tcPr>
            <w:tcW w:w="9776" w:type="dxa"/>
          </w:tcPr>
          <w:p w:rsidR="001114D3" w:rsidRDefault="00A40E9E" w:rsidP="00DA13F0">
            <w:pPr>
              <w:spacing w:line="276" w:lineRule="auto"/>
              <w:jc w:val="both"/>
              <w:rPr>
                <w:bCs/>
                <w:noProof/>
                <w:kern w:val="32"/>
                <w:sz w:val="24"/>
                <w:szCs w:val="24"/>
                <w:lang w:val="ro-RO"/>
              </w:rPr>
            </w:pPr>
            <w:r w:rsidRPr="0005786A">
              <w:rPr>
                <w:bCs/>
                <w:noProof/>
                <w:kern w:val="32"/>
                <w:sz w:val="24"/>
                <w:szCs w:val="24"/>
                <w:lang w:val="ro-RO"/>
              </w:rPr>
              <w:t>Nu este formată.</w:t>
            </w:r>
          </w:p>
          <w:p w:rsidR="00DC226C" w:rsidRPr="0005786A" w:rsidRDefault="00DC226C" w:rsidP="00DA13F0">
            <w:pPr>
              <w:spacing w:line="276" w:lineRule="auto"/>
              <w:jc w:val="both"/>
              <w:rPr>
                <w:bCs/>
                <w:i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bCs/>
                <w:noProof/>
                <w:kern w:val="32"/>
                <w:sz w:val="24"/>
                <w:szCs w:val="24"/>
                <w:lang w:val="ro-RO"/>
              </w:rPr>
              <w:t xml:space="preserve">Baza </w:t>
            </w:r>
            <w:r w:rsidR="00DA13F0">
              <w:rPr>
                <w:bCs/>
                <w:noProof/>
                <w:kern w:val="32"/>
                <w:sz w:val="24"/>
                <w:szCs w:val="24"/>
                <w:lang w:val="ro-RO"/>
              </w:rPr>
              <w:t>juridică</w:t>
            </w:r>
            <w:r>
              <w:rPr>
                <w:bCs/>
                <w:noProof/>
                <w:kern w:val="32"/>
                <w:sz w:val="24"/>
                <w:szCs w:val="24"/>
                <w:lang w:val="ro-RO"/>
              </w:rPr>
              <w:t xml:space="preserve"> pentru formarea acesteia va constitui </w:t>
            </w:r>
            <w:r w:rsidRPr="0005786A">
              <w:rPr>
                <w:color w:val="000000" w:themeColor="text1"/>
                <w:sz w:val="24"/>
                <w:szCs w:val="24"/>
                <w:lang w:val="ro-RO"/>
              </w:rPr>
              <w:t xml:space="preserve">Acordul între Guvernul Republicii Moldova şi Guvernul Emiratelor Arabe Unite privind 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>cooperarea economică și tehnică.</w:t>
            </w:r>
          </w:p>
        </w:tc>
      </w:tr>
    </w:tbl>
    <w:p w:rsidR="001114D3" w:rsidRPr="0005786A" w:rsidRDefault="001114D3" w:rsidP="001114D3">
      <w:pPr>
        <w:rPr>
          <w:sz w:val="24"/>
          <w:szCs w:val="24"/>
          <w:lang w:val="ro-RO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1114D3" w:rsidRPr="0005786A" w:rsidTr="004C0913">
        <w:tc>
          <w:tcPr>
            <w:tcW w:w="9776" w:type="dxa"/>
            <w:shd w:val="clear" w:color="auto" w:fill="D9D9D9" w:themeFill="background1" w:themeFillShade="D9"/>
          </w:tcPr>
          <w:p w:rsidR="001114D3" w:rsidRPr="0005786A" w:rsidRDefault="001114D3" w:rsidP="004C0913">
            <w:pPr>
              <w:spacing w:before="120" w:after="120"/>
              <w:jc w:val="both"/>
              <w:rPr>
                <w:bCs/>
                <w:color w:val="000000" w:themeColor="text1"/>
                <w:sz w:val="24"/>
                <w:szCs w:val="24"/>
                <w:lang w:val="ro-RO"/>
              </w:rPr>
            </w:pPr>
            <w:r w:rsidRPr="0005786A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Relațiile investiționale.</w:t>
            </w:r>
          </w:p>
        </w:tc>
      </w:tr>
      <w:tr w:rsidR="001114D3" w:rsidRPr="00A2394D" w:rsidTr="004C0913">
        <w:tc>
          <w:tcPr>
            <w:tcW w:w="9776" w:type="dxa"/>
          </w:tcPr>
          <w:p w:rsidR="001114D3" w:rsidRPr="0005786A" w:rsidRDefault="007E6B5B" w:rsidP="00DA13F0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6A">
              <w:rPr>
                <w:rFonts w:ascii="Times New Roman" w:hAnsi="Times New Roman" w:cs="Times New Roman"/>
                <w:sz w:val="24"/>
                <w:szCs w:val="24"/>
              </w:rPr>
              <w:t xml:space="preserve">Conform informației oficiale prezentate de Camera Înregistrării de Stat, în Republica Moldova activează </w:t>
            </w:r>
            <w:r w:rsidRPr="0005786A">
              <w:rPr>
                <w:rFonts w:ascii="Times New Roman" w:hAnsi="Times New Roman" w:cs="Times New Roman"/>
                <w:b/>
                <w:sz w:val="24"/>
                <w:szCs w:val="24"/>
              </w:rPr>
              <w:t>9 companii</w:t>
            </w:r>
            <w:r w:rsidRPr="0005786A">
              <w:rPr>
                <w:rFonts w:ascii="Times New Roman" w:hAnsi="Times New Roman" w:cs="Times New Roman"/>
                <w:sz w:val="24"/>
                <w:szCs w:val="24"/>
              </w:rPr>
              <w:t xml:space="preserve"> cu capital </w:t>
            </w:r>
            <w:proofErr w:type="spellStart"/>
            <w:r w:rsidRPr="0005786A">
              <w:rPr>
                <w:rFonts w:ascii="Times New Roman" w:hAnsi="Times New Roman" w:cs="Times New Roman"/>
                <w:sz w:val="24"/>
                <w:szCs w:val="24"/>
              </w:rPr>
              <w:t>emiratez</w:t>
            </w:r>
            <w:proofErr w:type="spellEnd"/>
            <w:r w:rsidRPr="0005786A">
              <w:rPr>
                <w:rFonts w:ascii="Times New Roman" w:hAnsi="Times New Roman" w:cs="Times New Roman"/>
                <w:sz w:val="24"/>
                <w:szCs w:val="24"/>
              </w:rPr>
              <w:t xml:space="preserve">, capitalul total investit </w:t>
            </w:r>
            <w:proofErr w:type="spellStart"/>
            <w:r w:rsidR="00DC226C">
              <w:rPr>
                <w:rFonts w:ascii="Times New Roman" w:hAnsi="Times New Roman" w:cs="Times New Roman"/>
                <w:sz w:val="24"/>
                <w:szCs w:val="24"/>
              </w:rPr>
              <w:t>însumînd</w:t>
            </w:r>
            <w:proofErr w:type="spellEnd"/>
            <w:r w:rsidR="00A56938" w:rsidRPr="0005786A">
              <w:rPr>
                <w:rFonts w:ascii="Times New Roman" w:hAnsi="Times New Roman" w:cs="Times New Roman"/>
                <w:sz w:val="24"/>
                <w:szCs w:val="24"/>
              </w:rPr>
              <w:t xml:space="preserve"> valoarea de </w:t>
            </w:r>
            <w:r w:rsidRPr="0005786A">
              <w:rPr>
                <w:rFonts w:ascii="Times New Roman" w:hAnsi="Times New Roman" w:cs="Times New Roman"/>
                <w:b/>
                <w:sz w:val="24"/>
                <w:szCs w:val="24"/>
              </w:rPr>
              <w:t>39,888 mil. lei</w:t>
            </w:r>
            <w:r w:rsidRPr="00057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226C" w:rsidRPr="0005786A" w:rsidRDefault="00DC226C" w:rsidP="001114D3">
      <w:pPr>
        <w:rPr>
          <w:sz w:val="24"/>
          <w:szCs w:val="24"/>
          <w:lang w:val="ro-RO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1114D3" w:rsidRPr="0005786A" w:rsidTr="004C0913">
        <w:tc>
          <w:tcPr>
            <w:tcW w:w="9776" w:type="dxa"/>
            <w:shd w:val="clear" w:color="auto" w:fill="D9D9D9" w:themeFill="background1" w:themeFillShade="D9"/>
          </w:tcPr>
          <w:p w:rsidR="001114D3" w:rsidRPr="0005786A" w:rsidRDefault="001114D3" w:rsidP="004C0913">
            <w:pPr>
              <w:spacing w:before="120" w:after="120"/>
              <w:jc w:val="both"/>
              <w:rPr>
                <w:b/>
                <w:sz w:val="24"/>
                <w:szCs w:val="24"/>
                <w:lang w:val="ro-RO"/>
              </w:rPr>
            </w:pPr>
            <w:r w:rsidRPr="0005786A">
              <w:rPr>
                <w:b/>
                <w:sz w:val="24"/>
                <w:szCs w:val="24"/>
                <w:lang w:val="ro-RO"/>
              </w:rPr>
              <w:t>Comerțul bilateral (anexa 1).</w:t>
            </w:r>
          </w:p>
        </w:tc>
      </w:tr>
      <w:tr w:rsidR="001114D3" w:rsidRPr="00A2394D" w:rsidTr="004C0913">
        <w:tc>
          <w:tcPr>
            <w:tcW w:w="9776" w:type="dxa"/>
          </w:tcPr>
          <w:p w:rsidR="00C6104C" w:rsidRPr="00C6104C" w:rsidRDefault="00C6104C" w:rsidP="00C6104C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proofErr w:type="spellStart"/>
            <w:r w:rsidRPr="00C6104C">
              <w:rPr>
                <w:b/>
                <w:sz w:val="24"/>
                <w:szCs w:val="24"/>
                <w:u w:val="single"/>
              </w:rPr>
              <w:t>Comerțul</w:t>
            </w:r>
            <w:proofErr w:type="spellEnd"/>
            <w:r w:rsidRPr="00C6104C">
              <w:rPr>
                <w:b/>
                <w:sz w:val="24"/>
                <w:szCs w:val="24"/>
                <w:u w:val="single"/>
              </w:rPr>
              <w:t xml:space="preserve"> bilateral </w:t>
            </w:r>
            <w:proofErr w:type="spellStart"/>
            <w:r w:rsidRPr="00C6104C">
              <w:rPr>
                <w:b/>
                <w:sz w:val="24"/>
                <w:szCs w:val="24"/>
                <w:u w:val="single"/>
              </w:rPr>
              <w:t>în</w:t>
            </w:r>
            <w:proofErr w:type="spellEnd"/>
            <w:r w:rsidRPr="00C6104C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perioada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ianuarie-aprilie</w:t>
            </w:r>
            <w:proofErr w:type="spellEnd"/>
            <w:r w:rsidRPr="00C6104C">
              <w:rPr>
                <w:b/>
                <w:sz w:val="24"/>
                <w:szCs w:val="24"/>
                <w:u w:val="single"/>
              </w:rPr>
              <w:t xml:space="preserve"> 2016</w:t>
            </w:r>
            <w:r>
              <w:rPr>
                <w:b/>
                <w:sz w:val="24"/>
                <w:szCs w:val="24"/>
                <w:u w:val="single"/>
              </w:rPr>
              <w:t>-2017</w:t>
            </w:r>
          </w:p>
          <w:p w:rsidR="00C6104C" w:rsidRPr="00DA20BA" w:rsidRDefault="00C6104C" w:rsidP="00C6104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DA20BA">
              <w:rPr>
                <w:b/>
                <w:sz w:val="24"/>
                <w:szCs w:val="24"/>
              </w:rPr>
              <w:t>Volumul</w:t>
            </w:r>
            <w:proofErr w:type="spellEnd"/>
            <w:r w:rsidRPr="00DA20B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b/>
                <w:sz w:val="24"/>
                <w:szCs w:val="24"/>
              </w:rPr>
              <w:t>comerţului</w:t>
            </w:r>
            <w:proofErr w:type="spellEnd"/>
            <w:r w:rsidRPr="00DA20BA">
              <w:rPr>
                <w:b/>
                <w:sz w:val="24"/>
                <w:szCs w:val="24"/>
              </w:rPr>
              <w:t xml:space="preserve"> exterior</w:t>
            </w:r>
            <w:r w:rsidRPr="00DA20BA">
              <w:rPr>
                <w:sz w:val="24"/>
                <w:szCs w:val="24"/>
              </w:rPr>
              <w:t xml:space="preserve"> al </w:t>
            </w:r>
            <w:proofErr w:type="spellStart"/>
            <w:r w:rsidRPr="00DA20BA">
              <w:rPr>
                <w:sz w:val="24"/>
                <w:szCs w:val="24"/>
              </w:rPr>
              <w:t>Republicii</w:t>
            </w:r>
            <w:proofErr w:type="spellEnd"/>
            <w:r w:rsidRPr="00DA20BA">
              <w:rPr>
                <w:sz w:val="24"/>
                <w:szCs w:val="24"/>
              </w:rPr>
              <w:t xml:space="preserve"> Moldova cu </w:t>
            </w:r>
            <w:proofErr w:type="spellStart"/>
            <w:r w:rsidRPr="00DA20BA">
              <w:rPr>
                <w:sz w:val="24"/>
                <w:szCs w:val="24"/>
              </w:rPr>
              <w:t>Emiratele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Arabe</w:t>
            </w:r>
            <w:proofErr w:type="spellEnd"/>
            <w:r w:rsidRPr="00DA20BA">
              <w:rPr>
                <w:sz w:val="24"/>
                <w:szCs w:val="24"/>
              </w:rPr>
              <w:t xml:space="preserve"> Unite, </w:t>
            </w:r>
            <w:proofErr w:type="spellStart"/>
            <w:r w:rsidRPr="00DA20BA">
              <w:rPr>
                <w:sz w:val="24"/>
                <w:szCs w:val="24"/>
              </w:rPr>
              <w:t>în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perioada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b/>
                <w:sz w:val="24"/>
                <w:szCs w:val="24"/>
              </w:rPr>
              <w:t>ianuarie-aprilie</w:t>
            </w:r>
            <w:proofErr w:type="spellEnd"/>
            <w:r w:rsidRPr="00DA20BA">
              <w:rPr>
                <w:b/>
                <w:sz w:val="24"/>
                <w:szCs w:val="24"/>
              </w:rPr>
              <w:t xml:space="preserve"> 2017</w:t>
            </w:r>
            <w:r w:rsidRPr="00DA20BA">
              <w:rPr>
                <w:sz w:val="24"/>
                <w:szCs w:val="24"/>
              </w:rPr>
              <w:t xml:space="preserve">, a </w:t>
            </w:r>
            <w:proofErr w:type="spellStart"/>
            <w:r w:rsidRPr="00DA20BA">
              <w:rPr>
                <w:sz w:val="24"/>
                <w:szCs w:val="24"/>
              </w:rPr>
              <w:t>înregistrat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suma</w:t>
            </w:r>
            <w:proofErr w:type="spellEnd"/>
            <w:r w:rsidRPr="00DA20BA">
              <w:rPr>
                <w:sz w:val="24"/>
                <w:szCs w:val="24"/>
              </w:rPr>
              <w:t xml:space="preserve"> de </w:t>
            </w:r>
            <w:r w:rsidRPr="00DA20BA">
              <w:rPr>
                <w:b/>
                <w:sz w:val="24"/>
                <w:szCs w:val="24"/>
              </w:rPr>
              <w:t>1678</w:t>
            </w:r>
            <w:proofErr w:type="gramStart"/>
            <w:r w:rsidRPr="00DA20BA">
              <w:rPr>
                <w:b/>
                <w:sz w:val="24"/>
                <w:szCs w:val="24"/>
              </w:rPr>
              <w:t>,97</w:t>
            </w:r>
            <w:proofErr w:type="gramEnd"/>
            <w:r w:rsidRPr="00DA20BA">
              <w:rPr>
                <w:b/>
                <w:sz w:val="24"/>
                <w:szCs w:val="24"/>
              </w:rPr>
              <w:t xml:space="preserve"> mii USD</w:t>
            </w:r>
            <w:r w:rsidRPr="00DA20BA">
              <w:rPr>
                <w:sz w:val="24"/>
                <w:szCs w:val="24"/>
              </w:rPr>
              <w:t xml:space="preserve"> (+2,3 </w:t>
            </w:r>
            <w:proofErr w:type="spellStart"/>
            <w:r w:rsidRPr="00DA20BA">
              <w:rPr>
                <w:sz w:val="24"/>
                <w:szCs w:val="24"/>
              </w:rPr>
              <w:t>ori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în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comparaţie</w:t>
            </w:r>
            <w:proofErr w:type="spellEnd"/>
            <w:r w:rsidRPr="00DA20BA">
              <w:rPr>
                <w:sz w:val="24"/>
                <w:szCs w:val="24"/>
              </w:rPr>
              <w:t xml:space="preserve"> cu </w:t>
            </w:r>
            <w:proofErr w:type="spellStart"/>
            <w:r w:rsidRPr="00DA20BA">
              <w:rPr>
                <w:sz w:val="24"/>
                <w:szCs w:val="24"/>
              </w:rPr>
              <w:t>aceeași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perioadă</w:t>
            </w:r>
            <w:proofErr w:type="spellEnd"/>
            <w:r w:rsidRPr="00DA20BA">
              <w:rPr>
                <w:sz w:val="24"/>
                <w:szCs w:val="24"/>
              </w:rPr>
              <w:t xml:space="preserve"> a </w:t>
            </w:r>
            <w:proofErr w:type="spellStart"/>
            <w:r w:rsidRPr="00DA20BA">
              <w:rPr>
                <w:sz w:val="24"/>
                <w:szCs w:val="24"/>
              </w:rPr>
              <w:t>anului</w:t>
            </w:r>
            <w:proofErr w:type="spellEnd"/>
            <w:r w:rsidRPr="00DA20BA">
              <w:rPr>
                <w:sz w:val="24"/>
                <w:szCs w:val="24"/>
              </w:rPr>
              <w:t xml:space="preserve"> 2016). </w:t>
            </w:r>
            <w:proofErr w:type="spellStart"/>
            <w:r w:rsidRPr="00DA20BA">
              <w:rPr>
                <w:sz w:val="24"/>
                <w:szCs w:val="24"/>
              </w:rPr>
              <w:t>După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valoarea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volumului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schimburilor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comerciale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în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perioada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respectivă</w:t>
            </w:r>
            <w:proofErr w:type="spellEnd"/>
            <w:r w:rsidRPr="00DA20BA">
              <w:rPr>
                <w:sz w:val="24"/>
                <w:szCs w:val="24"/>
              </w:rPr>
              <w:t xml:space="preserve">, Austria se </w:t>
            </w:r>
            <w:proofErr w:type="spellStart"/>
            <w:r w:rsidRPr="00DA20BA">
              <w:rPr>
                <w:sz w:val="24"/>
                <w:szCs w:val="24"/>
              </w:rPr>
              <w:t>situează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pe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b/>
                <w:sz w:val="24"/>
                <w:szCs w:val="24"/>
              </w:rPr>
              <w:t>locul</w:t>
            </w:r>
            <w:proofErr w:type="spellEnd"/>
            <w:r w:rsidRPr="00DA20BA">
              <w:rPr>
                <w:b/>
                <w:sz w:val="24"/>
                <w:szCs w:val="24"/>
              </w:rPr>
              <w:t xml:space="preserve"> 52</w:t>
            </w:r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între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țările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partenere</w:t>
            </w:r>
            <w:proofErr w:type="spellEnd"/>
            <w:r w:rsidRPr="00DA20BA">
              <w:rPr>
                <w:sz w:val="24"/>
                <w:szCs w:val="24"/>
              </w:rPr>
              <w:t xml:space="preserve"> la </w:t>
            </w:r>
            <w:proofErr w:type="spellStart"/>
            <w:r w:rsidRPr="00DA20BA">
              <w:rPr>
                <w:sz w:val="24"/>
                <w:szCs w:val="24"/>
              </w:rPr>
              <w:t>nivel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mondial</w:t>
            </w:r>
            <w:proofErr w:type="spellEnd"/>
            <w:r w:rsidRPr="00DA20BA">
              <w:rPr>
                <w:sz w:val="24"/>
                <w:szCs w:val="24"/>
              </w:rPr>
              <w:t xml:space="preserve"> cu care </w:t>
            </w:r>
            <w:proofErr w:type="spellStart"/>
            <w:r w:rsidRPr="00DA20BA">
              <w:rPr>
                <w:sz w:val="24"/>
                <w:szCs w:val="24"/>
              </w:rPr>
              <w:t>Republica</w:t>
            </w:r>
            <w:proofErr w:type="spellEnd"/>
            <w:r w:rsidRPr="00DA20BA">
              <w:rPr>
                <w:sz w:val="24"/>
                <w:szCs w:val="24"/>
              </w:rPr>
              <w:t xml:space="preserve"> Moldova </w:t>
            </w:r>
            <w:proofErr w:type="spellStart"/>
            <w:r w:rsidRPr="00DA20BA">
              <w:rPr>
                <w:sz w:val="24"/>
                <w:szCs w:val="24"/>
              </w:rPr>
              <w:t>întreţine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relaţii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comerciale</w:t>
            </w:r>
            <w:proofErr w:type="spellEnd"/>
            <w:r w:rsidRPr="00DA20BA">
              <w:rPr>
                <w:sz w:val="24"/>
                <w:szCs w:val="24"/>
              </w:rPr>
              <w:t xml:space="preserve">, </w:t>
            </w:r>
            <w:proofErr w:type="spellStart"/>
            <w:r w:rsidRPr="00DA20BA">
              <w:rPr>
                <w:sz w:val="24"/>
                <w:szCs w:val="24"/>
              </w:rPr>
              <w:t>deţinând</w:t>
            </w:r>
            <w:proofErr w:type="spellEnd"/>
            <w:r w:rsidRPr="00DA20BA">
              <w:rPr>
                <w:sz w:val="24"/>
                <w:szCs w:val="24"/>
              </w:rPr>
              <w:t xml:space="preserve"> o </w:t>
            </w:r>
            <w:proofErr w:type="spellStart"/>
            <w:r w:rsidRPr="00DA20BA">
              <w:rPr>
                <w:sz w:val="24"/>
                <w:szCs w:val="24"/>
              </w:rPr>
              <w:t>pondere</w:t>
            </w:r>
            <w:proofErr w:type="spellEnd"/>
            <w:r w:rsidRPr="00DA20BA">
              <w:rPr>
                <w:sz w:val="24"/>
                <w:szCs w:val="24"/>
              </w:rPr>
              <w:t xml:space="preserve"> de </w:t>
            </w:r>
            <w:r w:rsidRPr="00DA20BA">
              <w:rPr>
                <w:b/>
                <w:sz w:val="24"/>
                <w:szCs w:val="24"/>
              </w:rPr>
              <w:t>0,08%</w:t>
            </w:r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în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comerțul</w:t>
            </w:r>
            <w:proofErr w:type="spellEnd"/>
            <w:r w:rsidRPr="00DA20BA">
              <w:rPr>
                <w:sz w:val="24"/>
                <w:szCs w:val="24"/>
              </w:rPr>
              <w:t xml:space="preserve"> total al RM.</w:t>
            </w:r>
          </w:p>
          <w:p w:rsidR="00C6104C" w:rsidRPr="00DA20BA" w:rsidRDefault="00C6104C" w:rsidP="00C6104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20BA">
              <w:rPr>
                <w:b/>
                <w:sz w:val="24"/>
                <w:szCs w:val="24"/>
              </w:rPr>
              <w:t>Sold</w:t>
            </w:r>
            <w:r w:rsidRPr="00DA20BA">
              <w:rPr>
                <w:sz w:val="24"/>
                <w:szCs w:val="24"/>
              </w:rPr>
              <w:t xml:space="preserve"> – </w:t>
            </w:r>
            <w:r w:rsidRPr="00DA20BA">
              <w:rPr>
                <w:b/>
                <w:sz w:val="24"/>
                <w:szCs w:val="24"/>
              </w:rPr>
              <w:t>113</w:t>
            </w:r>
            <w:proofErr w:type="gramStart"/>
            <w:r w:rsidRPr="00DA20BA">
              <w:rPr>
                <w:b/>
                <w:sz w:val="24"/>
                <w:szCs w:val="24"/>
              </w:rPr>
              <w:t>,64</w:t>
            </w:r>
            <w:proofErr w:type="gramEnd"/>
            <w:r w:rsidRPr="00DA20BA">
              <w:rPr>
                <w:b/>
                <w:sz w:val="24"/>
                <w:szCs w:val="24"/>
              </w:rPr>
              <w:t xml:space="preserve"> mii USD </w:t>
            </w:r>
            <w:proofErr w:type="spellStart"/>
            <w:r w:rsidRPr="00DA20BA">
              <w:rPr>
                <w:sz w:val="24"/>
                <w:szCs w:val="24"/>
              </w:rPr>
              <w:t>în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favoarea</w:t>
            </w:r>
            <w:proofErr w:type="spellEnd"/>
            <w:r w:rsidRPr="00DA20BA">
              <w:rPr>
                <w:sz w:val="24"/>
                <w:szCs w:val="24"/>
              </w:rPr>
              <w:t xml:space="preserve"> EAU..</w:t>
            </w:r>
          </w:p>
          <w:p w:rsidR="00C6104C" w:rsidRPr="00DA20BA" w:rsidRDefault="00C6104C" w:rsidP="00C6104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A20BA">
              <w:rPr>
                <w:b/>
                <w:sz w:val="24"/>
                <w:szCs w:val="24"/>
              </w:rPr>
              <w:t>Exportul</w:t>
            </w:r>
            <w:proofErr w:type="spellEnd"/>
            <w:r w:rsidRPr="00DA20BA">
              <w:rPr>
                <w:sz w:val="24"/>
                <w:szCs w:val="24"/>
              </w:rPr>
              <w:t xml:space="preserve"> – </w:t>
            </w:r>
            <w:r w:rsidRPr="00DA20BA">
              <w:rPr>
                <w:b/>
                <w:sz w:val="24"/>
                <w:szCs w:val="24"/>
              </w:rPr>
              <w:t xml:space="preserve">1,678 </w:t>
            </w:r>
            <w:proofErr w:type="spellStart"/>
            <w:r w:rsidRPr="00DA20BA">
              <w:rPr>
                <w:b/>
                <w:sz w:val="24"/>
                <w:szCs w:val="24"/>
              </w:rPr>
              <w:t>mln</w:t>
            </w:r>
            <w:proofErr w:type="spellEnd"/>
            <w:r w:rsidRPr="00DA20BA">
              <w:rPr>
                <w:b/>
                <w:sz w:val="24"/>
                <w:szCs w:val="24"/>
              </w:rPr>
              <w:t xml:space="preserve">. USD </w:t>
            </w:r>
            <w:r w:rsidRPr="00DA20BA">
              <w:rPr>
                <w:sz w:val="24"/>
                <w:szCs w:val="24"/>
              </w:rPr>
              <w:t>(</w:t>
            </w:r>
            <w:r w:rsidRPr="00DA20BA">
              <w:rPr>
                <w:b/>
                <w:sz w:val="24"/>
                <w:szCs w:val="24"/>
              </w:rPr>
              <w:t>+</w:t>
            </w:r>
            <w:r w:rsidRPr="00DA20BA">
              <w:rPr>
                <w:sz w:val="24"/>
                <w:szCs w:val="24"/>
              </w:rPr>
              <w:t>3</w:t>
            </w:r>
            <w:proofErr w:type="gramStart"/>
            <w:r w:rsidRPr="00DA20BA">
              <w:rPr>
                <w:sz w:val="24"/>
                <w:szCs w:val="24"/>
              </w:rPr>
              <w:t>,6</w:t>
            </w:r>
            <w:proofErr w:type="gram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ori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în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comparație</w:t>
            </w:r>
            <w:proofErr w:type="spellEnd"/>
            <w:r w:rsidRPr="00DA20BA">
              <w:rPr>
                <w:sz w:val="24"/>
                <w:szCs w:val="24"/>
              </w:rPr>
              <w:t xml:space="preserve"> cu </w:t>
            </w:r>
            <w:proofErr w:type="spellStart"/>
            <w:r w:rsidRPr="00DA20BA">
              <w:rPr>
                <w:sz w:val="24"/>
                <w:szCs w:val="24"/>
              </w:rPr>
              <w:t>aceeași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perioadă</w:t>
            </w:r>
            <w:proofErr w:type="spellEnd"/>
            <w:r w:rsidRPr="00DA20BA">
              <w:rPr>
                <w:sz w:val="24"/>
                <w:szCs w:val="24"/>
              </w:rPr>
              <w:t xml:space="preserve"> a </w:t>
            </w:r>
            <w:proofErr w:type="spellStart"/>
            <w:r w:rsidRPr="00DA20BA">
              <w:rPr>
                <w:sz w:val="24"/>
                <w:szCs w:val="24"/>
              </w:rPr>
              <w:t>anului</w:t>
            </w:r>
            <w:proofErr w:type="spellEnd"/>
            <w:r w:rsidRPr="00DA20BA">
              <w:rPr>
                <w:sz w:val="24"/>
                <w:szCs w:val="24"/>
              </w:rPr>
              <w:t xml:space="preserve"> 2016).</w:t>
            </w:r>
          </w:p>
          <w:p w:rsidR="00C6104C" w:rsidRPr="00DA20BA" w:rsidRDefault="00C6104C" w:rsidP="00C6104C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proofErr w:type="spellStart"/>
            <w:r w:rsidRPr="00DA20BA">
              <w:rPr>
                <w:b/>
                <w:sz w:val="24"/>
                <w:szCs w:val="24"/>
              </w:rPr>
              <w:t>Importul</w:t>
            </w:r>
            <w:proofErr w:type="spellEnd"/>
            <w:r w:rsidRPr="00DA20BA">
              <w:rPr>
                <w:sz w:val="24"/>
                <w:szCs w:val="24"/>
              </w:rPr>
              <w:t xml:space="preserve"> – </w:t>
            </w:r>
            <w:r w:rsidRPr="00DA20BA">
              <w:rPr>
                <w:b/>
                <w:sz w:val="24"/>
                <w:szCs w:val="24"/>
              </w:rPr>
              <w:t>546</w:t>
            </w:r>
            <w:proofErr w:type="gramStart"/>
            <w:r w:rsidRPr="00DA20BA">
              <w:rPr>
                <w:b/>
                <w:sz w:val="24"/>
                <w:szCs w:val="24"/>
              </w:rPr>
              <w:t>,75</w:t>
            </w:r>
            <w:proofErr w:type="gramEnd"/>
            <w:r w:rsidRPr="00DA20BA">
              <w:rPr>
                <w:b/>
                <w:sz w:val="24"/>
                <w:szCs w:val="24"/>
              </w:rPr>
              <w:t xml:space="preserve"> mii USD </w:t>
            </w:r>
            <w:r w:rsidRPr="00DA20BA">
              <w:rPr>
                <w:sz w:val="24"/>
                <w:szCs w:val="24"/>
              </w:rPr>
              <w:t xml:space="preserve">(+28,85%în </w:t>
            </w:r>
            <w:proofErr w:type="spellStart"/>
            <w:r w:rsidRPr="00DA20BA">
              <w:rPr>
                <w:sz w:val="24"/>
                <w:szCs w:val="24"/>
              </w:rPr>
              <w:t>comparație</w:t>
            </w:r>
            <w:proofErr w:type="spellEnd"/>
            <w:r w:rsidRPr="00DA20BA">
              <w:rPr>
                <w:sz w:val="24"/>
                <w:szCs w:val="24"/>
              </w:rPr>
              <w:t xml:space="preserve"> cu </w:t>
            </w:r>
            <w:proofErr w:type="spellStart"/>
            <w:r w:rsidRPr="00DA20BA">
              <w:rPr>
                <w:sz w:val="24"/>
                <w:szCs w:val="24"/>
              </w:rPr>
              <w:t>aceeași</w:t>
            </w:r>
            <w:proofErr w:type="spellEnd"/>
            <w:r w:rsidRPr="00DA20BA">
              <w:rPr>
                <w:sz w:val="24"/>
                <w:szCs w:val="24"/>
              </w:rPr>
              <w:t xml:space="preserve"> </w:t>
            </w:r>
            <w:proofErr w:type="spellStart"/>
            <w:r w:rsidRPr="00DA20BA">
              <w:rPr>
                <w:sz w:val="24"/>
                <w:szCs w:val="24"/>
              </w:rPr>
              <w:t>perioadă</w:t>
            </w:r>
            <w:proofErr w:type="spellEnd"/>
            <w:r w:rsidRPr="00DA20BA">
              <w:rPr>
                <w:sz w:val="24"/>
                <w:szCs w:val="24"/>
              </w:rPr>
              <w:t xml:space="preserve"> a </w:t>
            </w:r>
            <w:proofErr w:type="spellStart"/>
            <w:r w:rsidRPr="00DA20BA">
              <w:rPr>
                <w:sz w:val="24"/>
                <w:szCs w:val="24"/>
              </w:rPr>
              <w:t>anului</w:t>
            </w:r>
            <w:proofErr w:type="spellEnd"/>
            <w:r w:rsidRPr="00DA20BA">
              <w:rPr>
                <w:sz w:val="24"/>
                <w:szCs w:val="24"/>
              </w:rPr>
              <w:t xml:space="preserve"> 2016).</w:t>
            </w:r>
          </w:p>
          <w:p w:rsidR="00C6104C" w:rsidRDefault="00C6104C" w:rsidP="00C610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:rsidR="00C6104C" w:rsidRPr="00C6104C" w:rsidRDefault="00C6104C" w:rsidP="00C6104C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proofErr w:type="spellStart"/>
            <w:r w:rsidRPr="00C6104C">
              <w:rPr>
                <w:b/>
                <w:sz w:val="24"/>
                <w:szCs w:val="24"/>
                <w:u w:val="single"/>
              </w:rPr>
              <w:t>Comerțul</w:t>
            </w:r>
            <w:proofErr w:type="spellEnd"/>
            <w:r w:rsidRPr="00C6104C">
              <w:rPr>
                <w:b/>
                <w:sz w:val="24"/>
                <w:szCs w:val="24"/>
                <w:u w:val="single"/>
              </w:rPr>
              <w:t xml:space="preserve"> bilateral </w:t>
            </w:r>
            <w:proofErr w:type="spellStart"/>
            <w:r w:rsidRPr="00C6104C">
              <w:rPr>
                <w:b/>
                <w:sz w:val="24"/>
                <w:szCs w:val="24"/>
                <w:u w:val="single"/>
              </w:rPr>
              <w:t>în</w:t>
            </w:r>
            <w:proofErr w:type="spellEnd"/>
            <w:r w:rsidRPr="00C6104C">
              <w:rPr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6104C">
              <w:rPr>
                <w:b/>
                <w:sz w:val="24"/>
                <w:szCs w:val="24"/>
                <w:u w:val="single"/>
              </w:rPr>
              <w:t>anul</w:t>
            </w:r>
            <w:proofErr w:type="spellEnd"/>
            <w:r w:rsidRPr="00C6104C">
              <w:rPr>
                <w:b/>
                <w:sz w:val="24"/>
                <w:szCs w:val="24"/>
                <w:u w:val="single"/>
              </w:rPr>
              <w:t xml:space="preserve"> 2016</w:t>
            </w:r>
          </w:p>
          <w:p w:rsidR="00C6104C" w:rsidRPr="00C6104C" w:rsidRDefault="00C6104C" w:rsidP="00C6104C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  <w:p w:rsidR="00C6104C" w:rsidRPr="00C6104C" w:rsidRDefault="00C6104C" w:rsidP="00C6104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C6104C">
              <w:rPr>
                <w:b/>
                <w:sz w:val="24"/>
                <w:szCs w:val="24"/>
              </w:rPr>
              <w:t>Volumul</w:t>
            </w:r>
            <w:proofErr w:type="spellEnd"/>
            <w:r w:rsidRPr="00C610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b/>
                <w:sz w:val="24"/>
                <w:szCs w:val="24"/>
              </w:rPr>
              <w:t>comerţului</w:t>
            </w:r>
            <w:proofErr w:type="spellEnd"/>
            <w:r w:rsidRPr="00C6104C">
              <w:rPr>
                <w:b/>
                <w:sz w:val="24"/>
                <w:szCs w:val="24"/>
              </w:rPr>
              <w:t xml:space="preserve"> exterior</w:t>
            </w:r>
            <w:r w:rsidRPr="00C6104C">
              <w:rPr>
                <w:sz w:val="24"/>
                <w:szCs w:val="24"/>
              </w:rPr>
              <w:t xml:space="preserve"> al </w:t>
            </w:r>
            <w:proofErr w:type="spellStart"/>
            <w:r w:rsidRPr="00C6104C">
              <w:rPr>
                <w:sz w:val="24"/>
                <w:szCs w:val="24"/>
              </w:rPr>
              <w:t>Republicii</w:t>
            </w:r>
            <w:proofErr w:type="spellEnd"/>
            <w:r w:rsidRPr="00C6104C">
              <w:rPr>
                <w:sz w:val="24"/>
                <w:szCs w:val="24"/>
              </w:rPr>
              <w:t xml:space="preserve"> Moldova cu EAU, </w:t>
            </w:r>
            <w:proofErr w:type="spellStart"/>
            <w:r w:rsidRPr="00C6104C">
              <w:rPr>
                <w:sz w:val="24"/>
                <w:szCs w:val="24"/>
              </w:rPr>
              <w:t>în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anul</w:t>
            </w:r>
            <w:proofErr w:type="spellEnd"/>
            <w:r w:rsidRPr="00C6104C">
              <w:rPr>
                <w:sz w:val="24"/>
                <w:szCs w:val="24"/>
              </w:rPr>
              <w:t xml:space="preserve"> 2016 </w:t>
            </w:r>
            <w:proofErr w:type="gramStart"/>
            <w:r w:rsidRPr="00C6104C">
              <w:rPr>
                <w:sz w:val="24"/>
                <w:szCs w:val="24"/>
              </w:rPr>
              <w:t>a</w:t>
            </w:r>
            <w:proofErr w:type="gram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înregistrat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suma</w:t>
            </w:r>
            <w:proofErr w:type="spellEnd"/>
            <w:r w:rsidRPr="00C6104C">
              <w:rPr>
                <w:sz w:val="24"/>
                <w:szCs w:val="24"/>
              </w:rPr>
              <w:t xml:space="preserve"> de </w:t>
            </w:r>
            <w:r w:rsidRPr="00C6104C">
              <w:rPr>
                <w:b/>
                <w:sz w:val="24"/>
                <w:szCs w:val="24"/>
              </w:rPr>
              <w:t xml:space="preserve">1,862 </w:t>
            </w:r>
            <w:proofErr w:type="spellStart"/>
            <w:r w:rsidRPr="00C6104C">
              <w:rPr>
                <w:b/>
                <w:sz w:val="24"/>
                <w:szCs w:val="24"/>
              </w:rPr>
              <w:t>mln</w:t>
            </w:r>
            <w:proofErr w:type="spellEnd"/>
            <w:r w:rsidRPr="00C6104C">
              <w:rPr>
                <w:b/>
                <w:sz w:val="24"/>
                <w:szCs w:val="24"/>
              </w:rPr>
              <w:t>. USD</w:t>
            </w:r>
            <w:r w:rsidRPr="00C6104C">
              <w:rPr>
                <w:sz w:val="24"/>
                <w:szCs w:val="24"/>
              </w:rPr>
              <w:t xml:space="preserve"> (+12</w:t>
            </w:r>
            <w:proofErr w:type="gramStart"/>
            <w:r w:rsidRPr="00C6104C">
              <w:rPr>
                <w:sz w:val="24"/>
                <w:szCs w:val="24"/>
              </w:rPr>
              <w:t>,74</w:t>
            </w:r>
            <w:proofErr w:type="gramEnd"/>
            <w:r w:rsidRPr="00C6104C">
              <w:rPr>
                <w:sz w:val="24"/>
                <w:szCs w:val="24"/>
              </w:rPr>
              <w:t xml:space="preserve">% </w:t>
            </w:r>
            <w:proofErr w:type="spellStart"/>
            <w:r w:rsidRPr="00C6104C">
              <w:rPr>
                <w:sz w:val="24"/>
                <w:szCs w:val="24"/>
              </w:rPr>
              <w:t>în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comparaţie</w:t>
            </w:r>
            <w:proofErr w:type="spellEnd"/>
            <w:r w:rsidRPr="00C6104C">
              <w:rPr>
                <w:sz w:val="24"/>
                <w:szCs w:val="24"/>
              </w:rPr>
              <w:t xml:space="preserve"> cu </w:t>
            </w:r>
            <w:proofErr w:type="spellStart"/>
            <w:r w:rsidRPr="00C6104C">
              <w:rPr>
                <w:sz w:val="24"/>
                <w:szCs w:val="24"/>
              </w:rPr>
              <w:t>anul</w:t>
            </w:r>
            <w:proofErr w:type="spellEnd"/>
            <w:r w:rsidRPr="00C6104C">
              <w:rPr>
                <w:sz w:val="24"/>
                <w:szCs w:val="24"/>
              </w:rPr>
              <w:t xml:space="preserve"> 2015). </w:t>
            </w:r>
          </w:p>
          <w:p w:rsidR="00C6104C" w:rsidRPr="00C6104C" w:rsidRDefault="00C6104C" w:rsidP="00C6104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C6104C">
              <w:rPr>
                <w:b/>
                <w:sz w:val="24"/>
                <w:szCs w:val="24"/>
              </w:rPr>
              <w:t>Exportul</w:t>
            </w:r>
            <w:proofErr w:type="spellEnd"/>
            <w:r w:rsidRPr="00C6104C">
              <w:rPr>
                <w:sz w:val="24"/>
                <w:szCs w:val="24"/>
              </w:rPr>
              <w:t xml:space="preserve"> – </w:t>
            </w:r>
            <w:r w:rsidRPr="00C6104C">
              <w:rPr>
                <w:b/>
                <w:sz w:val="24"/>
                <w:szCs w:val="24"/>
              </w:rPr>
              <w:t>788.22 mii USD (+</w:t>
            </w:r>
            <w:r w:rsidRPr="00C6104C">
              <w:rPr>
                <w:sz w:val="24"/>
                <w:szCs w:val="24"/>
              </w:rPr>
              <w:t>3</w:t>
            </w:r>
            <w:proofErr w:type="gramStart"/>
            <w:r w:rsidRPr="00C6104C">
              <w:rPr>
                <w:sz w:val="24"/>
                <w:szCs w:val="24"/>
              </w:rPr>
              <w:t>,23</w:t>
            </w:r>
            <w:proofErr w:type="gramEnd"/>
            <w:r w:rsidRPr="00C6104C">
              <w:rPr>
                <w:sz w:val="24"/>
                <w:szCs w:val="24"/>
              </w:rPr>
              <w:t xml:space="preserve">% </w:t>
            </w:r>
            <w:proofErr w:type="spellStart"/>
            <w:r w:rsidRPr="00C6104C">
              <w:rPr>
                <w:sz w:val="24"/>
                <w:szCs w:val="24"/>
              </w:rPr>
              <w:t>în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comparație</w:t>
            </w:r>
            <w:proofErr w:type="spellEnd"/>
            <w:r w:rsidRPr="00C6104C">
              <w:rPr>
                <w:sz w:val="24"/>
                <w:szCs w:val="24"/>
              </w:rPr>
              <w:t xml:space="preserve"> cu </w:t>
            </w:r>
            <w:proofErr w:type="spellStart"/>
            <w:r w:rsidRPr="00C6104C">
              <w:rPr>
                <w:sz w:val="24"/>
                <w:szCs w:val="24"/>
              </w:rPr>
              <w:t>anul</w:t>
            </w:r>
            <w:proofErr w:type="spellEnd"/>
            <w:r w:rsidRPr="00C6104C">
              <w:rPr>
                <w:sz w:val="24"/>
                <w:szCs w:val="24"/>
              </w:rPr>
              <w:t xml:space="preserve"> 2015). </w:t>
            </w:r>
            <w:proofErr w:type="spellStart"/>
            <w:r w:rsidRPr="00C6104C">
              <w:rPr>
                <w:b/>
                <w:sz w:val="24"/>
                <w:szCs w:val="24"/>
              </w:rPr>
              <w:t>Principale</w:t>
            </w:r>
            <w:proofErr w:type="spellEnd"/>
            <w:r w:rsidRPr="00C610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b/>
                <w:sz w:val="24"/>
                <w:szCs w:val="24"/>
              </w:rPr>
              <w:t>mărfuri</w:t>
            </w:r>
            <w:proofErr w:type="spellEnd"/>
            <w:r w:rsidRPr="00C6104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b/>
                <w:sz w:val="24"/>
                <w:szCs w:val="24"/>
              </w:rPr>
              <w:lastRenderedPageBreak/>
              <w:t>exportate</w:t>
            </w:r>
            <w:proofErr w:type="spellEnd"/>
            <w:r w:rsidRPr="00C6104C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Pr="00C6104C">
              <w:rPr>
                <w:sz w:val="24"/>
                <w:szCs w:val="24"/>
              </w:rPr>
              <w:t>medicamente</w:t>
            </w:r>
            <w:proofErr w:type="spellEnd"/>
            <w:r w:rsidRPr="00C6104C">
              <w:rPr>
                <w:sz w:val="24"/>
                <w:szCs w:val="24"/>
              </w:rPr>
              <w:t xml:space="preserve">; </w:t>
            </w:r>
            <w:proofErr w:type="spellStart"/>
            <w:r w:rsidRPr="00C6104C">
              <w:rPr>
                <w:sz w:val="24"/>
                <w:szCs w:val="24"/>
              </w:rPr>
              <w:t>masini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si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aparate</w:t>
            </w:r>
            <w:proofErr w:type="spellEnd"/>
            <w:r w:rsidRPr="00C6104C">
              <w:rPr>
                <w:sz w:val="24"/>
                <w:szCs w:val="24"/>
              </w:rPr>
              <w:t xml:space="preserve"> (</w:t>
            </w:r>
            <w:proofErr w:type="spellStart"/>
            <w:r w:rsidRPr="00C6104C">
              <w:rPr>
                <w:sz w:val="24"/>
                <w:szCs w:val="24"/>
              </w:rPr>
              <w:t>altele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decit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cele</w:t>
            </w:r>
            <w:proofErr w:type="spellEnd"/>
            <w:r w:rsidRPr="00C6104C">
              <w:rPr>
                <w:sz w:val="24"/>
                <w:szCs w:val="24"/>
              </w:rPr>
              <w:t xml:space="preserve"> de la </w:t>
            </w:r>
            <w:proofErr w:type="spellStart"/>
            <w:r w:rsidRPr="00C6104C">
              <w:rPr>
                <w:sz w:val="24"/>
                <w:szCs w:val="24"/>
              </w:rPr>
              <w:t>pozitia</w:t>
            </w:r>
            <w:proofErr w:type="spellEnd"/>
            <w:r w:rsidRPr="00C6104C">
              <w:rPr>
                <w:sz w:val="24"/>
                <w:szCs w:val="24"/>
              </w:rPr>
              <w:t xml:space="preserve"> 8450) </w:t>
            </w:r>
            <w:proofErr w:type="spellStart"/>
            <w:r w:rsidRPr="00C6104C">
              <w:rPr>
                <w:sz w:val="24"/>
                <w:szCs w:val="24"/>
              </w:rPr>
              <w:t>pentru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spalarea</w:t>
            </w:r>
            <w:proofErr w:type="spellEnd"/>
            <w:r w:rsidRPr="00C6104C">
              <w:rPr>
                <w:sz w:val="24"/>
                <w:szCs w:val="24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</w:rPr>
              <w:t>curatirea</w:t>
            </w:r>
            <w:proofErr w:type="spellEnd"/>
            <w:r w:rsidRPr="00C6104C">
              <w:rPr>
                <w:sz w:val="24"/>
                <w:szCs w:val="24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</w:rPr>
              <w:t>stoarcerea</w:t>
            </w:r>
            <w:proofErr w:type="spellEnd"/>
            <w:r w:rsidRPr="00C6104C">
              <w:rPr>
                <w:sz w:val="24"/>
                <w:szCs w:val="24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</w:rPr>
              <w:t>uscarea</w:t>
            </w:r>
            <w:proofErr w:type="spellEnd"/>
            <w:r w:rsidRPr="00C6104C">
              <w:rPr>
                <w:sz w:val="24"/>
                <w:szCs w:val="24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</w:rPr>
              <w:t>calcarea</w:t>
            </w:r>
            <w:proofErr w:type="spellEnd"/>
            <w:r w:rsidRPr="00C6104C">
              <w:rPr>
                <w:sz w:val="24"/>
                <w:szCs w:val="24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</w:rPr>
              <w:t>presarea</w:t>
            </w:r>
            <w:proofErr w:type="spellEnd"/>
            <w:r w:rsidRPr="00C6104C">
              <w:rPr>
                <w:sz w:val="24"/>
                <w:szCs w:val="24"/>
              </w:rPr>
              <w:t xml:space="preserve"> (</w:t>
            </w:r>
            <w:proofErr w:type="spellStart"/>
            <w:r w:rsidRPr="00C6104C">
              <w:rPr>
                <w:sz w:val="24"/>
                <w:szCs w:val="24"/>
              </w:rPr>
              <w:t>inclusiv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presele</w:t>
            </w:r>
            <w:proofErr w:type="spellEnd"/>
            <w:r w:rsidRPr="00C6104C">
              <w:rPr>
                <w:sz w:val="24"/>
                <w:szCs w:val="24"/>
              </w:rPr>
              <w:t xml:space="preserve"> de </w:t>
            </w:r>
            <w:proofErr w:type="spellStart"/>
            <w:r w:rsidRPr="00C6104C">
              <w:rPr>
                <w:sz w:val="24"/>
                <w:szCs w:val="24"/>
              </w:rPr>
              <w:t>fixare</w:t>
            </w:r>
            <w:proofErr w:type="spellEnd"/>
            <w:r w:rsidRPr="00C6104C">
              <w:rPr>
                <w:sz w:val="24"/>
                <w:szCs w:val="24"/>
              </w:rPr>
              <w:t xml:space="preserve">), </w:t>
            </w:r>
            <w:proofErr w:type="spellStart"/>
            <w:r w:rsidRPr="00C6104C">
              <w:rPr>
                <w:sz w:val="24"/>
                <w:szCs w:val="24"/>
              </w:rPr>
              <w:t>albirea</w:t>
            </w:r>
            <w:proofErr w:type="spellEnd"/>
            <w:r w:rsidRPr="00C6104C">
              <w:rPr>
                <w:sz w:val="24"/>
                <w:szCs w:val="24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</w:rPr>
              <w:t>vopsirea</w:t>
            </w:r>
            <w:proofErr w:type="spellEnd"/>
            <w:r w:rsidRPr="00C6104C">
              <w:rPr>
                <w:sz w:val="24"/>
                <w:szCs w:val="24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</w:rPr>
              <w:t>apretarea</w:t>
            </w:r>
            <w:proofErr w:type="spellEnd"/>
            <w:r w:rsidRPr="00C6104C">
              <w:rPr>
                <w:sz w:val="24"/>
                <w:szCs w:val="24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</w:rPr>
              <w:t>finisarea</w:t>
            </w:r>
            <w:proofErr w:type="spellEnd"/>
            <w:r w:rsidRPr="00C6104C">
              <w:rPr>
                <w:sz w:val="24"/>
                <w:szCs w:val="24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</w:rPr>
              <w:t>acoperirea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sau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impregnarea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firelor</w:t>
            </w:r>
            <w:proofErr w:type="spellEnd"/>
            <w:r w:rsidRPr="00C6104C">
              <w:rPr>
                <w:sz w:val="24"/>
                <w:szCs w:val="24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</w:rPr>
              <w:t>tesaturilor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sau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articolelor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confectionate</w:t>
            </w:r>
            <w:proofErr w:type="spellEnd"/>
            <w:r w:rsidRPr="00C6104C">
              <w:rPr>
                <w:sz w:val="24"/>
                <w:szCs w:val="24"/>
              </w:rPr>
              <w:t xml:space="preserve"> din </w:t>
            </w:r>
            <w:proofErr w:type="spellStart"/>
            <w:r w:rsidRPr="00C6104C">
              <w:rPr>
                <w:sz w:val="24"/>
                <w:szCs w:val="24"/>
              </w:rPr>
              <w:t>materiale</w:t>
            </w:r>
            <w:proofErr w:type="spellEnd"/>
            <w:r w:rsidRPr="00C6104C">
              <w:rPr>
                <w:sz w:val="24"/>
                <w:szCs w:val="24"/>
              </w:rPr>
              <w:t xml:space="preserve"> textile </w:t>
            </w:r>
            <w:proofErr w:type="spellStart"/>
            <w:r w:rsidRPr="00C6104C">
              <w:rPr>
                <w:sz w:val="24"/>
                <w:szCs w:val="24"/>
              </w:rPr>
              <w:t>si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masini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pentru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acoperirea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tesaturilor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sau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altor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suporturi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utilizate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pentru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fabricarea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articolelor</w:t>
            </w:r>
            <w:proofErr w:type="spellEnd"/>
            <w:r w:rsidRPr="00C6104C">
              <w:rPr>
                <w:sz w:val="24"/>
                <w:szCs w:val="24"/>
              </w:rPr>
              <w:t xml:space="preserve"> de </w:t>
            </w:r>
            <w:proofErr w:type="spellStart"/>
            <w:r w:rsidRPr="00C6104C">
              <w:rPr>
                <w:sz w:val="24"/>
                <w:szCs w:val="24"/>
              </w:rPr>
              <w:t>acoperit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podele</w:t>
            </w:r>
            <w:proofErr w:type="spellEnd"/>
            <w:r w:rsidRPr="00C6104C">
              <w:rPr>
                <w:sz w:val="24"/>
                <w:szCs w:val="24"/>
              </w:rPr>
              <w:t xml:space="preserve"> cum </w:t>
            </w:r>
            <w:proofErr w:type="spellStart"/>
            <w:r w:rsidRPr="00C6104C">
              <w:rPr>
                <w:sz w:val="24"/>
                <w:szCs w:val="24"/>
              </w:rPr>
              <w:t>este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linoleumul</w:t>
            </w:r>
            <w:proofErr w:type="spellEnd"/>
            <w:r w:rsidRPr="00C6104C">
              <w:rPr>
                <w:sz w:val="24"/>
                <w:szCs w:val="24"/>
              </w:rPr>
              <w:t xml:space="preserve">; </w:t>
            </w:r>
            <w:proofErr w:type="spellStart"/>
            <w:r w:rsidRPr="00C6104C">
              <w:rPr>
                <w:sz w:val="24"/>
                <w:szCs w:val="24"/>
              </w:rPr>
              <w:t>masini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pentru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rularea</w:t>
            </w:r>
            <w:proofErr w:type="spellEnd"/>
            <w:r w:rsidRPr="00C6104C">
              <w:rPr>
                <w:sz w:val="24"/>
                <w:szCs w:val="24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</w:rPr>
              <w:t>derularea</w:t>
            </w:r>
            <w:proofErr w:type="spellEnd"/>
            <w:r w:rsidRPr="00C6104C">
              <w:rPr>
                <w:sz w:val="24"/>
                <w:szCs w:val="24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</w:rPr>
              <w:t>plierea</w:t>
            </w:r>
            <w:proofErr w:type="spellEnd"/>
            <w:r w:rsidRPr="00C6104C">
              <w:rPr>
                <w:sz w:val="24"/>
                <w:szCs w:val="24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</w:rPr>
              <w:t>taierea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sau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dantelarea</w:t>
            </w:r>
            <w:proofErr w:type="spellEnd"/>
            <w:r w:rsidRPr="00C6104C">
              <w:rPr>
                <w:sz w:val="24"/>
                <w:szCs w:val="24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</w:rPr>
              <w:t>tesaturilor</w:t>
            </w:r>
            <w:proofErr w:type="spellEnd"/>
            <w:r w:rsidRPr="00C6104C">
              <w:rPr>
                <w:sz w:val="24"/>
                <w:szCs w:val="24"/>
              </w:rPr>
              <w:t xml:space="preserve">; </w:t>
            </w:r>
            <w:r w:rsidRPr="00C6104C">
              <w:rPr>
                <w:b/>
                <w:bCs/>
                <w:lang w:val="ro-RO"/>
              </w:rPr>
              <w:t xml:space="preserve">articole de transport sau de ambalare din materiale plastice; pompe de aer sau de vid; articole din ipsos sau din </w:t>
            </w:r>
            <w:proofErr w:type="spellStart"/>
            <w:r w:rsidRPr="00C6104C">
              <w:rPr>
                <w:b/>
                <w:bCs/>
                <w:lang w:val="ro-RO"/>
              </w:rPr>
              <w:t>compozitii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pe baza de ipsos; construcții și părți de construcții; semințe de floarea-soarelui, chiar </w:t>
            </w:r>
            <w:proofErr w:type="spellStart"/>
            <w:r w:rsidRPr="00C6104C">
              <w:rPr>
                <w:b/>
                <w:bCs/>
                <w:lang w:val="ro-RO"/>
              </w:rPr>
              <w:t>sfarimate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</w:t>
            </w:r>
            <w:r w:rsidRPr="00C6104C">
              <w:rPr>
                <w:sz w:val="24"/>
                <w:szCs w:val="24"/>
              </w:rPr>
              <w:t xml:space="preserve"> etc.</w:t>
            </w:r>
          </w:p>
          <w:p w:rsidR="00C6104C" w:rsidRPr="00C6104C" w:rsidRDefault="00C6104C" w:rsidP="00C6104C">
            <w:pPr>
              <w:spacing w:line="276" w:lineRule="auto"/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C6104C">
              <w:rPr>
                <w:b/>
                <w:sz w:val="24"/>
                <w:szCs w:val="24"/>
                <w:lang w:val="fr-FR"/>
              </w:rPr>
              <w:t>Importul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– </w:t>
            </w:r>
            <w:r w:rsidRPr="00C6104C">
              <w:rPr>
                <w:b/>
                <w:sz w:val="24"/>
                <w:szCs w:val="24"/>
                <w:lang w:val="fr-FR"/>
              </w:rPr>
              <w:t>1074,57 mii USD (+20,91</w:t>
            </w:r>
            <w:r w:rsidRPr="00C6104C">
              <w:rPr>
                <w:sz w:val="24"/>
                <w:szCs w:val="24"/>
                <w:lang w:val="fr-FR"/>
              </w:rPr>
              <w:t xml:space="preserve">%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comparație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cu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anul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2015). </w:t>
            </w:r>
            <w:r w:rsidRPr="00C6104C">
              <w:rPr>
                <w:b/>
                <w:sz w:val="24"/>
                <w:szCs w:val="24"/>
                <w:lang w:val="fr-FR"/>
              </w:rPr>
              <w:t xml:space="preserve">Principale </w:t>
            </w:r>
            <w:proofErr w:type="spellStart"/>
            <w:r w:rsidRPr="00C6104C">
              <w:rPr>
                <w:b/>
                <w:sz w:val="24"/>
                <w:szCs w:val="24"/>
                <w:lang w:val="fr-FR"/>
              </w:rPr>
              <w:t>mărfuri</w:t>
            </w:r>
            <w:proofErr w:type="spellEnd"/>
            <w:r w:rsidRPr="00C6104C">
              <w:rPr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104C">
              <w:rPr>
                <w:b/>
                <w:sz w:val="24"/>
                <w:szCs w:val="24"/>
                <w:lang w:val="fr-FR"/>
              </w:rPr>
              <w:t>importate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ceai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chiar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aromatizat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;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alte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tutunuri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inlocuitori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tutun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prelucrate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;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tutunuri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„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omogenizate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”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sau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„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reconstituite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”;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extracte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esente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tutun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;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vata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din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materiale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textile si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articole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din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aceasta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;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polimeri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propilena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sau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alte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olefine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sub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forme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primare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; 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parfumuri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 xml:space="preserve"> si ape de </w:t>
            </w:r>
            <w:proofErr w:type="spellStart"/>
            <w:r w:rsidRPr="00C6104C">
              <w:rPr>
                <w:sz w:val="24"/>
                <w:szCs w:val="24"/>
                <w:lang w:val="fr-FR"/>
              </w:rPr>
              <w:t>toaleta</w:t>
            </w:r>
            <w:proofErr w:type="spellEnd"/>
            <w:r w:rsidRPr="00C6104C">
              <w:rPr>
                <w:sz w:val="24"/>
                <w:szCs w:val="24"/>
                <w:lang w:val="fr-FR"/>
              </w:rPr>
              <w:t>; etc.</w:t>
            </w:r>
          </w:p>
          <w:p w:rsidR="001114D3" w:rsidRPr="00C6104C" w:rsidRDefault="001114D3" w:rsidP="00A52EB1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:rsidR="00DC226C" w:rsidRDefault="00DC226C" w:rsidP="001114D3">
      <w:pPr>
        <w:jc w:val="right"/>
        <w:rPr>
          <w:sz w:val="24"/>
          <w:szCs w:val="24"/>
          <w:lang w:val="ro-RO"/>
        </w:rPr>
      </w:pPr>
    </w:p>
    <w:p w:rsidR="00EF6A5C" w:rsidRDefault="00EF6A5C" w:rsidP="00EF6A5C">
      <w:pPr>
        <w:rPr>
          <w:sz w:val="24"/>
          <w:szCs w:val="24"/>
          <w:lang w:val="ro-RO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776"/>
      </w:tblGrid>
      <w:tr w:rsidR="00DA13F0" w:rsidRPr="00DA13F0" w:rsidTr="00DA3124">
        <w:tc>
          <w:tcPr>
            <w:tcW w:w="9776" w:type="dxa"/>
            <w:shd w:val="clear" w:color="auto" w:fill="D9D9D9" w:themeFill="background1" w:themeFillShade="D9"/>
          </w:tcPr>
          <w:p w:rsidR="00EF6A5C" w:rsidRPr="00DA13F0" w:rsidRDefault="00EF6A5C" w:rsidP="00DA3124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proofErr w:type="spellStart"/>
            <w:r w:rsidRPr="00DA13F0">
              <w:rPr>
                <w:b/>
                <w:sz w:val="24"/>
                <w:szCs w:val="24"/>
              </w:rPr>
              <w:t>Subiecte</w:t>
            </w:r>
            <w:proofErr w:type="spellEnd"/>
            <w:r w:rsidRPr="00DA13F0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DA13F0">
              <w:rPr>
                <w:b/>
                <w:sz w:val="24"/>
                <w:szCs w:val="24"/>
              </w:rPr>
              <w:t>discuții</w:t>
            </w:r>
            <w:proofErr w:type="spellEnd"/>
            <w:r w:rsidRPr="00DA13F0">
              <w:rPr>
                <w:b/>
                <w:sz w:val="24"/>
                <w:szCs w:val="24"/>
              </w:rPr>
              <w:t>.</w:t>
            </w:r>
          </w:p>
        </w:tc>
      </w:tr>
      <w:tr w:rsidR="00DA13F0" w:rsidRPr="00DA13F0" w:rsidTr="00DA3124">
        <w:tc>
          <w:tcPr>
            <w:tcW w:w="9776" w:type="dxa"/>
          </w:tcPr>
          <w:p w:rsidR="00EF6A5C" w:rsidRPr="00DA13F0" w:rsidRDefault="00EF6A5C" w:rsidP="00DA13F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3F0">
              <w:rPr>
                <w:rFonts w:ascii="Times New Roman" w:hAnsi="Times New Roman"/>
                <w:sz w:val="24"/>
                <w:szCs w:val="24"/>
              </w:rPr>
              <w:t>Organizarea business forum-urilor și misiunilor de afaceri bilaterale cu scopul de a stabili noi parteneriate între mediile de afaceri.</w:t>
            </w:r>
          </w:p>
          <w:p w:rsidR="00EF6A5C" w:rsidRPr="00DA13F0" w:rsidRDefault="00EF6A5C" w:rsidP="00DA13F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3F0">
              <w:rPr>
                <w:rFonts w:ascii="Times New Roman" w:hAnsi="Times New Roman"/>
                <w:sz w:val="24"/>
                <w:szCs w:val="24"/>
              </w:rPr>
              <w:t>Reieșind din climatul investiţional favorabil și condiţiile atractive în RM, încurajăm implicarea companiilor austriece în activitatea Zonelor Economice Libere şi Parcurilor Industriale.</w:t>
            </w:r>
          </w:p>
          <w:p w:rsidR="00EF6A5C" w:rsidRPr="00DA13F0" w:rsidRDefault="00EF6A5C" w:rsidP="00DA13F0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3F0">
              <w:rPr>
                <w:rFonts w:ascii="Times New Roman" w:hAnsi="Times New Roman"/>
                <w:sz w:val="24"/>
                <w:szCs w:val="24"/>
              </w:rPr>
              <w:t xml:space="preserve">Încurajăm participarea companiilor </w:t>
            </w:r>
            <w:proofErr w:type="spellStart"/>
            <w:r w:rsidR="00C6104C" w:rsidRPr="00DA13F0">
              <w:rPr>
                <w:rFonts w:ascii="Times New Roman" w:hAnsi="Times New Roman"/>
                <w:sz w:val="24"/>
                <w:szCs w:val="24"/>
              </w:rPr>
              <w:t>emirateze</w:t>
            </w:r>
            <w:proofErr w:type="spellEnd"/>
            <w:r w:rsidRPr="00DA13F0">
              <w:rPr>
                <w:rFonts w:ascii="Times New Roman" w:hAnsi="Times New Roman"/>
                <w:sz w:val="24"/>
                <w:szCs w:val="24"/>
              </w:rPr>
              <w:t xml:space="preserve"> în </w:t>
            </w:r>
            <w:r w:rsidR="00C6104C" w:rsidRPr="00DA13F0">
              <w:rPr>
                <w:rFonts w:ascii="Times New Roman" w:hAnsi="Times New Roman"/>
                <w:sz w:val="24"/>
                <w:szCs w:val="24"/>
              </w:rPr>
              <w:t>cadrul</w:t>
            </w:r>
            <w:r w:rsidRPr="00DA13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04C" w:rsidRPr="00DA13F0">
              <w:rPr>
                <w:rFonts w:ascii="Times New Roman" w:hAnsi="Times New Roman"/>
                <w:sz w:val="24"/>
                <w:szCs w:val="24"/>
              </w:rPr>
              <w:t>concursurilor</w:t>
            </w:r>
            <w:r w:rsidRPr="00DA13F0">
              <w:rPr>
                <w:rFonts w:ascii="Times New Roman" w:hAnsi="Times New Roman"/>
                <w:sz w:val="24"/>
                <w:szCs w:val="24"/>
              </w:rPr>
              <w:t xml:space="preserve"> de privatizare</w:t>
            </w:r>
            <w:r w:rsidR="00C6104C" w:rsidRPr="00DA13F0">
              <w:rPr>
                <w:rFonts w:ascii="Times New Roman" w:hAnsi="Times New Roman"/>
                <w:sz w:val="24"/>
                <w:szCs w:val="24"/>
              </w:rPr>
              <w:t xml:space="preserve"> planificate pentru anul 2017</w:t>
            </w:r>
            <w:r w:rsidRPr="00DA13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0977" w:rsidRPr="00DA13F0" w:rsidRDefault="00C6104C" w:rsidP="00DA13F0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3F0">
              <w:rPr>
                <w:rFonts w:ascii="Times New Roman" w:hAnsi="Times New Roman"/>
                <w:sz w:val="24"/>
                <w:szCs w:val="24"/>
              </w:rPr>
              <w:t>Pentru anul 2</w:t>
            </w:r>
            <w:r w:rsidR="00020977" w:rsidRPr="00DA13F0">
              <w:rPr>
                <w:rFonts w:ascii="Times New Roman" w:hAnsi="Times New Roman"/>
                <w:sz w:val="24"/>
                <w:szCs w:val="24"/>
              </w:rPr>
              <w:t xml:space="preserve">017 au fost planificate runde de privatizare pentru perioadele: februarie-aprilie, mai-iulie, septembrie-noiembrie. </w:t>
            </w:r>
          </w:p>
          <w:p w:rsidR="00020977" w:rsidRPr="00DA13F0" w:rsidRDefault="00020977" w:rsidP="00DA13F0">
            <w:pPr>
              <w:pStyle w:val="ListParagraph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3F0">
              <w:rPr>
                <w:rFonts w:ascii="Times New Roman" w:hAnsi="Times New Roman"/>
                <w:sz w:val="24"/>
                <w:szCs w:val="24"/>
              </w:rPr>
              <w:t>În prezent, printre activele strategice care urmează să fie privatizate sunt:</w:t>
            </w:r>
          </w:p>
          <w:p w:rsidR="00020977" w:rsidRPr="00DA13F0" w:rsidRDefault="00020977" w:rsidP="00DA13F0">
            <w:pPr>
              <w:pStyle w:val="ListParagraph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3F0">
              <w:rPr>
                <w:rFonts w:ascii="Times New Roman" w:hAnsi="Times New Roman"/>
                <w:sz w:val="24"/>
                <w:szCs w:val="24"/>
              </w:rPr>
              <w:t>- S.A. "</w:t>
            </w:r>
            <w:proofErr w:type="spellStart"/>
            <w:r w:rsidRPr="00DA13F0">
              <w:rPr>
                <w:rFonts w:ascii="Times New Roman" w:hAnsi="Times New Roman"/>
                <w:sz w:val="24"/>
                <w:szCs w:val="24"/>
              </w:rPr>
              <w:t>Moldtelecom</w:t>
            </w:r>
            <w:proofErr w:type="spellEnd"/>
            <w:r w:rsidRPr="00DA13F0">
              <w:rPr>
                <w:rFonts w:ascii="Times New Roman" w:hAnsi="Times New Roman"/>
                <w:sz w:val="24"/>
                <w:szCs w:val="24"/>
              </w:rPr>
              <w:t>" (100%)</w:t>
            </w:r>
          </w:p>
          <w:p w:rsidR="00020977" w:rsidRPr="00DA13F0" w:rsidRDefault="00020977" w:rsidP="00DA13F0">
            <w:pPr>
              <w:pStyle w:val="ListParagraph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3F0">
              <w:rPr>
                <w:rFonts w:ascii="Times New Roman" w:hAnsi="Times New Roman"/>
                <w:sz w:val="24"/>
                <w:szCs w:val="24"/>
              </w:rPr>
              <w:t>- S.A. "Rețeaua de distribuție a energiei electrice" (100%)</w:t>
            </w:r>
          </w:p>
          <w:p w:rsidR="00020977" w:rsidRPr="00DA13F0" w:rsidRDefault="00020977" w:rsidP="00DA13F0">
            <w:pPr>
              <w:pStyle w:val="ListParagraph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3F0">
              <w:rPr>
                <w:rFonts w:ascii="Times New Roman" w:hAnsi="Times New Roman"/>
                <w:sz w:val="24"/>
                <w:szCs w:val="24"/>
              </w:rPr>
              <w:t xml:space="preserve">- S.A. "Rețeaua de distribuție a energiei electrice </w:t>
            </w:r>
            <w:proofErr w:type="spellStart"/>
            <w:r w:rsidRPr="00DA13F0">
              <w:rPr>
                <w:rFonts w:ascii="Times New Roman" w:hAnsi="Times New Roman"/>
                <w:sz w:val="24"/>
                <w:szCs w:val="24"/>
              </w:rPr>
              <w:t>Nord-Vest</w:t>
            </w:r>
            <w:proofErr w:type="spellEnd"/>
            <w:r w:rsidRPr="00DA13F0">
              <w:rPr>
                <w:rFonts w:ascii="Times New Roman" w:hAnsi="Times New Roman"/>
                <w:sz w:val="24"/>
                <w:szCs w:val="24"/>
              </w:rPr>
              <w:t>" (100%)</w:t>
            </w:r>
          </w:p>
          <w:p w:rsidR="00020977" w:rsidRPr="00DA13F0" w:rsidRDefault="00020977" w:rsidP="00DA13F0">
            <w:pPr>
              <w:pStyle w:val="ListParagraph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3F0">
              <w:rPr>
                <w:rFonts w:ascii="Times New Roman" w:hAnsi="Times New Roman"/>
                <w:sz w:val="24"/>
                <w:szCs w:val="24"/>
              </w:rPr>
              <w:t>- S.A. "Furnizarea energiei electrice Nord" (100%)</w:t>
            </w:r>
          </w:p>
          <w:p w:rsidR="00020977" w:rsidRPr="00DA13F0" w:rsidRDefault="00020977" w:rsidP="00DA13F0">
            <w:pPr>
              <w:pStyle w:val="ListParagraph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3F0">
              <w:rPr>
                <w:rFonts w:ascii="Times New Roman" w:hAnsi="Times New Roman"/>
                <w:sz w:val="24"/>
                <w:szCs w:val="24"/>
              </w:rPr>
              <w:t>- S.E. Hidroenergetica nod "</w:t>
            </w:r>
            <w:proofErr w:type="spellStart"/>
            <w:r w:rsidRPr="00DA13F0">
              <w:rPr>
                <w:rFonts w:ascii="Times New Roman" w:hAnsi="Times New Roman"/>
                <w:sz w:val="24"/>
                <w:szCs w:val="24"/>
              </w:rPr>
              <w:t>Costesti</w:t>
            </w:r>
            <w:proofErr w:type="spellEnd"/>
            <w:r w:rsidRPr="00DA13F0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20977" w:rsidRPr="00DA13F0" w:rsidRDefault="00020977" w:rsidP="00DA13F0">
            <w:pPr>
              <w:pStyle w:val="ListParagraph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3F0">
              <w:rPr>
                <w:rFonts w:ascii="Times New Roman" w:hAnsi="Times New Roman"/>
                <w:sz w:val="24"/>
                <w:szCs w:val="24"/>
              </w:rPr>
              <w:t>- S.E. Compania aeriană "Air Moldova"</w:t>
            </w:r>
          </w:p>
          <w:p w:rsidR="00020977" w:rsidRPr="00DA13F0" w:rsidRDefault="00020977" w:rsidP="00DA13F0">
            <w:pPr>
              <w:spacing w:line="276" w:lineRule="auto"/>
              <w:jc w:val="both"/>
              <w:rPr>
                <w:rFonts w:eastAsiaTheme="minorEastAsia" w:cstheme="minorBidi"/>
                <w:sz w:val="24"/>
                <w:szCs w:val="24"/>
                <w:lang w:val="ro-RO" w:eastAsia="en-US"/>
              </w:rPr>
            </w:pPr>
          </w:p>
          <w:p w:rsidR="00020977" w:rsidRPr="00DA13F0" w:rsidRDefault="00020977" w:rsidP="00DA13F0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3F0">
              <w:rPr>
                <w:rFonts w:ascii="Times New Roman" w:hAnsi="Times New Roman"/>
                <w:sz w:val="24"/>
                <w:szCs w:val="24"/>
              </w:rPr>
              <w:t xml:space="preserve">Alte domenii de interes </w:t>
            </w:r>
            <w:r w:rsidR="00DA13F0" w:rsidRPr="00DA13F0">
              <w:rPr>
                <w:rFonts w:ascii="Times New Roman" w:hAnsi="Times New Roman"/>
                <w:sz w:val="24"/>
                <w:szCs w:val="24"/>
              </w:rPr>
              <w:t xml:space="preserve">și propuneri </w:t>
            </w:r>
            <w:r w:rsidRPr="00DA13F0">
              <w:rPr>
                <w:rFonts w:ascii="Times New Roman" w:hAnsi="Times New Roman"/>
                <w:sz w:val="24"/>
                <w:szCs w:val="24"/>
              </w:rPr>
              <w:t>pentru atragerea noilor investiții sunt:</w:t>
            </w:r>
          </w:p>
          <w:p w:rsidR="00C6104C" w:rsidRPr="00A2394D" w:rsidRDefault="00C6104C" w:rsidP="00DA13F0">
            <w:pPr>
              <w:spacing w:line="276" w:lineRule="auto"/>
              <w:jc w:val="both"/>
              <w:rPr>
                <w:sz w:val="24"/>
                <w:szCs w:val="24"/>
                <w:u w:val="single"/>
                <w:lang w:val="ro-RO"/>
              </w:rPr>
            </w:pPr>
            <w:r w:rsidRPr="00A2394D">
              <w:rPr>
                <w:b/>
                <w:sz w:val="24"/>
                <w:szCs w:val="24"/>
                <w:u w:val="single"/>
                <w:lang w:val="ro-RO"/>
              </w:rPr>
              <w:t>a) Transport</w:t>
            </w:r>
            <w:r w:rsidRPr="00A2394D">
              <w:rPr>
                <w:sz w:val="24"/>
                <w:szCs w:val="24"/>
                <w:u w:val="single"/>
                <w:lang w:val="ro-RO"/>
              </w:rPr>
              <w:t xml:space="preserve"> </w:t>
            </w:r>
          </w:p>
          <w:p w:rsidR="00020977" w:rsidRPr="00A2394D" w:rsidRDefault="00C6104C" w:rsidP="00DA13F0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proofErr w:type="spellStart"/>
            <w:r w:rsidRPr="00A2394D">
              <w:rPr>
                <w:b/>
                <w:i/>
                <w:sz w:val="24"/>
                <w:szCs w:val="24"/>
                <w:lang w:val="ro-RO"/>
              </w:rPr>
              <w:t>Avia</w:t>
            </w:r>
            <w:proofErr w:type="spellEnd"/>
            <w:r w:rsidRPr="00A2394D">
              <w:rPr>
                <w:sz w:val="24"/>
                <w:szCs w:val="24"/>
                <w:lang w:val="ro-RO"/>
              </w:rPr>
              <w:t xml:space="preserve">: </w:t>
            </w:r>
            <w:r w:rsidR="00020977" w:rsidRPr="00A2394D">
              <w:rPr>
                <w:sz w:val="24"/>
                <w:szCs w:val="24"/>
                <w:lang w:val="ro-RO"/>
              </w:rPr>
              <w:t xml:space="preserve">modernizarea și reabilitarea Aeroportului din Bălți, Aeroportului Air Moldova, precum și utilizarea facilităților oferite de Aeroportul Internațional Mărculești. </w:t>
            </w:r>
          </w:p>
          <w:p w:rsidR="00C6104C" w:rsidRPr="00A2394D" w:rsidRDefault="00C6104C" w:rsidP="00DA13F0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A2394D">
              <w:rPr>
                <w:b/>
                <w:i/>
                <w:sz w:val="24"/>
                <w:szCs w:val="24"/>
                <w:lang w:val="ro-RO"/>
              </w:rPr>
              <w:t>Maritim</w:t>
            </w:r>
            <w:r w:rsidRPr="00A2394D">
              <w:rPr>
                <w:sz w:val="24"/>
                <w:szCs w:val="24"/>
                <w:lang w:val="ro-RO"/>
              </w:rPr>
              <w:t xml:space="preserve">: </w:t>
            </w:r>
            <w:r w:rsidR="00020977" w:rsidRPr="00A2394D">
              <w:rPr>
                <w:sz w:val="24"/>
                <w:szCs w:val="24"/>
                <w:lang w:val="ro-RO"/>
              </w:rPr>
              <w:t>Portul Liber Internațional Giurgiulești</w:t>
            </w:r>
          </w:p>
          <w:p w:rsidR="00020977" w:rsidRPr="00A2394D" w:rsidRDefault="00020977" w:rsidP="00DA13F0">
            <w:pPr>
              <w:spacing w:line="276" w:lineRule="auto"/>
              <w:jc w:val="both"/>
              <w:rPr>
                <w:sz w:val="24"/>
                <w:szCs w:val="24"/>
                <w:lang w:val="ro-RO"/>
              </w:rPr>
            </w:pPr>
            <w:r w:rsidRPr="00A2394D">
              <w:rPr>
                <w:b/>
                <w:i/>
                <w:sz w:val="24"/>
                <w:szCs w:val="24"/>
                <w:lang w:val="ro-RO"/>
              </w:rPr>
              <w:t>Infrastructura drumurilor</w:t>
            </w:r>
            <w:r w:rsidRPr="00A2394D">
              <w:rPr>
                <w:sz w:val="24"/>
                <w:szCs w:val="24"/>
                <w:lang w:val="ro-RO"/>
              </w:rPr>
              <w:t>: Reabilitarea traseului național M14, secția Criva la Chișinău; Reabilitarea traseului național 7, secția Soroca - Drochia - Costești - frontiera cu România; Reabilitarea traseului inelar - Chișinău.</w:t>
            </w:r>
          </w:p>
          <w:p w:rsidR="00020977" w:rsidRPr="00DA13F0" w:rsidRDefault="00020977" w:rsidP="00DA13F0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DA13F0">
              <w:rPr>
                <w:b/>
                <w:i/>
                <w:sz w:val="24"/>
                <w:szCs w:val="24"/>
                <w:lang w:val="en-US"/>
              </w:rPr>
              <w:t>Căile</w:t>
            </w:r>
            <w:proofErr w:type="spellEnd"/>
            <w:r w:rsidRPr="00DA13F0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b/>
                <w:i/>
                <w:sz w:val="24"/>
                <w:szCs w:val="24"/>
                <w:lang w:val="en-US"/>
              </w:rPr>
              <w:t>ferate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Reabilitarea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modernizarea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liniei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cale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ferată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Bălți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Mateuți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reabilitarea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modernizarea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stației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cale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ferată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Mogylev-Podolsky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frontiera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Ucraina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), a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stațiilor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din Bender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stațiile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Ungheni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Chișinău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reabilitarea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modernizarea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consolidarea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liniei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cale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ferată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Cuciurgan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frontiera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ucraineană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până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portul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Giurgiulești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prin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Cahul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Basarabeasca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reabilitarea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modernizarea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liniei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cale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ferată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Cuciurgan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frontiera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ucraineană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până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lastRenderedPageBreak/>
              <w:t>portul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Reni (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Ucraina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Giurgiulești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Construirea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unei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noi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linii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cale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ferată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bazată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pe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standardele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UE (1435)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Chișinău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Ungheni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frontiera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românească</w:t>
            </w:r>
            <w:proofErr w:type="spellEnd"/>
            <w:r w:rsidRPr="00DA13F0">
              <w:rPr>
                <w:sz w:val="24"/>
                <w:szCs w:val="24"/>
                <w:lang w:val="en-US"/>
              </w:rPr>
              <w:t>).</w:t>
            </w:r>
          </w:p>
          <w:p w:rsidR="00C6104C" w:rsidRPr="00DA13F0" w:rsidRDefault="00020977" w:rsidP="00DA13F0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DA13F0">
              <w:rPr>
                <w:b/>
                <w:sz w:val="24"/>
                <w:szCs w:val="24"/>
                <w:u w:val="single"/>
                <w:lang w:val="en-US"/>
              </w:rPr>
              <w:t>b</w:t>
            </w:r>
            <w:r w:rsidR="00C6104C" w:rsidRPr="00DA13F0">
              <w:rPr>
                <w:b/>
                <w:sz w:val="24"/>
                <w:szCs w:val="24"/>
                <w:u w:val="single"/>
                <w:lang w:val="en-US"/>
              </w:rPr>
              <w:t xml:space="preserve">) </w:t>
            </w:r>
            <w:proofErr w:type="spellStart"/>
            <w:r w:rsidRPr="00DA13F0">
              <w:rPr>
                <w:b/>
                <w:sz w:val="24"/>
                <w:szCs w:val="24"/>
                <w:u w:val="single"/>
                <w:lang w:val="en-US"/>
              </w:rPr>
              <w:t>Sectorul</w:t>
            </w:r>
            <w:proofErr w:type="spellEnd"/>
            <w:r w:rsidRPr="00DA13F0">
              <w:rPr>
                <w:b/>
                <w:sz w:val="24"/>
                <w:szCs w:val="24"/>
                <w:u w:val="single"/>
                <w:lang w:val="en-US"/>
              </w:rPr>
              <w:t xml:space="preserve"> energetic</w:t>
            </w:r>
            <w:r w:rsidR="00C6104C" w:rsidRPr="00DA13F0">
              <w:rPr>
                <w:sz w:val="24"/>
                <w:szCs w:val="24"/>
                <w:lang w:val="en-US"/>
              </w:rPr>
              <w:t xml:space="preserve">: EEE North, </w:t>
            </w:r>
            <w:proofErr w:type="gramStart"/>
            <w:r w:rsidR="00C6104C" w:rsidRPr="00DA13F0">
              <w:rPr>
                <w:sz w:val="24"/>
                <w:szCs w:val="24"/>
                <w:lang w:val="en-US"/>
              </w:rPr>
              <w:t>SE ”</w:t>
            </w:r>
            <w:proofErr w:type="spellStart"/>
            <w:proofErr w:type="gramEnd"/>
            <w:r w:rsidR="00C6104C" w:rsidRPr="00DA13F0">
              <w:rPr>
                <w:sz w:val="24"/>
                <w:szCs w:val="24"/>
                <w:lang w:val="en-US"/>
              </w:rPr>
              <w:t>Nodul</w:t>
            </w:r>
            <w:proofErr w:type="spellEnd"/>
            <w:r w:rsidR="00C6104C"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104C" w:rsidRPr="00DA13F0">
              <w:rPr>
                <w:sz w:val="24"/>
                <w:szCs w:val="24"/>
                <w:lang w:val="en-US"/>
              </w:rPr>
              <w:t>Hidroenergetic</w:t>
            </w:r>
            <w:proofErr w:type="spellEnd"/>
            <w:r w:rsidR="00C6104C" w:rsidRPr="00DA13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104C" w:rsidRPr="00DA13F0">
              <w:rPr>
                <w:sz w:val="24"/>
                <w:szCs w:val="24"/>
                <w:lang w:val="en-US"/>
              </w:rPr>
              <w:t>Costești</w:t>
            </w:r>
            <w:proofErr w:type="spellEnd"/>
            <w:r w:rsidR="00C6104C" w:rsidRPr="00DA13F0">
              <w:rPr>
                <w:sz w:val="24"/>
                <w:szCs w:val="24"/>
                <w:lang w:val="en-US"/>
              </w:rPr>
              <w:t>”, Red Nord, Red Nord-Vest.</w:t>
            </w:r>
          </w:p>
          <w:p w:rsidR="00C6104C" w:rsidRPr="00DA13F0" w:rsidRDefault="00020977" w:rsidP="00DA13F0">
            <w:pPr>
              <w:spacing w:line="276" w:lineRule="auto"/>
              <w:jc w:val="both"/>
              <w:rPr>
                <w:sz w:val="24"/>
                <w:szCs w:val="24"/>
                <w:lang w:val="fr-FR"/>
              </w:rPr>
            </w:pPr>
            <w:r w:rsidRPr="00DA13F0">
              <w:rPr>
                <w:b/>
                <w:sz w:val="24"/>
                <w:szCs w:val="24"/>
                <w:u w:val="single"/>
                <w:lang w:val="fr-FR"/>
              </w:rPr>
              <w:t>c</w:t>
            </w:r>
            <w:r w:rsidR="00C6104C" w:rsidRPr="00DA13F0">
              <w:rPr>
                <w:b/>
                <w:sz w:val="24"/>
                <w:szCs w:val="24"/>
                <w:u w:val="single"/>
                <w:lang w:val="fr-FR"/>
              </w:rPr>
              <w:t xml:space="preserve">) </w:t>
            </w:r>
            <w:proofErr w:type="spellStart"/>
            <w:r w:rsidRPr="00DA13F0">
              <w:rPr>
                <w:b/>
                <w:sz w:val="24"/>
                <w:szCs w:val="24"/>
                <w:u w:val="single"/>
                <w:lang w:val="fr-FR"/>
              </w:rPr>
              <w:t>Tîrguri</w:t>
            </w:r>
            <w:proofErr w:type="spellEnd"/>
            <w:r w:rsidRPr="00DA13F0">
              <w:rPr>
                <w:b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A13F0">
              <w:rPr>
                <w:b/>
                <w:sz w:val="24"/>
                <w:szCs w:val="24"/>
                <w:u w:val="single"/>
                <w:lang w:val="fr-FR"/>
              </w:rPr>
              <w:t>și</w:t>
            </w:r>
            <w:proofErr w:type="spellEnd"/>
            <w:r w:rsidRPr="00DA13F0">
              <w:rPr>
                <w:b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r w:rsidRPr="00DA13F0">
              <w:rPr>
                <w:b/>
                <w:sz w:val="24"/>
                <w:szCs w:val="24"/>
                <w:u w:val="single"/>
                <w:lang w:val="fr-FR"/>
              </w:rPr>
              <w:t>expoziții</w:t>
            </w:r>
            <w:proofErr w:type="spellEnd"/>
            <w:r w:rsidR="00C6104C" w:rsidRPr="00DA13F0">
              <w:rPr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DA13F0">
              <w:rPr>
                <w:sz w:val="24"/>
                <w:szCs w:val="24"/>
                <w:lang w:val="fr-FR"/>
              </w:rPr>
              <w:t>C</w:t>
            </w:r>
            <w:r w:rsidR="00A2394D">
              <w:rPr>
                <w:sz w:val="24"/>
                <w:szCs w:val="24"/>
                <w:lang w:val="fr-FR"/>
              </w:rPr>
              <w:t>o</w:t>
            </w:r>
            <w:r w:rsidRPr="00DA13F0">
              <w:rPr>
                <w:sz w:val="24"/>
                <w:szCs w:val="24"/>
                <w:lang w:val="fr-FR"/>
              </w:rPr>
              <w:t>nstruirea</w:t>
            </w:r>
            <w:proofErr w:type="spellEnd"/>
            <w:r w:rsidRPr="00DA13F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fr-FR"/>
              </w:rPr>
              <w:t>unui</w:t>
            </w:r>
            <w:proofErr w:type="spellEnd"/>
            <w:r w:rsidRPr="00DA13F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fr-FR"/>
              </w:rPr>
              <w:t>pavilion</w:t>
            </w:r>
            <w:proofErr w:type="spellEnd"/>
            <w:r w:rsidRPr="00DA13F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fr-FR"/>
              </w:rPr>
              <w:t>multifunctional</w:t>
            </w:r>
            <w:proofErr w:type="spellEnd"/>
            <w:r w:rsidRPr="00DA13F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fr-FR"/>
              </w:rPr>
              <w:t>și</w:t>
            </w:r>
            <w:proofErr w:type="spellEnd"/>
            <w:r w:rsidRPr="00DA13F0">
              <w:rPr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DA13F0">
              <w:rPr>
                <w:sz w:val="24"/>
                <w:szCs w:val="24"/>
                <w:lang w:val="fr-FR"/>
              </w:rPr>
              <w:t>unei</w:t>
            </w:r>
            <w:proofErr w:type="spellEnd"/>
            <w:r w:rsidRPr="00DA13F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fr-FR"/>
              </w:rPr>
              <w:t>parcări</w:t>
            </w:r>
            <w:proofErr w:type="spellEnd"/>
            <w:r w:rsidRPr="00DA13F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fr-FR"/>
              </w:rPr>
              <w:t>în</w:t>
            </w:r>
            <w:proofErr w:type="spellEnd"/>
            <w:r w:rsidRPr="00DA13F0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A13F0">
              <w:rPr>
                <w:sz w:val="24"/>
                <w:szCs w:val="24"/>
                <w:lang w:val="fr-FR"/>
              </w:rPr>
              <w:t>cadrul</w:t>
            </w:r>
            <w:proofErr w:type="spellEnd"/>
            <w:r w:rsidR="00C6104C" w:rsidRPr="00DA13F0">
              <w:rPr>
                <w:sz w:val="24"/>
                <w:szCs w:val="24"/>
                <w:lang w:val="fr-FR"/>
              </w:rPr>
              <w:t xml:space="preserve"> SA MOLDEXPO.</w:t>
            </w:r>
          </w:p>
          <w:p w:rsidR="00EF6A5C" w:rsidRPr="00DA13F0" w:rsidRDefault="00020977" w:rsidP="00DA13F0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DA13F0">
              <w:rPr>
                <w:b/>
                <w:sz w:val="24"/>
                <w:szCs w:val="24"/>
                <w:u w:val="single"/>
                <w:lang w:val="en-US"/>
              </w:rPr>
              <w:t>d</w:t>
            </w:r>
            <w:r w:rsidR="00C6104C" w:rsidRPr="00DA13F0">
              <w:rPr>
                <w:b/>
                <w:sz w:val="24"/>
                <w:szCs w:val="24"/>
                <w:u w:val="single"/>
                <w:lang w:val="en-US"/>
              </w:rPr>
              <w:t xml:space="preserve">) </w:t>
            </w:r>
            <w:proofErr w:type="spellStart"/>
            <w:r w:rsidRPr="00DA13F0">
              <w:rPr>
                <w:b/>
                <w:sz w:val="24"/>
                <w:szCs w:val="24"/>
                <w:u w:val="single"/>
                <w:lang w:val="en-US"/>
              </w:rPr>
              <w:t>Comunicații</w:t>
            </w:r>
            <w:proofErr w:type="spellEnd"/>
            <w:r w:rsidR="00C6104C" w:rsidRPr="00DA13F0">
              <w:rPr>
                <w:sz w:val="24"/>
                <w:szCs w:val="24"/>
                <w:lang w:val="en-US"/>
              </w:rPr>
              <w:t>: MOLDTELECOM (</w:t>
            </w:r>
            <w:proofErr w:type="spellStart"/>
            <w:r w:rsidRPr="00DA13F0">
              <w:rPr>
                <w:sz w:val="24"/>
                <w:szCs w:val="24"/>
                <w:lang w:val="en-US"/>
              </w:rPr>
              <w:t>privatizare</w:t>
            </w:r>
            <w:proofErr w:type="spellEnd"/>
            <w:r w:rsidR="00C6104C" w:rsidRPr="00DA13F0">
              <w:rPr>
                <w:sz w:val="24"/>
                <w:szCs w:val="24"/>
                <w:lang w:val="en-US"/>
              </w:rPr>
              <w:t>).</w:t>
            </w:r>
          </w:p>
        </w:tc>
      </w:tr>
    </w:tbl>
    <w:p w:rsidR="00DC226C" w:rsidRDefault="00DC226C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A2394D" w:rsidRDefault="00A2394D" w:rsidP="00DA13F0">
      <w:pPr>
        <w:rPr>
          <w:sz w:val="24"/>
          <w:szCs w:val="24"/>
          <w:lang w:val="ro-RO"/>
        </w:rPr>
      </w:pPr>
    </w:p>
    <w:p w:rsidR="001114D3" w:rsidRPr="00EF6A5C" w:rsidRDefault="001114D3" w:rsidP="001114D3">
      <w:pPr>
        <w:jc w:val="right"/>
        <w:rPr>
          <w:i/>
          <w:sz w:val="24"/>
          <w:szCs w:val="24"/>
          <w:lang w:val="ro-RO"/>
        </w:rPr>
      </w:pPr>
      <w:r w:rsidRPr="00EF6A5C">
        <w:rPr>
          <w:i/>
          <w:sz w:val="24"/>
          <w:szCs w:val="24"/>
          <w:lang w:val="ro-RO"/>
        </w:rPr>
        <w:lastRenderedPageBreak/>
        <w:t>Anexa 1</w:t>
      </w:r>
    </w:p>
    <w:p w:rsidR="00EF6A5C" w:rsidRDefault="00EF6A5C" w:rsidP="00EF6A5C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Evoluția volumului comerțului exterior </w:t>
      </w:r>
    </w:p>
    <w:p w:rsidR="00EF6A5C" w:rsidRDefault="00EF6A5C" w:rsidP="00EF6A5C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între Republica Moldova și Emiratele Arabe Unite </w:t>
      </w:r>
    </w:p>
    <w:p w:rsidR="00EF6A5C" w:rsidRPr="00EF6A5C" w:rsidRDefault="00EF6A5C" w:rsidP="00EF6A5C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perioada anilor 2015-2016 și în perioada ianuarie-aprilie 2016-2017</w:t>
      </w:r>
    </w:p>
    <w:p w:rsidR="001114D3" w:rsidRPr="0005786A" w:rsidRDefault="001114D3" w:rsidP="00614A84">
      <w:pPr>
        <w:spacing w:line="276" w:lineRule="auto"/>
        <w:jc w:val="center"/>
        <w:rPr>
          <w:b/>
          <w:sz w:val="24"/>
          <w:szCs w:val="24"/>
          <w:lang w:val="ro-RO"/>
        </w:rPr>
      </w:pPr>
    </w:p>
    <w:p w:rsidR="00EF6A5C" w:rsidRPr="00DA20BA" w:rsidRDefault="00EF6A5C" w:rsidP="00614A84">
      <w:pPr>
        <w:spacing w:line="276" w:lineRule="auto"/>
        <w:rPr>
          <w:b/>
          <w:sz w:val="24"/>
          <w:szCs w:val="24"/>
          <w:u w:val="single"/>
        </w:rPr>
      </w:pPr>
      <w:proofErr w:type="spellStart"/>
      <w:r w:rsidRPr="00DA20BA">
        <w:rPr>
          <w:b/>
          <w:sz w:val="24"/>
          <w:szCs w:val="24"/>
          <w:u w:val="single"/>
        </w:rPr>
        <w:t>Comerțul</w:t>
      </w:r>
      <w:proofErr w:type="spellEnd"/>
      <w:r w:rsidRPr="00DA20BA">
        <w:rPr>
          <w:b/>
          <w:sz w:val="24"/>
          <w:szCs w:val="24"/>
          <w:u w:val="single"/>
        </w:rPr>
        <w:t xml:space="preserve"> bilateral </w:t>
      </w:r>
      <w:proofErr w:type="spellStart"/>
      <w:r w:rsidRPr="00DA20BA">
        <w:rPr>
          <w:b/>
          <w:sz w:val="24"/>
          <w:szCs w:val="24"/>
          <w:u w:val="single"/>
        </w:rPr>
        <w:t>în</w:t>
      </w:r>
      <w:proofErr w:type="spellEnd"/>
      <w:r w:rsidRPr="00DA20BA">
        <w:rPr>
          <w:b/>
          <w:sz w:val="24"/>
          <w:szCs w:val="24"/>
          <w:u w:val="single"/>
        </w:rPr>
        <w:t xml:space="preserve"> </w:t>
      </w:r>
      <w:proofErr w:type="spellStart"/>
      <w:r w:rsidRPr="00DA20BA">
        <w:rPr>
          <w:b/>
          <w:sz w:val="24"/>
          <w:szCs w:val="24"/>
          <w:u w:val="single"/>
        </w:rPr>
        <w:t>perioada</w:t>
      </w:r>
      <w:proofErr w:type="spellEnd"/>
      <w:r w:rsidRPr="00DA20BA">
        <w:rPr>
          <w:b/>
          <w:sz w:val="24"/>
          <w:szCs w:val="24"/>
          <w:u w:val="single"/>
        </w:rPr>
        <w:t xml:space="preserve"> </w:t>
      </w:r>
      <w:proofErr w:type="spellStart"/>
      <w:r w:rsidRPr="00DA20BA">
        <w:rPr>
          <w:b/>
          <w:sz w:val="24"/>
          <w:szCs w:val="24"/>
          <w:u w:val="single"/>
        </w:rPr>
        <w:t>ianuarie-aprilie</w:t>
      </w:r>
      <w:proofErr w:type="spellEnd"/>
      <w:r w:rsidRPr="00DA20BA">
        <w:rPr>
          <w:b/>
          <w:sz w:val="24"/>
          <w:szCs w:val="24"/>
          <w:u w:val="single"/>
        </w:rPr>
        <w:t xml:space="preserve"> 2016-2017</w:t>
      </w:r>
    </w:p>
    <w:p w:rsidR="00EF6A5C" w:rsidRPr="00DA20BA" w:rsidRDefault="00EF6A5C" w:rsidP="00614A84">
      <w:pPr>
        <w:spacing w:line="276" w:lineRule="auto"/>
        <w:rPr>
          <w:b/>
          <w:sz w:val="24"/>
          <w:szCs w:val="24"/>
          <w:u w:val="single"/>
        </w:rPr>
      </w:pPr>
    </w:p>
    <w:p w:rsidR="00EF6A5C" w:rsidRPr="00DA20BA" w:rsidRDefault="00EF6A5C" w:rsidP="00614A84">
      <w:pPr>
        <w:spacing w:line="276" w:lineRule="auto"/>
        <w:jc w:val="both"/>
        <w:rPr>
          <w:sz w:val="24"/>
          <w:szCs w:val="24"/>
        </w:rPr>
      </w:pPr>
      <w:proofErr w:type="spellStart"/>
      <w:r w:rsidRPr="00DA20BA">
        <w:rPr>
          <w:b/>
          <w:sz w:val="24"/>
          <w:szCs w:val="24"/>
        </w:rPr>
        <w:t>Volumul</w:t>
      </w:r>
      <w:proofErr w:type="spellEnd"/>
      <w:r w:rsidRPr="00DA20BA">
        <w:rPr>
          <w:b/>
          <w:sz w:val="24"/>
          <w:szCs w:val="24"/>
        </w:rPr>
        <w:t xml:space="preserve"> </w:t>
      </w:r>
      <w:proofErr w:type="spellStart"/>
      <w:r w:rsidRPr="00DA20BA">
        <w:rPr>
          <w:b/>
          <w:sz w:val="24"/>
          <w:szCs w:val="24"/>
        </w:rPr>
        <w:t>comerţului</w:t>
      </w:r>
      <w:proofErr w:type="spellEnd"/>
      <w:r w:rsidRPr="00DA20BA">
        <w:rPr>
          <w:b/>
          <w:sz w:val="24"/>
          <w:szCs w:val="24"/>
        </w:rPr>
        <w:t xml:space="preserve"> exterior</w:t>
      </w:r>
      <w:r w:rsidRPr="00DA20BA">
        <w:rPr>
          <w:sz w:val="24"/>
          <w:szCs w:val="24"/>
        </w:rPr>
        <w:t xml:space="preserve"> al </w:t>
      </w:r>
      <w:proofErr w:type="spellStart"/>
      <w:r w:rsidRPr="00DA20BA">
        <w:rPr>
          <w:sz w:val="24"/>
          <w:szCs w:val="24"/>
        </w:rPr>
        <w:t>Republicii</w:t>
      </w:r>
      <w:proofErr w:type="spellEnd"/>
      <w:r w:rsidRPr="00DA20BA">
        <w:rPr>
          <w:sz w:val="24"/>
          <w:szCs w:val="24"/>
        </w:rPr>
        <w:t xml:space="preserve"> Moldova cu </w:t>
      </w:r>
      <w:proofErr w:type="spellStart"/>
      <w:r w:rsidR="00DA20BA" w:rsidRPr="00DA20BA">
        <w:rPr>
          <w:sz w:val="24"/>
          <w:szCs w:val="24"/>
        </w:rPr>
        <w:t>Emiratele</w:t>
      </w:r>
      <w:proofErr w:type="spellEnd"/>
      <w:r w:rsidR="00DA20BA" w:rsidRPr="00DA20BA">
        <w:rPr>
          <w:sz w:val="24"/>
          <w:szCs w:val="24"/>
        </w:rPr>
        <w:t xml:space="preserve"> </w:t>
      </w:r>
      <w:proofErr w:type="spellStart"/>
      <w:r w:rsidR="00DA20BA" w:rsidRPr="00DA20BA">
        <w:rPr>
          <w:sz w:val="24"/>
          <w:szCs w:val="24"/>
        </w:rPr>
        <w:t>Arabe</w:t>
      </w:r>
      <w:proofErr w:type="spellEnd"/>
      <w:r w:rsidR="00DA20BA" w:rsidRPr="00DA20BA">
        <w:rPr>
          <w:sz w:val="24"/>
          <w:szCs w:val="24"/>
        </w:rPr>
        <w:t xml:space="preserve"> Unite</w:t>
      </w:r>
      <w:r w:rsidRPr="00DA20BA">
        <w:rPr>
          <w:sz w:val="24"/>
          <w:szCs w:val="24"/>
        </w:rPr>
        <w:t xml:space="preserve">, </w:t>
      </w:r>
      <w:proofErr w:type="spellStart"/>
      <w:r w:rsidRPr="00DA20BA">
        <w:rPr>
          <w:sz w:val="24"/>
          <w:szCs w:val="24"/>
        </w:rPr>
        <w:t>în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perioada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b/>
          <w:sz w:val="24"/>
          <w:szCs w:val="24"/>
        </w:rPr>
        <w:t>ianuarie-aprilie</w:t>
      </w:r>
      <w:proofErr w:type="spellEnd"/>
      <w:r w:rsidRPr="00DA20BA">
        <w:rPr>
          <w:b/>
          <w:sz w:val="24"/>
          <w:szCs w:val="24"/>
        </w:rPr>
        <w:t xml:space="preserve"> 2017</w:t>
      </w:r>
      <w:r w:rsidRPr="00DA20BA">
        <w:rPr>
          <w:sz w:val="24"/>
          <w:szCs w:val="24"/>
        </w:rPr>
        <w:t xml:space="preserve">, a </w:t>
      </w:r>
      <w:proofErr w:type="spellStart"/>
      <w:r w:rsidRPr="00DA20BA">
        <w:rPr>
          <w:sz w:val="24"/>
          <w:szCs w:val="24"/>
        </w:rPr>
        <w:t>înregistrat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suma</w:t>
      </w:r>
      <w:proofErr w:type="spellEnd"/>
      <w:r w:rsidRPr="00DA20BA">
        <w:rPr>
          <w:sz w:val="24"/>
          <w:szCs w:val="24"/>
        </w:rPr>
        <w:t xml:space="preserve"> de </w:t>
      </w:r>
      <w:r w:rsidR="00DA20BA" w:rsidRPr="00DA20BA">
        <w:rPr>
          <w:b/>
          <w:sz w:val="24"/>
          <w:szCs w:val="24"/>
        </w:rPr>
        <w:t>1678</w:t>
      </w:r>
      <w:proofErr w:type="gramStart"/>
      <w:r w:rsidR="00DA20BA" w:rsidRPr="00DA20BA">
        <w:rPr>
          <w:b/>
          <w:sz w:val="24"/>
          <w:szCs w:val="24"/>
        </w:rPr>
        <w:t>,97</w:t>
      </w:r>
      <w:proofErr w:type="gramEnd"/>
      <w:r w:rsidR="00DA20BA" w:rsidRPr="00DA20BA">
        <w:rPr>
          <w:b/>
          <w:sz w:val="24"/>
          <w:szCs w:val="24"/>
        </w:rPr>
        <w:t xml:space="preserve"> mii</w:t>
      </w:r>
      <w:r w:rsidRPr="00DA20BA">
        <w:rPr>
          <w:b/>
          <w:sz w:val="24"/>
          <w:szCs w:val="24"/>
        </w:rPr>
        <w:t xml:space="preserve"> USD</w:t>
      </w:r>
      <w:r w:rsidRPr="00DA20BA">
        <w:rPr>
          <w:sz w:val="24"/>
          <w:szCs w:val="24"/>
        </w:rPr>
        <w:t xml:space="preserve"> </w:t>
      </w:r>
      <w:r w:rsidR="00DA20BA" w:rsidRPr="00DA20BA">
        <w:rPr>
          <w:sz w:val="24"/>
          <w:szCs w:val="24"/>
        </w:rPr>
        <w:t xml:space="preserve">(+2,3 </w:t>
      </w:r>
      <w:proofErr w:type="spellStart"/>
      <w:r w:rsidR="00DA20BA" w:rsidRPr="00DA20BA">
        <w:rPr>
          <w:sz w:val="24"/>
          <w:szCs w:val="24"/>
        </w:rPr>
        <w:t>ori</w:t>
      </w:r>
      <w:proofErr w:type="spellEnd"/>
      <w:r w:rsidR="00DA20BA"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în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comparaţie</w:t>
      </w:r>
      <w:proofErr w:type="spellEnd"/>
      <w:r w:rsidRPr="00DA20BA">
        <w:rPr>
          <w:sz w:val="24"/>
          <w:szCs w:val="24"/>
        </w:rPr>
        <w:t xml:space="preserve"> cu </w:t>
      </w:r>
      <w:proofErr w:type="spellStart"/>
      <w:r w:rsidRPr="00DA20BA">
        <w:rPr>
          <w:sz w:val="24"/>
          <w:szCs w:val="24"/>
        </w:rPr>
        <w:t>aceeași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perioadă</w:t>
      </w:r>
      <w:proofErr w:type="spellEnd"/>
      <w:r w:rsidRPr="00DA20BA">
        <w:rPr>
          <w:sz w:val="24"/>
          <w:szCs w:val="24"/>
        </w:rPr>
        <w:t xml:space="preserve"> a </w:t>
      </w:r>
      <w:proofErr w:type="spellStart"/>
      <w:r w:rsidRPr="00DA20BA">
        <w:rPr>
          <w:sz w:val="24"/>
          <w:szCs w:val="24"/>
        </w:rPr>
        <w:t>anului</w:t>
      </w:r>
      <w:proofErr w:type="spellEnd"/>
      <w:r w:rsidRPr="00DA20BA">
        <w:rPr>
          <w:sz w:val="24"/>
          <w:szCs w:val="24"/>
        </w:rPr>
        <w:t xml:space="preserve"> 2016). </w:t>
      </w:r>
      <w:proofErr w:type="spellStart"/>
      <w:r w:rsidRPr="00DA20BA">
        <w:rPr>
          <w:sz w:val="24"/>
          <w:szCs w:val="24"/>
        </w:rPr>
        <w:t>După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valoarea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volumului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schimburilor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comerciale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în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perioada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respectivă</w:t>
      </w:r>
      <w:proofErr w:type="spellEnd"/>
      <w:r w:rsidRPr="00DA20BA">
        <w:rPr>
          <w:sz w:val="24"/>
          <w:szCs w:val="24"/>
        </w:rPr>
        <w:t xml:space="preserve">, Austria se </w:t>
      </w:r>
      <w:proofErr w:type="spellStart"/>
      <w:r w:rsidRPr="00DA20BA">
        <w:rPr>
          <w:sz w:val="24"/>
          <w:szCs w:val="24"/>
        </w:rPr>
        <w:t>situează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pe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b/>
          <w:sz w:val="24"/>
          <w:szCs w:val="24"/>
        </w:rPr>
        <w:t>locul</w:t>
      </w:r>
      <w:proofErr w:type="spellEnd"/>
      <w:r w:rsidRPr="00DA20BA">
        <w:rPr>
          <w:b/>
          <w:sz w:val="24"/>
          <w:szCs w:val="24"/>
        </w:rPr>
        <w:t xml:space="preserve"> </w:t>
      </w:r>
      <w:r w:rsidR="00DA20BA" w:rsidRPr="00DA20BA">
        <w:rPr>
          <w:b/>
          <w:sz w:val="24"/>
          <w:szCs w:val="24"/>
        </w:rPr>
        <w:t>52</w:t>
      </w:r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între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țările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partenere</w:t>
      </w:r>
      <w:proofErr w:type="spellEnd"/>
      <w:r w:rsidRPr="00DA20BA">
        <w:rPr>
          <w:sz w:val="24"/>
          <w:szCs w:val="24"/>
        </w:rPr>
        <w:t xml:space="preserve"> la </w:t>
      </w:r>
      <w:proofErr w:type="spellStart"/>
      <w:r w:rsidRPr="00DA20BA">
        <w:rPr>
          <w:sz w:val="24"/>
          <w:szCs w:val="24"/>
        </w:rPr>
        <w:t>nivel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mondial</w:t>
      </w:r>
      <w:proofErr w:type="spellEnd"/>
      <w:r w:rsidRPr="00DA20BA">
        <w:rPr>
          <w:sz w:val="24"/>
          <w:szCs w:val="24"/>
        </w:rPr>
        <w:t xml:space="preserve"> cu care </w:t>
      </w:r>
      <w:proofErr w:type="spellStart"/>
      <w:r w:rsidRPr="00DA20BA">
        <w:rPr>
          <w:sz w:val="24"/>
          <w:szCs w:val="24"/>
        </w:rPr>
        <w:t>Republica</w:t>
      </w:r>
      <w:proofErr w:type="spellEnd"/>
      <w:r w:rsidRPr="00DA20BA">
        <w:rPr>
          <w:sz w:val="24"/>
          <w:szCs w:val="24"/>
        </w:rPr>
        <w:t xml:space="preserve"> Moldova </w:t>
      </w:r>
      <w:proofErr w:type="spellStart"/>
      <w:r w:rsidRPr="00DA20BA">
        <w:rPr>
          <w:sz w:val="24"/>
          <w:szCs w:val="24"/>
        </w:rPr>
        <w:t>întreţine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relaţii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comerciale</w:t>
      </w:r>
      <w:proofErr w:type="spellEnd"/>
      <w:r w:rsidRPr="00DA20BA">
        <w:rPr>
          <w:sz w:val="24"/>
          <w:szCs w:val="24"/>
        </w:rPr>
        <w:t xml:space="preserve">, </w:t>
      </w:r>
      <w:proofErr w:type="spellStart"/>
      <w:r w:rsidRPr="00DA20BA">
        <w:rPr>
          <w:sz w:val="24"/>
          <w:szCs w:val="24"/>
        </w:rPr>
        <w:t>deţinând</w:t>
      </w:r>
      <w:proofErr w:type="spellEnd"/>
      <w:r w:rsidRPr="00DA20BA">
        <w:rPr>
          <w:sz w:val="24"/>
          <w:szCs w:val="24"/>
        </w:rPr>
        <w:t xml:space="preserve"> o </w:t>
      </w:r>
      <w:proofErr w:type="spellStart"/>
      <w:r w:rsidRPr="00DA20BA">
        <w:rPr>
          <w:sz w:val="24"/>
          <w:szCs w:val="24"/>
        </w:rPr>
        <w:t>pondere</w:t>
      </w:r>
      <w:proofErr w:type="spellEnd"/>
      <w:r w:rsidRPr="00DA20BA">
        <w:rPr>
          <w:sz w:val="24"/>
          <w:szCs w:val="24"/>
        </w:rPr>
        <w:t xml:space="preserve"> de </w:t>
      </w:r>
      <w:r w:rsidR="00DA20BA" w:rsidRPr="00DA20BA">
        <w:rPr>
          <w:b/>
          <w:sz w:val="24"/>
          <w:szCs w:val="24"/>
        </w:rPr>
        <w:t>0,08</w:t>
      </w:r>
      <w:r w:rsidRPr="00DA20BA">
        <w:rPr>
          <w:b/>
          <w:sz w:val="24"/>
          <w:szCs w:val="24"/>
        </w:rPr>
        <w:t>%</w:t>
      </w:r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în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comerțul</w:t>
      </w:r>
      <w:proofErr w:type="spellEnd"/>
      <w:r w:rsidRPr="00DA20BA">
        <w:rPr>
          <w:sz w:val="24"/>
          <w:szCs w:val="24"/>
        </w:rPr>
        <w:t xml:space="preserve"> total al RM.</w:t>
      </w:r>
    </w:p>
    <w:p w:rsidR="00EF6A5C" w:rsidRPr="00DA20BA" w:rsidRDefault="00EF6A5C" w:rsidP="00614A84">
      <w:pPr>
        <w:spacing w:line="276" w:lineRule="auto"/>
        <w:jc w:val="both"/>
        <w:rPr>
          <w:sz w:val="24"/>
          <w:szCs w:val="24"/>
        </w:rPr>
      </w:pPr>
      <w:r w:rsidRPr="00DA20BA">
        <w:rPr>
          <w:b/>
          <w:sz w:val="24"/>
          <w:szCs w:val="24"/>
        </w:rPr>
        <w:t>Sold</w:t>
      </w:r>
      <w:r w:rsidRPr="00DA20BA">
        <w:rPr>
          <w:sz w:val="24"/>
          <w:szCs w:val="24"/>
        </w:rPr>
        <w:t xml:space="preserve"> – </w:t>
      </w:r>
      <w:r w:rsidR="00DA20BA" w:rsidRPr="00DA20BA">
        <w:rPr>
          <w:b/>
          <w:sz w:val="24"/>
          <w:szCs w:val="24"/>
        </w:rPr>
        <w:t>113</w:t>
      </w:r>
      <w:proofErr w:type="gramStart"/>
      <w:r w:rsidR="00DA20BA" w:rsidRPr="00DA20BA">
        <w:rPr>
          <w:b/>
          <w:sz w:val="24"/>
          <w:szCs w:val="24"/>
        </w:rPr>
        <w:t>,64</w:t>
      </w:r>
      <w:proofErr w:type="gramEnd"/>
      <w:r w:rsidRPr="00DA20BA">
        <w:rPr>
          <w:b/>
          <w:sz w:val="24"/>
          <w:szCs w:val="24"/>
        </w:rPr>
        <w:t xml:space="preserve"> </w:t>
      </w:r>
      <w:r w:rsidR="00DA20BA" w:rsidRPr="00DA20BA">
        <w:rPr>
          <w:b/>
          <w:sz w:val="24"/>
          <w:szCs w:val="24"/>
        </w:rPr>
        <w:t>mii</w:t>
      </w:r>
      <w:r w:rsidRPr="00DA20BA">
        <w:rPr>
          <w:b/>
          <w:sz w:val="24"/>
          <w:szCs w:val="24"/>
        </w:rPr>
        <w:t xml:space="preserve"> USD </w:t>
      </w:r>
      <w:proofErr w:type="spellStart"/>
      <w:r w:rsidRPr="00DA20BA">
        <w:rPr>
          <w:sz w:val="24"/>
          <w:szCs w:val="24"/>
        </w:rPr>
        <w:t>în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favoarea</w:t>
      </w:r>
      <w:proofErr w:type="spellEnd"/>
      <w:r w:rsidRPr="00DA20BA">
        <w:rPr>
          <w:sz w:val="24"/>
          <w:szCs w:val="24"/>
        </w:rPr>
        <w:t xml:space="preserve"> </w:t>
      </w:r>
      <w:r w:rsidR="00DA20BA" w:rsidRPr="00DA20BA">
        <w:rPr>
          <w:sz w:val="24"/>
          <w:szCs w:val="24"/>
        </w:rPr>
        <w:t>EAU.</w:t>
      </w:r>
      <w:r w:rsidRPr="00DA20BA">
        <w:rPr>
          <w:sz w:val="24"/>
          <w:szCs w:val="24"/>
        </w:rPr>
        <w:t>.</w:t>
      </w:r>
    </w:p>
    <w:p w:rsidR="00EF6A5C" w:rsidRPr="00DA20BA" w:rsidRDefault="00EF6A5C" w:rsidP="00614A84">
      <w:pPr>
        <w:spacing w:line="276" w:lineRule="auto"/>
        <w:rPr>
          <w:sz w:val="24"/>
          <w:szCs w:val="24"/>
        </w:rPr>
      </w:pPr>
      <w:proofErr w:type="spellStart"/>
      <w:proofErr w:type="gramStart"/>
      <w:r w:rsidRPr="00DA20BA">
        <w:rPr>
          <w:b/>
          <w:sz w:val="24"/>
          <w:szCs w:val="24"/>
        </w:rPr>
        <w:t>Exportul</w:t>
      </w:r>
      <w:proofErr w:type="spellEnd"/>
      <w:r w:rsidRPr="00DA20BA">
        <w:rPr>
          <w:sz w:val="24"/>
          <w:szCs w:val="24"/>
        </w:rPr>
        <w:t xml:space="preserve"> – </w:t>
      </w:r>
      <w:r w:rsidR="00DA20BA" w:rsidRPr="00DA20BA">
        <w:rPr>
          <w:b/>
          <w:sz w:val="24"/>
          <w:szCs w:val="24"/>
        </w:rPr>
        <w:t xml:space="preserve">1,678 </w:t>
      </w:r>
      <w:proofErr w:type="spellStart"/>
      <w:r w:rsidR="00DA20BA" w:rsidRPr="00DA20BA">
        <w:rPr>
          <w:b/>
          <w:sz w:val="24"/>
          <w:szCs w:val="24"/>
        </w:rPr>
        <w:t>mln</w:t>
      </w:r>
      <w:proofErr w:type="spellEnd"/>
      <w:r w:rsidR="00DA20BA" w:rsidRPr="00DA20BA">
        <w:rPr>
          <w:b/>
          <w:sz w:val="24"/>
          <w:szCs w:val="24"/>
        </w:rPr>
        <w:t>.</w:t>
      </w:r>
      <w:proofErr w:type="gramEnd"/>
      <w:r w:rsidRPr="00DA20BA">
        <w:rPr>
          <w:b/>
          <w:sz w:val="24"/>
          <w:szCs w:val="24"/>
        </w:rPr>
        <w:t xml:space="preserve"> USD </w:t>
      </w:r>
      <w:r w:rsidRPr="00DA20BA">
        <w:rPr>
          <w:sz w:val="24"/>
          <w:szCs w:val="24"/>
        </w:rPr>
        <w:t>(</w:t>
      </w:r>
      <w:r w:rsidRPr="00DA20BA">
        <w:rPr>
          <w:b/>
          <w:sz w:val="24"/>
          <w:szCs w:val="24"/>
        </w:rPr>
        <w:t>+</w:t>
      </w:r>
      <w:r w:rsidR="00DA20BA" w:rsidRPr="00DA20BA">
        <w:rPr>
          <w:sz w:val="24"/>
          <w:szCs w:val="24"/>
        </w:rPr>
        <w:t>3</w:t>
      </w:r>
      <w:proofErr w:type="gramStart"/>
      <w:r w:rsidR="00DA20BA" w:rsidRPr="00DA20BA">
        <w:rPr>
          <w:sz w:val="24"/>
          <w:szCs w:val="24"/>
        </w:rPr>
        <w:t>,6</w:t>
      </w:r>
      <w:proofErr w:type="gramEnd"/>
      <w:r w:rsidR="00DA20BA" w:rsidRPr="00DA20BA">
        <w:rPr>
          <w:sz w:val="24"/>
          <w:szCs w:val="24"/>
        </w:rPr>
        <w:t xml:space="preserve"> </w:t>
      </w:r>
      <w:proofErr w:type="spellStart"/>
      <w:r w:rsidR="00DA20BA" w:rsidRPr="00DA20BA">
        <w:rPr>
          <w:sz w:val="24"/>
          <w:szCs w:val="24"/>
        </w:rPr>
        <w:t>ori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în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comparație</w:t>
      </w:r>
      <w:proofErr w:type="spellEnd"/>
      <w:r w:rsidRPr="00DA20BA">
        <w:rPr>
          <w:sz w:val="24"/>
          <w:szCs w:val="24"/>
        </w:rPr>
        <w:t xml:space="preserve"> cu </w:t>
      </w:r>
      <w:proofErr w:type="spellStart"/>
      <w:r w:rsidRPr="00DA20BA">
        <w:rPr>
          <w:sz w:val="24"/>
          <w:szCs w:val="24"/>
        </w:rPr>
        <w:t>aceeași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perioadă</w:t>
      </w:r>
      <w:proofErr w:type="spellEnd"/>
      <w:r w:rsidRPr="00DA20BA">
        <w:rPr>
          <w:sz w:val="24"/>
          <w:szCs w:val="24"/>
        </w:rPr>
        <w:t xml:space="preserve"> a </w:t>
      </w:r>
      <w:proofErr w:type="spellStart"/>
      <w:r w:rsidRPr="00DA20BA">
        <w:rPr>
          <w:sz w:val="24"/>
          <w:szCs w:val="24"/>
        </w:rPr>
        <w:t>anului</w:t>
      </w:r>
      <w:proofErr w:type="spellEnd"/>
      <w:r w:rsidRPr="00DA20BA">
        <w:rPr>
          <w:sz w:val="24"/>
          <w:szCs w:val="24"/>
        </w:rPr>
        <w:t xml:space="preserve"> 2016).</w:t>
      </w:r>
    </w:p>
    <w:p w:rsidR="00EF6A5C" w:rsidRPr="00DA20BA" w:rsidRDefault="00EF6A5C" w:rsidP="00614A84">
      <w:pPr>
        <w:spacing w:line="276" w:lineRule="auto"/>
        <w:rPr>
          <w:b/>
          <w:sz w:val="24"/>
          <w:szCs w:val="24"/>
          <w:u w:val="single"/>
        </w:rPr>
      </w:pPr>
      <w:proofErr w:type="spellStart"/>
      <w:r w:rsidRPr="00DA20BA">
        <w:rPr>
          <w:b/>
          <w:sz w:val="24"/>
          <w:szCs w:val="24"/>
        </w:rPr>
        <w:t>Importul</w:t>
      </w:r>
      <w:proofErr w:type="spellEnd"/>
      <w:r w:rsidRPr="00DA20BA">
        <w:rPr>
          <w:sz w:val="24"/>
          <w:szCs w:val="24"/>
        </w:rPr>
        <w:t xml:space="preserve"> – </w:t>
      </w:r>
      <w:r w:rsidR="00DA20BA" w:rsidRPr="00DA20BA">
        <w:rPr>
          <w:b/>
          <w:sz w:val="24"/>
          <w:szCs w:val="24"/>
        </w:rPr>
        <w:t>546</w:t>
      </w:r>
      <w:proofErr w:type="gramStart"/>
      <w:r w:rsidR="00DA20BA" w:rsidRPr="00DA20BA">
        <w:rPr>
          <w:b/>
          <w:sz w:val="24"/>
          <w:szCs w:val="24"/>
        </w:rPr>
        <w:t>,75</w:t>
      </w:r>
      <w:proofErr w:type="gramEnd"/>
      <w:r w:rsidR="00DA20BA" w:rsidRPr="00DA20BA">
        <w:rPr>
          <w:b/>
          <w:sz w:val="24"/>
          <w:szCs w:val="24"/>
        </w:rPr>
        <w:t xml:space="preserve"> mii</w:t>
      </w:r>
      <w:r w:rsidRPr="00DA20BA">
        <w:rPr>
          <w:b/>
          <w:sz w:val="24"/>
          <w:szCs w:val="24"/>
        </w:rPr>
        <w:t xml:space="preserve"> USD </w:t>
      </w:r>
      <w:r w:rsidR="00DA20BA" w:rsidRPr="00DA20BA">
        <w:rPr>
          <w:sz w:val="24"/>
          <w:szCs w:val="24"/>
        </w:rPr>
        <w:t>(+28,85%</w:t>
      </w:r>
      <w:r w:rsidRPr="00DA20BA">
        <w:rPr>
          <w:sz w:val="24"/>
          <w:szCs w:val="24"/>
        </w:rPr>
        <w:t xml:space="preserve">în </w:t>
      </w:r>
      <w:proofErr w:type="spellStart"/>
      <w:r w:rsidRPr="00DA20BA">
        <w:rPr>
          <w:sz w:val="24"/>
          <w:szCs w:val="24"/>
        </w:rPr>
        <w:t>comparație</w:t>
      </w:r>
      <w:proofErr w:type="spellEnd"/>
      <w:r w:rsidRPr="00DA20BA">
        <w:rPr>
          <w:sz w:val="24"/>
          <w:szCs w:val="24"/>
        </w:rPr>
        <w:t xml:space="preserve"> cu </w:t>
      </w:r>
      <w:proofErr w:type="spellStart"/>
      <w:r w:rsidRPr="00DA20BA">
        <w:rPr>
          <w:sz w:val="24"/>
          <w:szCs w:val="24"/>
        </w:rPr>
        <w:t>aceeași</w:t>
      </w:r>
      <w:proofErr w:type="spellEnd"/>
      <w:r w:rsidRPr="00DA20BA">
        <w:rPr>
          <w:sz w:val="24"/>
          <w:szCs w:val="24"/>
        </w:rPr>
        <w:t xml:space="preserve"> </w:t>
      </w:r>
      <w:proofErr w:type="spellStart"/>
      <w:r w:rsidRPr="00DA20BA">
        <w:rPr>
          <w:sz w:val="24"/>
          <w:szCs w:val="24"/>
        </w:rPr>
        <w:t>perioadă</w:t>
      </w:r>
      <w:proofErr w:type="spellEnd"/>
      <w:r w:rsidRPr="00DA20BA">
        <w:rPr>
          <w:sz w:val="24"/>
          <w:szCs w:val="24"/>
        </w:rPr>
        <w:t xml:space="preserve"> a </w:t>
      </w:r>
      <w:proofErr w:type="spellStart"/>
      <w:r w:rsidRPr="00DA20BA">
        <w:rPr>
          <w:sz w:val="24"/>
          <w:szCs w:val="24"/>
        </w:rPr>
        <w:t>anului</w:t>
      </w:r>
      <w:proofErr w:type="spellEnd"/>
      <w:r w:rsidRPr="00DA20BA">
        <w:rPr>
          <w:sz w:val="24"/>
          <w:szCs w:val="24"/>
        </w:rPr>
        <w:t xml:space="preserve"> 2016).</w:t>
      </w:r>
    </w:p>
    <w:p w:rsidR="00DA20BA" w:rsidRDefault="00DA20BA" w:rsidP="00EF6A5C">
      <w:pPr>
        <w:jc w:val="center"/>
        <w:rPr>
          <w:b/>
          <w:bCs/>
          <w:color w:val="FF0000"/>
          <w:sz w:val="24"/>
          <w:szCs w:val="24"/>
        </w:rPr>
      </w:pPr>
    </w:p>
    <w:p w:rsidR="00EF6A5C" w:rsidRPr="00DA20BA" w:rsidRDefault="00EF6A5C" w:rsidP="00EF6A5C">
      <w:pPr>
        <w:jc w:val="center"/>
        <w:rPr>
          <w:b/>
          <w:bCs/>
          <w:sz w:val="24"/>
          <w:szCs w:val="24"/>
        </w:rPr>
      </w:pPr>
      <w:proofErr w:type="spellStart"/>
      <w:r w:rsidRPr="00DA20BA">
        <w:rPr>
          <w:b/>
          <w:bCs/>
          <w:sz w:val="24"/>
          <w:szCs w:val="24"/>
        </w:rPr>
        <w:t>Evoluţia</w:t>
      </w:r>
      <w:proofErr w:type="spellEnd"/>
      <w:r w:rsidRPr="00DA20BA">
        <w:rPr>
          <w:b/>
          <w:bCs/>
          <w:sz w:val="24"/>
          <w:szCs w:val="24"/>
        </w:rPr>
        <w:t xml:space="preserve"> </w:t>
      </w:r>
      <w:proofErr w:type="spellStart"/>
      <w:r w:rsidRPr="00DA20BA">
        <w:rPr>
          <w:b/>
          <w:bCs/>
          <w:sz w:val="24"/>
          <w:szCs w:val="24"/>
        </w:rPr>
        <w:t>schimburilor</w:t>
      </w:r>
      <w:proofErr w:type="spellEnd"/>
      <w:r w:rsidRPr="00DA20BA">
        <w:rPr>
          <w:b/>
          <w:bCs/>
          <w:sz w:val="24"/>
          <w:szCs w:val="24"/>
        </w:rPr>
        <w:t xml:space="preserve"> </w:t>
      </w:r>
      <w:proofErr w:type="spellStart"/>
      <w:r w:rsidRPr="00DA20BA">
        <w:rPr>
          <w:b/>
          <w:bCs/>
          <w:sz w:val="24"/>
          <w:szCs w:val="24"/>
        </w:rPr>
        <w:t>comerciale</w:t>
      </w:r>
      <w:proofErr w:type="spellEnd"/>
      <w:r w:rsidRPr="00DA20BA">
        <w:rPr>
          <w:b/>
          <w:bCs/>
          <w:sz w:val="24"/>
          <w:szCs w:val="24"/>
        </w:rPr>
        <w:t xml:space="preserve"> </w:t>
      </w:r>
    </w:p>
    <w:p w:rsidR="00EF6A5C" w:rsidRPr="00DA20BA" w:rsidRDefault="00EF6A5C" w:rsidP="00EF6A5C">
      <w:pPr>
        <w:jc w:val="center"/>
        <w:rPr>
          <w:b/>
          <w:bCs/>
          <w:sz w:val="24"/>
          <w:szCs w:val="24"/>
        </w:rPr>
      </w:pPr>
      <w:proofErr w:type="spellStart"/>
      <w:r w:rsidRPr="00DA20BA">
        <w:rPr>
          <w:b/>
          <w:bCs/>
          <w:sz w:val="24"/>
          <w:szCs w:val="24"/>
        </w:rPr>
        <w:t>Republica</w:t>
      </w:r>
      <w:proofErr w:type="spellEnd"/>
      <w:r w:rsidRPr="00DA20BA">
        <w:rPr>
          <w:b/>
          <w:bCs/>
          <w:sz w:val="24"/>
          <w:szCs w:val="24"/>
        </w:rPr>
        <w:t xml:space="preserve"> Moldova </w:t>
      </w:r>
      <w:proofErr w:type="spellStart"/>
      <w:r w:rsidRPr="00DA20BA">
        <w:rPr>
          <w:b/>
          <w:bCs/>
          <w:sz w:val="24"/>
          <w:szCs w:val="24"/>
        </w:rPr>
        <w:t>şi</w:t>
      </w:r>
      <w:proofErr w:type="spellEnd"/>
      <w:r w:rsidRPr="00DA20BA">
        <w:rPr>
          <w:b/>
          <w:bCs/>
          <w:sz w:val="24"/>
          <w:szCs w:val="24"/>
        </w:rPr>
        <w:t xml:space="preserve"> </w:t>
      </w:r>
      <w:proofErr w:type="spellStart"/>
      <w:r w:rsidR="00DA20BA" w:rsidRPr="00DA20BA">
        <w:rPr>
          <w:b/>
          <w:bCs/>
          <w:sz w:val="24"/>
          <w:szCs w:val="24"/>
        </w:rPr>
        <w:t>Emiratele</w:t>
      </w:r>
      <w:proofErr w:type="spellEnd"/>
      <w:r w:rsidR="00DA20BA" w:rsidRPr="00DA20BA">
        <w:rPr>
          <w:b/>
          <w:bCs/>
          <w:sz w:val="24"/>
          <w:szCs w:val="24"/>
        </w:rPr>
        <w:t xml:space="preserve"> </w:t>
      </w:r>
      <w:proofErr w:type="spellStart"/>
      <w:r w:rsidR="00DA20BA" w:rsidRPr="00DA20BA">
        <w:rPr>
          <w:b/>
          <w:bCs/>
          <w:sz w:val="24"/>
          <w:szCs w:val="24"/>
        </w:rPr>
        <w:t>Arabe</w:t>
      </w:r>
      <w:proofErr w:type="spellEnd"/>
      <w:r w:rsidR="00DA20BA" w:rsidRPr="00DA20BA">
        <w:rPr>
          <w:b/>
          <w:bCs/>
          <w:sz w:val="24"/>
          <w:szCs w:val="24"/>
        </w:rPr>
        <w:t xml:space="preserve"> Unite</w:t>
      </w:r>
      <w:r w:rsidRPr="00DA20BA">
        <w:rPr>
          <w:b/>
          <w:bCs/>
          <w:sz w:val="24"/>
          <w:szCs w:val="24"/>
        </w:rPr>
        <w:t xml:space="preserve"> </w:t>
      </w:r>
      <w:proofErr w:type="spellStart"/>
      <w:r w:rsidRPr="00DA20BA">
        <w:rPr>
          <w:b/>
          <w:bCs/>
          <w:sz w:val="24"/>
          <w:szCs w:val="24"/>
        </w:rPr>
        <w:t>în</w:t>
      </w:r>
      <w:proofErr w:type="spellEnd"/>
      <w:r w:rsidRPr="00DA20BA">
        <w:rPr>
          <w:b/>
          <w:bCs/>
          <w:sz w:val="24"/>
          <w:szCs w:val="24"/>
        </w:rPr>
        <w:t xml:space="preserve"> </w:t>
      </w:r>
      <w:proofErr w:type="spellStart"/>
      <w:r w:rsidRPr="00DA20BA">
        <w:rPr>
          <w:b/>
          <w:bCs/>
          <w:sz w:val="24"/>
          <w:szCs w:val="24"/>
        </w:rPr>
        <w:t>perioada</w:t>
      </w:r>
      <w:proofErr w:type="spellEnd"/>
      <w:r w:rsidRPr="00DA20BA">
        <w:rPr>
          <w:b/>
          <w:bCs/>
          <w:sz w:val="24"/>
          <w:szCs w:val="24"/>
        </w:rPr>
        <w:t xml:space="preserve"> </w:t>
      </w:r>
      <w:proofErr w:type="spellStart"/>
      <w:r w:rsidRPr="00DA20BA">
        <w:rPr>
          <w:b/>
          <w:bCs/>
          <w:sz w:val="24"/>
          <w:szCs w:val="24"/>
        </w:rPr>
        <w:t>ianuarie-aprilie</w:t>
      </w:r>
      <w:proofErr w:type="spellEnd"/>
      <w:r w:rsidRPr="00DA20BA">
        <w:rPr>
          <w:b/>
          <w:bCs/>
          <w:sz w:val="24"/>
          <w:szCs w:val="24"/>
        </w:rPr>
        <w:t xml:space="preserve"> 2016-2017</w:t>
      </w:r>
    </w:p>
    <w:p w:rsidR="00EF6A5C" w:rsidRPr="00DA20BA" w:rsidRDefault="00EF6A5C" w:rsidP="00EF6A5C">
      <w:pPr>
        <w:rPr>
          <w:sz w:val="24"/>
          <w:szCs w:val="24"/>
        </w:rPr>
      </w:pPr>
      <w:r w:rsidRPr="00DA20BA">
        <w:rPr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gramStart"/>
      <w:r w:rsidRPr="00DA20BA">
        <w:rPr>
          <w:bCs/>
          <w:sz w:val="24"/>
          <w:szCs w:val="24"/>
        </w:rPr>
        <w:t>mi</w:t>
      </w:r>
      <w:r w:rsidR="00DA20BA" w:rsidRPr="00DA20BA">
        <w:rPr>
          <w:bCs/>
          <w:sz w:val="24"/>
          <w:szCs w:val="24"/>
        </w:rPr>
        <w:t>i</w:t>
      </w:r>
      <w:proofErr w:type="gramEnd"/>
      <w:r w:rsidRPr="00DA20BA">
        <w:rPr>
          <w:bCs/>
          <w:sz w:val="24"/>
          <w:szCs w:val="24"/>
        </w:rPr>
        <w:t xml:space="preserve"> USD</w:t>
      </w:r>
    </w:p>
    <w:tbl>
      <w:tblPr>
        <w:tblW w:w="82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5"/>
        <w:gridCol w:w="2552"/>
        <w:gridCol w:w="2381"/>
        <w:gridCol w:w="2010"/>
      </w:tblGrid>
      <w:tr w:rsidR="00DA20BA" w:rsidRPr="00DA20BA" w:rsidTr="00DA3124">
        <w:trPr>
          <w:trHeight w:val="649"/>
          <w:jc w:val="center"/>
        </w:trPr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EF6A5C" w:rsidRPr="00DA20BA" w:rsidRDefault="00EF6A5C" w:rsidP="00DA3124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EF6A5C" w:rsidRPr="00DA20BA" w:rsidRDefault="00EF6A5C" w:rsidP="00DA3124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DA20BA">
              <w:rPr>
                <w:b/>
                <w:i/>
                <w:sz w:val="24"/>
                <w:szCs w:val="24"/>
              </w:rPr>
              <w:t>Ianuarie-aprilie</w:t>
            </w:r>
            <w:proofErr w:type="spellEnd"/>
            <w:r w:rsidRPr="00DA20BA">
              <w:rPr>
                <w:b/>
                <w:i/>
                <w:sz w:val="24"/>
                <w:szCs w:val="24"/>
              </w:rPr>
              <w:t xml:space="preserve"> </w:t>
            </w:r>
          </w:p>
          <w:p w:rsidR="00EF6A5C" w:rsidRPr="00DA20BA" w:rsidRDefault="00EF6A5C" w:rsidP="00DA3124">
            <w:pPr>
              <w:jc w:val="center"/>
              <w:rPr>
                <w:b/>
                <w:i/>
                <w:sz w:val="24"/>
                <w:szCs w:val="24"/>
              </w:rPr>
            </w:pPr>
            <w:r w:rsidRPr="00DA20BA">
              <w:rPr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2381" w:type="dxa"/>
            <w:tcBorders>
              <w:top w:val="single" w:sz="6" w:space="0" w:color="auto"/>
            </w:tcBorders>
            <w:shd w:val="clear" w:color="auto" w:fill="D9D9D9"/>
            <w:vAlign w:val="center"/>
          </w:tcPr>
          <w:p w:rsidR="00EF6A5C" w:rsidRPr="00DA20BA" w:rsidRDefault="00EF6A5C" w:rsidP="00DA3124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DA20BA">
              <w:rPr>
                <w:b/>
                <w:i/>
                <w:sz w:val="24"/>
                <w:szCs w:val="24"/>
              </w:rPr>
              <w:t>Ianuarie-aprilie</w:t>
            </w:r>
            <w:proofErr w:type="spellEnd"/>
          </w:p>
          <w:p w:rsidR="00EF6A5C" w:rsidRPr="00DA20BA" w:rsidRDefault="00EF6A5C" w:rsidP="00DA3124">
            <w:pPr>
              <w:jc w:val="center"/>
              <w:rPr>
                <w:b/>
                <w:i/>
                <w:sz w:val="24"/>
                <w:szCs w:val="24"/>
              </w:rPr>
            </w:pPr>
            <w:r w:rsidRPr="00DA20BA">
              <w:rPr>
                <w:b/>
                <w:i/>
                <w:sz w:val="24"/>
                <w:szCs w:val="24"/>
              </w:rPr>
              <w:t xml:space="preserve"> 2017</w:t>
            </w:r>
          </w:p>
        </w:tc>
        <w:tc>
          <w:tcPr>
            <w:tcW w:w="2010" w:type="dxa"/>
            <w:tcBorders>
              <w:top w:val="single" w:sz="6" w:space="0" w:color="auto"/>
            </w:tcBorders>
            <w:vAlign w:val="center"/>
          </w:tcPr>
          <w:p w:rsidR="00EF6A5C" w:rsidRPr="00DA20BA" w:rsidRDefault="00EF6A5C" w:rsidP="00DA3124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DA20BA">
              <w:rPr>
                <w:b/>
                <w:i/>
                <w:sz w:val="24"/>
                <w:szCs w:val="24"/>
              </w:rPr>
              <w:t>Dinamica</w:t>
            </w:r>
            <w:proofErr w:type="spellEnd"/>
            <w:r w:rsidRPr="00DA20BA">
              <w:rPr>
                <w:b/>
                <w:i/>
                <w:sz w:val="24"/>
                <w:szCs w:val="24"/>
              </w:rPr>
              <w:t xml:space="preserve"> 2017/2016, %</w:t>
            </w:r>
          </w:p>
        </w:tc>
      </w:tr>
      <w:tr w:rsidR="00DA20BA" w:rsidRPr="00DA20BA" w:rsidTr="00DA3124">
        <w:trPr>
          <w:trHeight w:hRule="exact" w:val="340"/>
          <w:jc w:val="center"/>
        </w:trPr>
        <w:tc>
          <w:tcPr>
            <w:tcW w:w="1275" w:type="dxa"/>
          </w:tcPr>
          <w:p w:rsidR="00EF6A5C" w:rsidRPr="00DA20BA" w:rsidRDefault="00EF6A5C" w:rsidP="00DA3124">
            <w:pPr>
              <w:rPr>
                <w:b/>
                <w:i/>
                <w:sz w:val="24"/>
                <w:szCs w:val="24"/>
              </w:rPr>
            </w:pPr>
            <w:r w:rsidRPr="00DA20BA">
              <w:rPr>
                <w:b/>
                <w:i/>
                <w:sz w:val="24"/>
                <w:szCs w:val="24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A5C" w:rsidRPr="00DA20BA" w:rsidRDefault="00EF6A5C" w:rsidP="00EF6A5C">
            <w:pPr>
              <w:jc w:val="center"/>
              <w:rPr>
                <w:b/>
                <w:sz w:val="24"/>
                <w:szCs w:val="24"/>
              </w:rPr>
            </w:pPr>
            <w:r w:rsidRPr="00DA20BA">
              <w:rPr>
                <w:b/>
                <w:sz w:val="24"/>
                <w:szCs w:val="24"/>
              </w:rPr>
              <w:t>735</w:t>
            </w:r>
            <w:r w:rsidR="00DA20BA" w:rsidRPr="00DA20BA">
              <w:rPr>
                <w:b/>
                <w:sz w:val="24"/>
                <w:szCs w:val="24"/>
              </w:rPr>
              <w:t>,</w:t>
            </w:r>
            <w:r w:rsidRPr="00DA20BA">
              <w:rPr>
                <w:b/>
                <w:sz w:val="24"/>
                <w:szCs w:val="24"/>
              </w:rPr>
              <w:t>02</w:t>
            </w:r>
          </w:p>
          <w:p w:rsidR="00EF6A5C" w:rsidRPr="00DA20BA" w:rsidRDefault="00EF6A5C" w:rsidP="00DA31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F6A5C" w:rsidRPr="00DA20BA" w:rsidRDefault="00EF6A5C" w:rsidP="00EF6A5C">
            <w:pPr>
              <w:jc w:val="center"/>
              <w:rPr>
                <w:b/>
                <w:sz w:val="24"/>
                <w:szCs w:val="24"/>
              </w:rPr>
            </w:pPr>
            <w:r w:rsidRPr="00DA20BA">
              <w:rPr>
                <w:b/>
                <w:sz w:val="24"/>
                <w:szCs w:val="24"/>
              </w:rPr>
              <w:t>1</w:t>
            </w:r>
            <w:r w:rsidR="00DA20BA" w:rsidRPr="00DA20BA">
              <w:rPr>
                <w:b/>
                <w:sz w:val="24"/>
                <w:szCs w:val="24"/>
              </w:rPr>
              <w:t xml:space="preserve"> </w:t>
            </w:r>
            <w:r w:rsidRPr="00DA20BA">
              <w:rPr>
                <w:b/>
                <w:sz w:val="24"/>
                <w:szCs w:val="24"/>
              </w:rPr>
              <w:t>678</w:t>
            </w:r>
            <w:r w:rsidR="00DA20BA" w:rsidRPr="00DA20BA">
              <w:rPr>
                <w:b/>
                <w:sz w:val="24"/>
                <w:szCs w:val="24"/>
              </w:rPr>
              <w:t>,</w:t>
            </w:r>
            <w:r w:rsidRPr="00DA20BA">
              <w:rPr>
                <w:b/>
                <w:sz w:val="24"/>
                <w:szCs w:val="24"/>
              </w:rPr>
              <w:t>97</w:t>
            </w:r>
          </w:p>
          <w:p w:rsidR="00EF6A5C" w:rsidRPr="00DA20BA" w:rsidRDefault="00EF6A5C" w:rsidP="00DA31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A5C" w:rsidRPr="00DA20BA" w:rsidRDefault="00DA20BA" w:rsidP="00DA3124">
            <w:pPr>
              <w:jc w:val="center"/>
              <w:rPr>
                <w:b/>
                <w:sz w:val="24"/>
                <w:szCs w:val="24"/>
              </w:rPr>
            </w:pPr>
            <w:r w:rsidRPr="00DA20BA">
              <w:rPr>
                <w:b/>
                <w:sz w:val="24"/>
                <w:szCs w:val="24"/>
              </w:rPr>
              <w:t xml:space="preserve">+2,3 </w:t>
            </w:r>
            <w:proofErr w:type="spellStart"/>
            <w:r w:rsidRPr="00DA20BA">
              <w:rPr>
                <w:b/>
                <w:sz w:val="24"/>
                <w:szCs w:val="24"/>
              </w:rPr>
              <w:t>ori</w:t>
            </w:r>
            <w:proofErr w:type="spellEnd"/>
          </w:p>
        </w:tc>
      </w:tr>
      <w:tr w:rsidR="00DA20BA" w:rsidRPr="00DA20BA" w:rsidTr="00DA3124">
        <w:trPr>
          <w:trHeight w:hRule="exact" w:val="340"/>
          <w:jc w:val="center"/>
        </w:trPr>
        <w:tc>
          <w:tcPr>
            <w:tcW w:w="1275" w:type="dxa"/>
          </w:tcPr>
          <w:p w:rsidR="00EF6A5C" w:rsidRPr="00DA20BA" w:rsidRDefault="00EF6A5C" w:rsidP="00DA3124">
            <w:pPr>
              <w:rPr>
                <w:b/>
                <w:i/>
                <w:sz w:val="24"/>
                <w:szCs w:val="24"/>
              </w:rPr>
            </w:pPr>
            <w:r w:rsidRPr="00DA20BA">
              <w:rPr>
                <w:b/>
                <w:i/>
                <w:sz w:val="24"/>
                <w:szCs w:val="24"/>
              </w:rPr>
              <w:t>Export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5C" w:rsidRPr="00DA20BA" w:rsidRDefault="00EF6A5C" w:rsidP="00EF6A5C">
            <w:pPr>
              <w:jc w:val="center"/>
              <w:rPr>
                <w:sz w:val="24"/>
                <w:szCs w:val="24"/>
              </w:rPr>
            </w:pPr>
            <w:r w:rsidRPr="00DA20BA">
              <w:rPr>
                <w:sz w:val="24"/>
                <w:szCs w:val="24"/>
              </w:rPr>
              <w:t>310</w:t>
            </w:r>
            <w:r w:rsidR="00DA20BA" w:rsidRPr="00DA20BA">
              <w:rPr>
                <w:sz w:val="24"/>
                <w:szCs w:val="24"/>
              </w:rPr>
              <w:t>,</w:t>
            </w:r>
            <w:r w:rsidRPr="00DA20BA">
              <w:rPr>
                <w:sz w:val="24"/>
                <w:szCs w:val="24"/>
              </w:rPr>
              <w:t>69</w:t>
            </w:r>
          </w:p>
          <w:p w:rsidR="00EF6A5C" w:rsidRPr="00DA20BA" w:rsidRDefault="00EF6A5C" w:rsidP="00DA3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6A5C" w:rsidRPr="00DA20BA" w:rsidRDefault="00EF6A5C" w:rsidP="00EF6A5C">
            <w:pPr>
              <w:jc w:val="center"/>
              <w:rPr>
                <w:sz w:val="24"/>
                <w:szCs w:val="24"/>
              </w:rPr>
            </w:pPr>
            <w:r w:rsidRPr="00DA20BA">
              <w:rPr>
                <w:sz w:val="24"/>
                <w:szCs w:val="24"/>
              </w:rPr>
              <w:t>1</w:t>
            </w:r>
            <w:r w:rsidR="00DA20BA" w:rsidRPr="00DA20BA">
              <w:rPr>
                <w:sz w:val="24"/>
                <w:szCs w:val="24"/>
              </w:rPr>
              <w:t xml:space="preserve"> </w:t>
            </w:r>
            <w:r w:rsidRPr="00DA20BA">
              <w:rPr>
                <w:sz w:val="24"/>
                <w:szCs w:val="24"/>
              </w:rPr>
              <w:t>132</w:t>
            </w:r>
            <w:r w:rsidR="00DA20BA" w:rsidRPr="00DA20BA">
              <w:rPr>
                <w:sz w:val="24"/>
                <w:szCs w:val="24"/>
              </w:rPr>
              <w:t>,</w:t>
            </w:r>
            <w:r w:rsidRPr="00DA20BA">
              <w:rPr>
                <w:sz w:val="24"/>
                <w:szCs w:val="24"/>
              </w:rPr>
              <w:t>21</w:t>
            </w:r>
          </w:p>
          <w:p w:rsidR="00EF6A5C" w:rsidRPr="00DA20BA" w:rsidRDefault="00EF6A5C" w:rsidP="00DA3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A5C" w:rsidRPr="00DA20BA" w:rsidRDefault="00DA20BA" w:rsidP="00DA3124">
            <w:pPr>
              <w:jc w:val="center"/>
              <w:rPr>
                <w:sz w:val="24"/>
                <w:szCs w:val="24"/>
              </w:rPr>
            </w:pPr>
            <w:r w:rsidRPr="00DA20BA">
              <w:rPr>
                <w:sz w:val="24"/>
                <w:szCs w:val="24"/>
              </w:rPr>
              <w:t xml:space="preserve">+3,6 </w:t>
            </w:r>
            <w:proofErr w:type="spellStart"/>
            <w:r w:rsidRPr="00DA20BA">
              <w:rPr>
                <w:sz w:val="24"/>
                <w:szCs w:val="24"/>
              </w:rPr>
              <w:t>ori</w:t>
            </w:r>
            <w:proofErr w:type="spellEnd"/>
          </w:p>
        </w:tc>
      </w:tr>
      <w:tr w:rsidR="00DA20BA" w:rsidRPr="00DA20BA" w:rsidTr="00DA3124">
        <w:trPr>
          <w:trHeight w:hRule="exact" w:val="340"/>
          <w:jc w:val="center"/>
        </w:trPr>
        <w:tc>
          <w:tcPr>
            <w:tcW w:w="1275" w:type="dxa"/>
          </w:tcPr>
          <w:p w:rsidR="00EF6A5C" w:rsidRPr="00DA20BA" w:rsidRDefault="00EF6A5C" w:rsidP="00DA3124">
            <w:pPr>
              <w:rPr>
                <w:b/>
                <w:i/>
                <w:sz w:val="24"/>
                <w:szCs w:val="24"/>
              </w:rPr>
            </w:pPr>
            <w:r w:rsidRPr="00DA20BA">
              <w:rPr>
                <w:b/>
                <w:i/>
                <w:sz w:val="24"/>
                <w:szCs w:val="24"/>
              </w:rPr>
              <w:t xml:space="preserve">Import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A5C" w:rsidRPr="00DA20BA" w:rsidRDefault="00EF6A5C" w:rsidP="00EF6A5C">
            <w:pPr>
              <w:jc w:val="center"/>
              <w:rPr>
                <w:sz w:val="24"/>
                <w:szCs w:val="24"/>
              </w:rPr>
            </w:pPr>
            <w:r w:rsidRPr="00DA20BA">
              <w:rPr>
                <w:sz w:val="24"/>
                <w:szCs w:val="24"/>
              </w:rPr>
              <w:t>424</w:t>
            </w:r>
            <w:r w:rsidR="00DA20BA" w:rsidRPr="00DA20BA">
              <w:rPr>
                <w:sz w:val="24"/>
                <w:szCs w:val="24"/>
              </w:rPr>
              <w:t>,</w:t>
            </w:r>
            <w:r w:rsidRPr="00DA20BA">
              <w:rPr>
                <w:sz w:val="24"/>
                <w:szCs w:val="24"/>
              </w:rPr>
              <w:t>33</w:t>
            </w:r>
          </w:p>
          <w:p w:rsidR="00EF6A5C" w:rsidRPr="00DA20BA" w:rsidRDefault="00EF6A5C" w:rsidP="00DA3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6A5C" w:rsidRPr="00DA20BA" w:rsidRDefault="00EF6A5C" w:rsidP="00EF6A5C">
            <w:pPr>
              <w:jc w:val="center"/>
              <w:rPr>
                <w:sz w:val="24"/>
                <w:szCs w:val="24"/>
              </w:rPr>
            </w:pPr>
            <w:r w:rsidRPr="00DA20BA">
              <w:rPr>
                <w:sz w:val="24"/>
                <w:szCs w:val="24"/>
              </w:rPr>
              <w:t>546</w:t>
            </w:r>
            <w:r w:rsidR="00DA20BA" w:rsidRPr="00DA20BA">
              <w:rPr>
                <w:sz w:val="24"/>
                <w:szCs w:val="24"/>
              </w:rPr>
              <w:t>,</w:t>
            </w:r>
            <w:r w:rsidRPr="00DA20BA">
              <w:rPr>
                <w:sz w:val="24"/>
                <w:szCs w:val="24"/>
              </w:rPr>
              <w:t>75</w:t>
            </w:r>
          </w:p>
          <w:p w:rsidR="00EF6A5C" w:rsidRPr="00DA20BA" w:rsidRDefault="00EF6A5C" w:rsidP="00DA3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A5C" w:rsidRPr="00DA20BA" w:rsidRDefault="00DA20BA" w:rsidP="00DA3124">
            <w:pPr>
              <w:jc w:val="center"/>
              <w:rPr>
                <w:sz w:val="24"/>
                <w:szCs w:val="24"/>
              </w:rPr>
            </w:pPr>
            <w:r w:rsidRPr="00DA20BA">
              <w:rPr>
                <w:sz w:val="24"/>
                <w:szCs w:val="24"/>
              </w:rPr>
              <w:t>+28,85%</w:t>
            </w:r>
          </w:p>
        </w:tc>
      </w:tr>
      <w:tr w:rsidR="00DA20BA" w:rsidRPr="00DA20BA" w:rsidTr="00DA3124">
        <w:trPr>
          <w:trHeight w:hRule="exact" w:val="340"/>
          <w:jc w:val="center"/>
        </w:trPr>
        <w:tc>
          <w:tcPr>
            <w:tcW w:w="1275" w:type="dxa"/>
            <w:tcBorders>
              <w:bottom w:val="single" w:sz="6" w:space="0" w:color="auto"/>
            </w:tcBorders>
          </w:tcPr>
          <w:p w:rsidR="00EF6A5C" w:rsidRPr="00DA20BA" w:rsidRDefault="00EF6A5C" w:rsidP="00DA3124">
            <w:pPr>
              <w:rPr>
                <w:b/>
                <w:i/>
                <w:sz w:val="24"/>
                <w:szCs w:val="24"/>
              </w:rPr>
            </w:pPr>
            <w:r w:rsidRPr="00DA20BA">
              <w:rPr>
                <w:b/>
                <w:i/>
                <w:sz w:val="24"/>
                <w:szCs w:val="24"/>
              </w:rPr>
              <w:t xml:space="preserve">Sold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A5C" w:rsidRPr="00DA20BA" w:rsidRDefault="00EF6A5C" w:rsidP="00EF6A5C">
            <w:pPr>
              <w:jc w:val="center"/>
              <w:rPr>
                <w:sz w:val="24"/>
                <w:szCs w:val="24"/>
              </w:rPr>
            </w:pPr>
            <w:r w:rsidRPr="00DA20BA">
              <w:rPr>
                <w:sz w:val="24"/>
                <w:szCs w:val="24"/>
              </w:rPr>
              <w:t>-113</w:t>
            </w:r>
            <w:r w:rsidR="00DA20BA" w:rsidRPr="00DA20BA">
              <w:rPr>
                <w:sz w:val="24"/>
                <w:szCs w:val="24"/>
              </w:rPr>
              <w:t>,</w:t>
            </w:r>
            <w:r w:rsidRPr="00DA20BA">
              <w:rPr>
                <w:sz w:val="24"/>
                <w:szCs w:val="24"/>
              </w:rPr>
              <w:t>64</w:t>
            </w:r>
          </w:p>
          <w:p w:rsidR="00EF6A5C" w:rsidRPr="00DA20BA" w:rsidRDefault="00EF6A5C" w:rsidP="00DA3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EF6A5C" w:rsidRPr="00DA20BA" w:rsidRDefault="00EF6A5C" w:rsidP="00EF6A5C">
            <w:pPr>
              <w:jc w:val="center"/>
              <w:rPr>
                <w:sz w:val="24"/>
                <w:szCs w:val="24"/>
              </w:rPr>
            </w:pPr>
            <w:r w:rsidRPr="00DA20BA">
              <w:rPr>
                <w:sz w:val="24"/>
                <w:szCs w:val="24"/>
              </w:rPr>
              <w:t>585</w:t>
            </w:r>
            <w:r w:rsidR="00DA20BA" w:rsidRPr="00DA20BA">
              <w:rPr>
                <w:sz w:val="24"/>
                <w:szCs w:val="24"/>
              </w:rPr>
              <w:t>,</w:t>
            </w:r>
            <w:r w:rsidRPr="00DA20BA">
              <w:rPr>
                <w:sz w:val="24"/>
                <w:szCs w:val="24"/>
              </w:rPr>
              <w:t>46</w:t>
            </w:r>
          </w:p>
          <w:p w:rsidR="00EF6A5C" w:rsidRPr="00DA20BA" w:rsidRDefault="00EF6A5C" w:rsidP="00DA3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6A5C" w:rsidRPr="00DA20BA" w:rsidRDefault="00EF6A5C" w:rsidP="00DA31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F6A5C" w:rsidRPr="00EF6A5C" w:rsidRDefault="00EF6A5C" w:rsidP="00C6104C">
      <w:pPr>
        <w:spacing w:line="276" w:lineRule="auto"/>
        <w:rPr>
          <w:color w:val="FF0000"/>
          <w:sz w:val="24"/>
          <w:szCs w:val="24"/>
        </w:rPr>
      </w:pPr>
    </w:p>
    <w:p w:rsidR="00EF6A5C" w:rsidRPr="00C6104C" w:rsidRDefault="00EF6A5C" w:rsidP="00C6104C">
      <w:pPr>
        <w:spacing w:line="276" w:lineRule="auto"/>
        <w:rPr>
          <w:b/>
          <w:sz w:val="24"/>
          <w:szCs w:val="24"/>
          <w:u w:val="single"/>
        </w:rPr>
      </w:pPr>
      <w:proofErr w:type="spellStart"/>
      <w:r w:rsidRPr="00C6104C">
        <w:rPr>
          <w:b/>
          <w:sz w:val="24"/>
          <w:szCs w:val="24"/>
          <w:u w:val="single"/>
        </w:rPr>
        <w:t>Comerțul</w:t>
      </w:r>
      <w:proofErr w:type="spellEnd"/>
      <w:r w:rsidRPr="00C6104C">
        <w:rPr>
          <w:b/>
          <w:sz w:val="24"/>
          <w:szCs w:val="24"/>
          <w:u w:val="single"/>
        </w:rPr>
        <w:t xml:space="preserve"> bilateral </w:t>
      </w:r>
      <w:proofErr w:type="spellStart"/>
      <w:r w:rsidRPr="00C6104C">
        <w:rPr>
          <w:b/>
          <w:sz w:val="24"/>
          <w:szCs w:val="24"/>
          <w:u w:val="single"/>
        </w:rPr>
        <w:t>în</w:t>
      </w:r>
      <w:proofErr w:type="spellEnd"/>
      <w:r w:rsidRPr="00C6104C">
        <w:rPr>
          <w:b/>
          <w:sz w:val="24"/>
          <w:szCs w:val="24"/>
          <w:u w:val="single"/>
        </w:rPr>
        <w:t xml:space="preserve"> </w:t>
      </w:r>
      <w:proofErr w:type="spellStart"/>
      <w:r w:rsidRPr="00C6104C">
        <w:rPr>
          <w:b/>
          <w:sz w:val="24"/>
          <w:szCs w:val="24"/>
          <w:u w:val="single"/>
        </w:rPr>
        <w:t>anul</w:t>
      </w:r>
      <w:proofErr w:type="spellEnd"/>
      <w:r w:rsidRPr="00C6104C">
        <w:rPr>
          <w:b/>
          <w:sz w:val="24"/>
          <w:szCs w:val="24"/>
          <w:u w:val="single"/>
        </w:rPr>
        <w:t xml:space="preserve"> 2016</w:t>
      </w:r>
    </w:p>
    <w:p w:rsidR="00C6104C" w:rsidRPr="00C6104C" w:rsidRDefault="00C6104C" w:rsidP="00C6104C">
      <w:pPr>
        <w:spacing w:line="276" w:lineRule="auto"/>
        <w:rPr>
          <w:b/>
          <w:sz w:val="24"/>
          <w:szCs w:val="24"/>
          <w:u w:val="single"/>
        </w:rPr>
      </w:pPr>
    </w:p>
    <w:p w:rsidR="00EF6A5C" w:rsidRPr="00A2394D" w:rsidRDefault="00EF6A5C" w:rsidP="00C6104C">
      <w:pPr>
        <w:spacing w:line="276" w:lineRule="auto"/>
        <w:jc w:val="both"/>
        <w:rPr>
          <w:sz w:val="24"/>
          <w:szCs w:val="24"/>
        </w:rPr>
      </w:pPr>
      <w:proofErr w:type="spellStart"/>
      <w:r w:rsidRPr="00C6104C">
        <w:rPr>
          <w:b/>
          <w:sz w:val="24"/>
          <w:szCs w:val="24"/>
        </w:rPr>
        <w:t>Volumul</w:t>
      </w:r>
      <w:proofErr w:type="spellEnd"/>
      <w:r w:rsidRPr="00C6104C">
        <w:rPr>
          <w:b/>
          <w:sz w:val="24"/>
          <w:szCs w:val="24"/>
        </w:rPr>
        <w:t xml:space="preserve"> </w:t>
      </w:r>
      <w:proofErr w:type="spellStart"/>
      <w:r w:rsidRPr="00C6104C">
        <w:rPr>
          <w:b/>
          <w:sz w:val="24"/>
          <w:szCs w:val="24"/>
        </w:rPr>
        <w:t>comerţului</w:t>
      </w:r>
      <w:proofErr w:type="spellEnd"/>
      <w:r w:rsidRPr="00C6104C">
        <w:rPr>
          <w:b/>
          <w:sz w:val="24"/>
          <w:szCs w:val="24"/>
        </w:rPr>
        <w:t xml:space="preserve"> exterior</w:t>
      </w:r>
      <w:r w:rsidRPr="00C6104C">
        <w:rPr>
          <w:sz w:val="24"/>
          <w:szCs w:val="24"/>
        </w:rPr>
        <w:t xml:space="preserve"> al </w:t>
      </w:r>
      <w:proofErr w:type="spellStart"/>
      <w:r w:rsidRPr="00C6104C">
        <w:rPr>
          <w:sz w:val="24"/>
          <w:szCs w:val="24"/>
        </w:rPr>
        <w:t>Republicii</w:t>
      </w:r>
      <w:proofErr w:type="spellEnd"/>
      <w:r w:rsidRPr="00C6104C">
        <w:rPr>
          <w:sz w:val="24"/>
          <w:szCs w:val="24"/>
        </w:rPr>
        <w:t xml:space="preserve"> Moldova cu </w:t>
      </w:r>
      <w:r w:rsidR="00614A84" w:rsidRPr="00C6104C">
        <w:rPr>
          <w:sz w:val="24"/>
          <w:szCs w:val="24"/>
        </w:rPr>
        <w:t>EAU</w:t>
      </w:r>
      <w:r w:rsidRPr="00C6104C">
        <w:rPr>
          <w:sz w:val="24"/>
          <w:szCs w:val="24"/>
        </w:rPr>
        <w:t xml:space="preserve">, </w:t>
      </w:r>
      <w:proofErr w:type="spellStart"/>
      <w:r w:rsidRPr="00C6104C">
        <w:rPr>
          <w:sz w:val="24"/>
          <w:szCs w:val="24"/>
        </w:rPr>
        <w:t>în</w:t>
      </w:r>
      <w:proofErr w:type="spellEnd"/>
      <w:r w:rsidRPr="00C6104C">
        <w:rPr>
          <w:sz w:val="24"/>
          <w:szCs w:val="24"/>
        </w:rPr>
        <w:t xml:space="preserve"> </w:t>
      </w:r>
      <w:proofErr w:type="spellStart"/>
      <w:r w:rsidRPr="00C6104C">
        <w:rPr>
          <w:sz w:val="24"/>
          <w:szCs w:val="24"/>
        </w:rPr>
        <w:t>anul</w:t>
      </w:r>
      <w:proofErr w:type="spellEnd"/>
      <w:r w:rsidRPr="00C6104C">
        <w:rPr>
          <w:sz w:val="24"/>
          <w:szCs w:val="24"/>
        </w:rPr>
        <w:t xml:space="preserve"> 2016 </w:t>
      </w:r>
      <w:proofErr w:type="gramStart"/>
      <w:r w:rsidRPr="00C6104C">
        <w:rPr>
          <w:sz w:val="24"/>
          <w:szCs w:val="24"/>
        </w:rPr>
        <w:t>a</w:t>
      </w:r>
      <w:proofErr w:type="gramEnd"/>
      <w:r w:rsidRPr="00C6104C">
        <w:rPr>
          <w:sz w:val="24"/>
          <w:szCs w:val="24"/>
        </w:rPr>
        <w:t xml:space="preserve"> </w:t>
      </w:r>
      <w:proofErr w:type="spellStart"/>
      <w:r w:rsidRPr="00C6104C">
        <w:rPr>
          <w:sz w:val="24"/>
          <w:szCs w:val="24"/>
        </w:rPr>
        <w:t>înregistrat</w:t>
      </w:r>
      <w:proofErr w:type="spellEnd"/>
      <w:r w:rsidRPr="00C6104C">
        <w:rPr>
          <w:sz w:val="24"/>
          <w:szCs w:val="24"/>
        </w:rPr>
        <w:t xml:space="preserve"> </w:t>
      </w:r>
      <w:proofErr w:type="spellStart"/>
      <w:r w:rsidRPr="00C6104C">
        <w:rPr>
          <w:sz w:val="24"/>
          <w:szCs w:val="24"/>
        </w:rPr>
        <w:t>suma</w:t>
      </w:r>
      <w:proofErr w:type="spellEnd"/>
      <w:r w:rsidRPr="00C6104C">
        <w:rPr>
          <w:sz w:val="24"/>
          <w:szCs w:val="24"/>
        </w:rPr>
        <w:t xml:space="preserve"> de </w:t>
      </w:r>
      <w:r w:rsidR="00614A84" w:rsidRPr="00C6104C">
        <w:rPr>
          <w:b/>
          <w:sz w:val="24"/>
          <w:szCs w:val="24"/>
        </w:rPr>
        <w:t>1,862 mln</w:t>
      </w:r>
      <w:r w:rsidRPr="00C6104C">
        <w:rPr>
          <w:b/>
          <w:sz w:val="24"/>
          <w:szCs w:val="24"/>
        </w:rPr>
        <w:t xml:space="preserve">. </w:t>
      </w:r>
      <w:r w:rsidRPr="00A2394D">
        <w:rPr>
          <w:b/>
          <w:sz w:val="24"/>
          <w:szCs w:val="24"/>
        </w:rPr>
        <w:t>USD</w:t>
      </w:r>
      <w:r w:rsidR="00DF725E" w:rsidRPr="00A2394D">
        <w:rPr>
          <w:sz w:val="24"/>
          <w:szCs w:val="24"/>
        </w:rPr>
        <w:t xml:space="preserve"> (+</w:t>
      </w:r>
      <w:r w:rsidR="00656AFC" w:rsidRPr="00A2394D">
        <w:rPr>
          <w:sz w:val="24"/>
          <w:szCs w:val="24"/>
        </w:rPr>
        <w:t>12</w:t>
      </w:r>
      <w:proofErr w:type="gramStart"/>
      <w:r w:rsidR="00656AFC" w:rsidRPr="00A2394D">
        <w:rPr>
          <w:sz w:val="24"/>
          <w:szCs w:val="24"/>
        </w:rPr>
        <w:t>,74</w:t>
      </w:r>
      <w:proofErr w:type="gramEnd"/>
      <w:r w:rsidRPr="00A2394D">
        <w:rPr>
          <w:sz w:val="24"/>
          <w:szCs w:val="24"/>
        </w:rPr>
        <w:t xml:space="preserve">% </w:t>
      </w:r>
      <w:proofErr w:type="spellStart"/>
      <w:r w:rsidRPr="00A2394D">
        <w:rPr>
          <w:sz w:val="24"/>
          <w:szCs w:val="24"/>
        </w:rPr>
        <w:t>în</w:t>
      </w:r>
      <w:proofErr w:type="spellEnd"/>
      <w:r w:rsidRPr="00A2394D">
        <w:rPr>
          <w:sz w:val="24"/>
          <w:szCs w:val="24"/>
        </w:rPr>
        <w:t xml:space="preserve"> </w:t>
      </w:r>
      <w:proofErr w:type="spellStart"/>
      <w:r w:rsidRPr="00A2394D">
        <w:rPr>
          <w:sz w:val="24"/>
          <w:szCs w:val="24"/>
        </w:rPr>
        <w:t>comparaţie</w:t>
      </w:r>
      <w:proofErr w:type="spellEnd"/>
      <w:r w:rsidRPr="00A2394D">
        <w:rPr>
          <w:sz w:val="24"/>
          <w:szCs w:val="24"/>
        </w:rPr>
        <w:t xml:space="preserve"> cu </w:t>
      </w:r>
      <w:proofErr w:type="spellStart"/>
      <w:r w:rsidRPr="00A2394D">
        <w:rPr>
          <w:sz w:val="24"/>
          <w:szCs w:val="24"/>
        </w:rPr>
        <w:t>anul</w:t>
      </w:r>
      <w:proofErr w:type="spellEnd"/>
      <w:r w:rsidRPr="00A2394D">
        <w:rPr>
          <w:sz w:val="24"/>
          <w:szCs w:val="24"/>
        </w:rPr>
        <w:t xml:space="preserve"> 2015). </w:t>
      </w:r>
    </w:p>
    <w:p w:rsidR="00EF6A5C" w:rsidRPr="00A2394D" w:rsidRDefault="00EF6A5C" w:rsidP="00C6104C">
      <w:pPr>
        <w:spacing w:line="276" w:lineRule="auto"/>
        <w:jc w:val="both"/>
        <w:rPr>
          <w:sz w:val="24"/>
          <w:szCs w:val="24"/>
        </w:rPr>
      </w:pPr>
      <w:proofErr w:type="spellStart"/>
      <w:r w:rsidRPr="00A2394D">
        <w:rPr>
          <w:b/>
          <w:sz w:val="24"/>
          <w:szCs w:val="24"/>
        </w:rPr>
        <w:t>Exportul</w:t>
      </w:r>
      <w:proofErr w:type="spellEnd"/>
      <w:r w:rsidRPr="00A2394D">
        <w:rPr>
          <w:sz w:val="24"/>
          <w:szCs w:val="24"/>
        </w:rPr>
        <w:t xml:space="preserve"> – </w:t>
      </w:r>
      <w:r w:rsidR="00656AFC" w:rsidRPr="00A2394D">
        <w:rPr>
          <w:b/>
          <w:sz w:val="24"/>
          <w:szCs w:val="24"/>
        </w:rPr>
        <w:t>788.22 mii</w:t>
      </w:r>
      <w:r w:rsidRPr="00A2394D">
        <w:rPr>
          <w:b/>
          <w:sz w:val="24"/>
          <w:szCs w:val="24"/>
        </w:rPr>
        <w:t xml:space="preserve"> USD (+</w:t>
      </w:r>
      <w:r w:rsidR="00656AFC" w:rsidRPr="00A2394D">
        <w:rPr>
          <w:sz w:val="24"/>
          <w:szCs w:val="24"/>
        </w:rPr>
        <w:t>3</w:t>
      </w:r>
      <w:proofErr w:type="gramStart"/>
      <w:r w:rsidR="00656AFC" w:rsidRPr="00A2394D">
        <w:rPr>
          <w:sz w:val="24"/>
          <w:szCs w:val="24"/>
        </w:rPr>
        <w:t>,23</w:t>
      </w:r>
      <w:proofErr w:type="gramEnd"/>
      <w:r w:rsidRPr="00A2394D">
        <w:rPr>
          <w:sz w:val="24"/>
          <w:szCs w:val="24"/>
        </w:rPr>
        <w:t xml:space="preserve">% </w:t>
      </w:r>
      <w:proofErr w:type="spellStart"/>
      <w:r w:rsidRPr="00A2394D">
        <w:rPr>
          <w:sz w:val="24"/>
          <w:szCs w:val="24"/>
        </w:rPr>
        <w:t>în</w:t>
      </w:r>
      <w:proofErr w:type="spellEnd"/>
      <w:r w:rsidRPr="00A2394D">
        <w:rPr>
          <w:sz w:val="24"/>
          <w:szCs w:val="24"/>
        </w:rPr>
        <w:t xml:space="preserve"> </w:t>
      </w:r>
      <w:proofErr w:type="spellStart"/>
      <w:r w:rsidRPr="00A2394D">
        <w:rPr>
          <w:sz w:val="24"/>
          <w:szCs w:val="24"/>
        </w:rPr>
        <w:t>comparație</w:t>
      </w:r>
      <w:proofErr w:type="spellEnd"/>
      <w:r w:rsidRPr="00A2394D">
        <w:rPr>
          <w:sz w:val="24"/>
          <w:szCs w:val="24"/>
        </w:rPr>
        <w:t xml:space="preserve"> cu </w:t>
      </w:r>
      <w:proofErr w:type="spellStart"/>
      <w:r w:rsidRPr="00A2394D">
        <w:rPr>
          <w:sz w:val="24"/>
          <w:szCs w:val="24"/>
        </w:rPr>
        <w:t>anul</w:t>
      </w:r>
      <w:proofErr w:type="spellEnd"/>
      <w:r w:rsidRPr="00A2394D">
        <w:rPr>
          <w:sz w:val="24"/>
          <w:szCs w:val="24"/>
        </w:rPr>
        <w:t xml:space="preserve"> 2015). </w:t>
      </w:r>
      <w:proofErr w:type="spellStart"/>
      <w:r w:rsidRPr="00A2394D">
        <w:rPr>
          <w:b/>
          <w:sz w:val="24"/>
          <w:szCs w:val="24"/>
        </w:rPr>
        <w:t>Principale</w:t>
      </w:r>
      <w:proofErr w:type="spellEnd"/>
      <w:r w:rsidRPr="00A2394D">
        <w:rPr>
          <w:b/>
          <w:sz w:val="24"/>
          <w:szCs w:val="24"/>
        </w:rPr>
        <w:t xml:space="preserve"> </w:t>
      </w:r>
      <w:proofErr w:type="spellStart"/>
      <w:r w:rsidRPr="00A2394D">
        <w:rPr>
          <w:b/>
          <w:sz w:val="24"/>
          <w:szCs w:val="24"/>
        </w:rPr>
        <w:t>mărfuri</w:t>
      </w:r>
      <w:proofErr w:type="spellEnd"/>
      <w:r w:rsidRPr="00A2394D">
        <w:rPr>
          <w:b/>
          <w:sz w:val="24"/>
          <w:szCs w:val="24"/>
        </w:rPr>
        <w:t xml:space="preserve"> </w:t>
      </w:r>
      <w:proofErr w:type="spellStart"/>
      <w:r w:rsidRPr="00A2394D">
        <w:rPr>
          <w:b/>
          <w:sz w:val="24"/>
          <w:szCs w:val="24"/>
        </w:rPr>
        <w:t>exportate</w:t>
      </w:r>
      <w:proofErr w:type="spellEnd"/>
      <w:r w:rsidRPr="00A2394D">
        <w:rPr>
          <w:b/>
          <w:sz w:val="24"/>
          <w:szCs w:val="24"/>
        </w:rPr>
        <w:t>:</w:t>
      </w:r>
      <w:r w:rsidR="00C6104C" w:rsidRPr="00A2394D">
        <w:rPr>
          <w:b/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medicamente</w:t>
      </w:r>
      <w:proofErr w:type="spellEnd"/>
      <w:r w:rsidR="00C6104C" w:rsidRPr="00A2394D">
        <w:rPr>
          <w:sz w:val="24"/>
          <w:szCs w:val="24"/>
        </w:rPr>
        <w:t xml:space="preserve">; </w:t>
      </w:r>
      <w:proofErr w:type="spellStart"/>
      <w:r w:rsidR="00C6104C" w:rsidRPr="00A2394D">
        <w:rPr>
          <w:sz w:val="24"/>
          <w:szCs w:val="24"/>
        </w:rPr>
        <w:t>masini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si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aparate</w:t>
      </w:r>
      <w:proofErr w:type="spellEnd"/>
      <w:r w:rsidR="00C6104C" w:rsidRPr="00A2394D">
        <w:rPr>
          <w:sz w:val="24"/>
          <w:szCs w:val="24"/>
        </w:rPr>
        <w:t xml:space="preserve"> (</w:t>
      </w:r>
      <w:proofErr w:type="spellStart"/>
      <w:r w:rsidR="00C6104C" w:rsidRPr="00A2394D">
        <w:rPr>
          <w:sz w:val="24"/>
          <w:szCs w:val="24"/>
        </w:rPr>
        <w:t>altele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decit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cele</w:t>
      </w:r>
      <w:proofErr w:type="spellEnd"/>
      <w:r w:rsidR="00C6104C" w:rsidRPr="00A2394D">
        <w:rPr>
          <w:sz w:val="24"/>
          <w:szCs w:val="24"/>
        </w:rPr>
        <w:t xml:space="preserve"> de la </w:t>
      </w:r>
      <w:proofErr w:type="spellStart"/>
      <w:r w:rsidR="00C6104C" w:rsidRPr="00A2394D">
        <w:rPr>
          <w:sz w:val="24"/>
          <w:szCs w:val="24"/>
        </w:rPr>
        <w:t>pozitia</w:t>
      </w:r>
      <w:proofErr w:type="spellEnd"/>
      <w:r w:rsidR="00C6104C" w:rsidRPr="00A2394D">
        <w:rPr>
          <w:sz w:val="24"/>
          <w:szCs w:val="24"/>
        </w:rPr>
        <w:t xml:space="preserve"> 8450) </w:t>
      </w:r>
      <w:proofErr w:type="spellStart"/>
      <w:r w:rsidR="00C6104C" w:rsidRPr="00A2394D">
        <w:rPr>
          <w:sz w:val="24"/>
          <w:szCs w:val="24"/>
        </w:rPr>
        <w:t>pentru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spalarea</w:t>
      </w:r>
      <w:proofErr w:type="spellEnd"/>
      <w:r w:rsidR="00C6104C" w:rsidRPr="00A2394D">
        <w:rPr>
          <w:sz w:val="24"/>
          <w:szCs w:val="24"/>
        </w:rPr>
        <w:t xml:space="preserve">, </w:t>
      </w:r>
      <w:proofErr w:type="spellStart"/>
      <w:r w:rsidR="00C6104C" w:rsidRPr="00A2394D">
        <w:rPr>
          <w:sz w:val="24"/>
          <w:szCs w:val="24"/>
        </w:rPr>
        <w:t>curatirea</w:t>
      </w:r>
      <w:proofErr w:type="spellEnd"/>
      <w:r w:rsidR="00C6104C" w:rsidRPr="00A2394D">
        <w:rPr>
          <w:sz w:val="24"/>
          <w:szCs w:val="24"/>
        </w:rPr>
        <w:t xml:space="preserve">, </w:t>
      </w:r>
      <w:proofErr w:type="spellStart"/>
      <w:r w:rsidR="00C6104C" w:rsidRPr="00A2394D">
        <w:rPr>
          <w:sz w:val="24"/>
          <w:szCs w:val="24"/>
        </w:rPr>
        <w:t>stoarcerea</w:t>
      </w:r>
      <w:proofErr w:type="spellEnd"/>
      <w:r w:rsidR="00C6104C" w:rsidRPr="00A2394D">
        <w:rPr>
          <w:sz w:val="24"/>
          <w:szCs w:val="24"/>
        </w:rPr>
        <w:t xml:space="preserve">, </w:t>
      </w:r>
      <w:proofErr w:type="spellStart"/>
      <w:r w:rsidR="00C6104C" w:rsidRPr="00A2394D">
        <w:rPr>
          <w:sz w:val="24"/>
          <w:szCs w:val="24"/>
        </w:rPr>
        <w:t>uscarea</w:t>
      </w:r>
      <w:proofErr w:type="spellEnd"/>
      <w:r w:rsidR="00C6104C" w:rsidRPr="00A2394D">
        <w:rPr>
          <w:sz w:val="24"/>
          <w:szCs w:val="24"/>
        </w:rPr>
        <w:t xml:space="preserve">, </w:t>
      </w:r>
      <w:proofErr w:type="spellStart"/>
      <w:r w:rsidR="00C6104C" w:rsidRPr="00A2394D">
        <w:rPr>
          <w:sz w:val="24"/>
          <w:szCs w:val="24"/>
        </w:rPr>
        <w:t>calcarea</w:t>
      </w:r>
      <w:proofErr w:type="spellEnd"/>
      <w:r w:rsidR="00C6104C" w:rsidRPr="00A2394D">
        <w:rPr>
          <w:sz w:val="24"/>
          <w:szCs w:val="24"/>
        </w:rPr>
        <w:t xml:space="preserve">, </w:t>
      </w:r>
      <w:proofErr w:type="spellStart"/>
      <w:r w:rsidR="00C6104C" w:rsidRPr="00A2394D">
        <w:rPr>
          <w:sz w:val="24"/>
          <w:szCs w:val="24"/>
        </w:rPr>
        <w:t>presarea</w:t>
      </w:r>
      <w:proofErr w:type="spellEnd"/>
      <w:r w:rsidR="00C6104C" w:rsidRPr="00A2394D">
        <w:rPr>
          <w:sz w:val="24"/>
          <w:szCs w:val="24"/>
        </w:rPr>
        <w:t xml:space="preserve"> (</w:t>
      </w:r>
      <w:proofErr w:type="spellStart"/>
      <w:r w:rsidR="00C6104C" w:rsidRPr="00A2394D">
        <w:rPr>
          <w:sz w:val="24"/>
          <w:szCs w:val="24"/>
        </w:rPr>
        <w:t>inclusiv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presele</w:t>
      </w:r>
      <w:proofErr w:type="spellEnd"/>
      <w:r w:rsidR="00C6104C" w:rsidRPr="00A2394D">
        <w:rPr>
          <w:sz w:val="24"/>
          <w:szCs w:val="24"/>
        </w:rPr>
        <w:t xml:space="preserve"> de </w:t>
      </w:r>
      <w:proofErr w:type="spellStart"/>
      <w:r w:rsidR="00C6104C" w:rsidRPr="00A2394D">
        <w:rPr>
          <w:sz w:val="24"/>
          <w:szCs w:val="24"/>
        </w:rPr>
        <w:t>fixare</w:t>
      </w:r>
      <w:proofErr w:type="spellEnd"/>
      <w:r w:rsidR="00C6104C" w:rsidRPr="00A2394D">
        <w:rPr>
          <w:sz w:val="24"/>
          <w:szCs w:val="24"/>
        </w:rPr>
        <w:t xml:space="preserve">), </w:t>
      </w:r>
      <w:proofErr w:type="spellStart"/>
      <w:r w:rsidR="00C6104C" w:rsidRPr="00A2394D">
        <w:rPr>
          <w:sz w:val="24"/>
          <w:szCs w:val="24"/>
        </w:rPr>
        <w:t>albirea</w:t>
      </w:r>
      <w:proofErr w:type="spellEnd"/>
      <w:r w:rsidR="00C6104C" w:rsidRPr="00A2394D">
        <w:rPr>
          <w:sz w:val="24"/>
          <w:szCs w:val="24"/>
        </w:rPr>
        <w:t xml:space="preserve">, </w:t>
      </w:r>
      <w:proofErr w:type="spellStart"/>
      <w:r w:rsidR="00C6104C" w:rsidRPr="00A2394D">
        <w:rPr>
          <w:sz w:val="24"/>
          <w:szCs w:val="24"/>
        </w:rPr>
        <w:t>vopsirea</w:t>
      </w:r>
      <w:proofErr w:type="spellEnd"/>
      <w:r w:rsidR="00C6104C" w:rsidRPr="00A2394D">
        <w:rPr>
          <w:sz w:val="24"/>
          <w:szCs w:val="24"/>
        </w:rPr>
        <w:t xml:space="preserve">, </w:t>
      </w:r>
      <w:proofErr w:type="spellStart"/>
      <w:r w:rsidR="00C6104C" w:rsidRPr="00A2394D">
        <w:rPr>
          <w:sz w:val="24"/>
          <w:szCs w:val="24"/>
        </w:rPr>
        <w:t>apretarea</w:t>
      </w:r>
      <w:proofErr w:type="spellEnd"/>
      <w:r w:rsidR="00C6104C" w:rsidRPr="00A2394D">
        <w:rPr>
          <w:sz w:val="24"/>
          <w:szCs w:val="24"/>
        </w:rPr>
        <w:t xml:space="preserve">, </w:t>
      </w:r>
      <w:proofErr w:type="spellStart"/>
      <w:r w:rsidR="00C6104C" w:rsidRPr="00A2394D">
        <w:rPr>
          <w:sz w:val="24"/>
          <w:szCs w:val="24"/>
        </w:rPr>
        <w:t>finisarea</w:t>
      </w:r>
      <w:proofErr w:type="spellEnd"/>
      <w:r w:rsidR="00C6104C" w:rsidRPr="00A2394D">
        <w:rPr>
          <w:sz w:val="24"/>
          <w:szCs w:val="24"/>
        </w:rPr>
        <w:t xml:space="preserve">, </w:t>
      </w:r>
      <w:proofErr w:type="spellStart"/>
      <w:r w:rsidR="00C6104C" w:rsidRPr="00A2394D">
        <w:rPr>
          <w:sz w:val="24"/>
          <w:szCs w:val="24"/>
        </w:rPr>
        <w:t>acoperirea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sau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impregnarea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firelor</w:t>
      </w:r>
      <w:proofErr w:type="spellEnd"/>
      <w:r w:rsidR="00C6104C" w:rsidRPr="00A2394D">
        <w:rPr>
          <w:sz w:val="24"/>
          <w:szCs w:val="24"/>
        </w:rPr>
        <w:t xml:space="preserve">, </w:t>
      </w:r>
      <w:proofErr w:type="spellStart"/>
      <w:r w:rsidR="00C6104C" w:rsidRPr="00A2394D">
        <w:rPr>
          <w:sz w:val="24"/>
          <w:szCs w:val="24"/>
        </w:rPr>
        <w:t>tesaturilor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sau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articolelor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confectionate</w:t>
      </w:r>
      <w:proofErr w:type="spellEnd"/>
      <w:r w:rsidR="00C6104C" w:rsidRPr="00A2394D">
        <w:rPr>
          <w:sz w:val="24"/>
          <w:szCs w:val="24"/>
        </w:rPr>
        <w:t xml:space="preserve"> din </w:t>
      </w:r>
      <w:proofErr w:type="spellStart"/>
      <w:r w:rsidR="00C6104C" w:rsidRPr="00A2394D">
        <w:rPr>
          <w:sz w:val="24"/>
          <w:szCs w:val="24"/>
        </w:rPr>
        <w:t>materiale</w:t>
      </w:r>
      <w:proofErr w:type="spellEnd"/>
      <w:r w:rsidR="00C6104C" w:rsidRPr="00A2394D">
        <w:rPr>
          <w:sz w:val="24"/>
          <w:szCs w:val="24"/>
        </w:rPr>
        <w:t xml:space="preserve"> textile </w:t>
      </w:r>
      <w:proofErr w:type="spellStart"/>
      <w:r w:rsidR="00C6104C" w:rsidRPr="00A2394D">
        <w:rPr>
          <w:sz w:val="24"/>
          <w:szCs w:val="24"/>
        </w:rPr>
        <w:t>si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masini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pentru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acoperirea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tesaturilor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sau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altor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suporturi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utilizate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pentru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fabricarea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articolelor</w:t>
      </w:r>
      <w:proofErr w:type="spellEnd"/>
      <w:r w:rsidR="00C6104C" w:rsidRPr="00A2394D">
        <w:rPr>
          <w:sz w:val="24"/>
          <w:szCs w:val="24"/>
        </w:rPr>
        <w:t xml:space="preserve"> de </w:t>
      </w:r>
      <w:proofErr w:type="spellStart"/>
      <w:r w:rsidR="00C6104C" w:rsidRPr="00A2394D">
        <w:rPr>
          <w:sz w:val="24"/>
          <w:szCs w:val="24"/>
        </w:rPr>
        <w:t>acoperit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podele</w:t>
      </w:r>
      <w:proofErr w:type="spellEnd"/>
      <w:r w:rsidR="00C6104C" w:rsidRPr="00A2394D">
        <w:rPr>
          <w:sz w:val="24"/>
          <w:szCs w:val="24"/>
        </w:rPr>
        <w:t xml:space="preserve"> cum </w:t>
      </w:r>
      <w:proofErr w:type="spellStart"/>
      <w:r w:rsidR="00C6104C" w:rsidRPr="00A2394D">
        <w:rPr>
          <w:sz w:val="24"/>
          <w:szCs w:val="24"/>
        </w:rPr>
        <w:t>este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linoleumul</w:t>
      </w:r>
      <w:proofErr w:type="spellEnd"/>
      <w:r w:rsidR="00C6104C" w:rsidRPr="00A2394D">
        <w:rPr>
          <w:sz w:val="24"/>
          <w:szCs w:val="24"/>
        </w:rPr>
        <w:t xml:space="preserve">; </w:t>
      </w:r>
      <w:proofErr w:type="spellStart"/>
      <w:r w:rsidR="00C6104C" w:rsidRPr="00A2394D">
        <w:rPr>
          <w:sz w:val="24"/>
          <w:szCs w:val="24"/>
        </w:rPr>
        <w:t>masini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pentru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rularea</w:t>
      </w:r>
      <w:proofErr w:type="spellEnd"/>
      <w:r w:rsidR="00C6104C" w:rsidRPr="00A2394D">
        <w:rPr>
          <w:sz w:val="24"/>
          <w:szCs w:val="24"/>
        </w:rPr>
        <w:t xml:space="preserve">, </w:t>
      </w:r>
      <w:proofErr w:type="spellStart"/>
      <w:r w:rsidR="00C6104C" w:rsidRPr="00A2394D">
        <w:rPr>
          <w:sz w:val="24"/>
          <w:szCs w:val="24"/>
        </w:rPr>
        <w:t>derularea</w:t>
      </w:r>
      <w:proofErr w:type="spellEnd"/>
      <w:r w:rsidR="00C6104C" w:rsidRPr="00A2394D">
        <w:rPr>
          <w:sz w:val="24"/>
          <w:szCs w:val="24"/>
        </w:rPr>
        <w:t xml:space="preserve">, </w:t>
      </w:r>
      <w:proofErr w:type="spellStart"/>
      <w:r w:rsidR="00C6104C" w:rsidRPr="00A2394D">
        <w:rPr>
          <w:sz w:val="24"/>
          <w:szCs w:val="24"/>
        </w:rPr>
        <w:t>plierea</w:t>
      </w:r>
      <w:proofErr w:type="spellEnd"/>
      <w:r w:rsidR="00C6104C" w:rsidRPr="00A2394D">
        <w:rPr>
          <w:sz w:val="24"/>
          <w:szCs w:val="24"/>
        </w:rPr>
        <w:t xml:space="preserve">, </w:t>
      </w:r>
      <w:proofErr w:type="spellStart"/>
      <w:r w:rsidR="00C6104C" w:rsidRPr="00A2394D">
        <w:rPr>
          <w:sz w:val="24"/>
          <w:szCs w:val="24"/>
        </w:rPr>
        <w:t>taierea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sau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dantelarea</w:t>
      </w:r>
      <w:proofErr w:type="spellEnd"/>
      <w:r w:rsidR="00C6104C" w:rsidRPr="00A2394D">
        <w:rPr>
          <w:sz w:val="24"/>
          <w:szCs w:val="24"/>
        </w:rPr>
        <w:t xml:space="preserve"> </w:t>
      </w:r>
      <w:proofErr w:type="spellStart"/>
      <w:r w:rsidR="00C6104C" w:rsidRPr="00A2394D">
        <w:rPr>
          <w:sz w:val="24"/>
          <w:szCs w:val="24"/>
        </w:rPr>
        <w:t>tesaturilor</w:t>
      </w:r>
      <w:proofErr w:type="spellEnd"/>
      <w:r w:rsidR="00C6104C" w:rsidRPr="00A2394D">
        <w:rPr>
          <w:sz w:val="24"/>
          <w:szCs w:val="24"/>
        </w:rPr>
        <w:t xml:space="preserve">; </w:t>
      </w:r>
      <w:r w:rsidR="00C6104C" w:rsidRPr="00C6104C">
        <w:rPr>
          <w:b/>
          <w:bCs/>
          <w:lang w:val="ro-RO"/>
        </w:rPr>
        <w:t xml:space="preserve">articole de transport sau de ambalare din materiale plastice; pompe de aer sau de vid; articole din ipsos sau din </w:t>
      </w:r>
      <w:proofErr w:type="spellStart"/>
      <w:r w:rsidR="00C6104C" w:rsidRPr="00C6104C">
        <w:rPr>
          <w:b/>
          <w:bCs/>
          <w:lang w:val="ro-RO"/>
        </w:rPr>
        <w:t>compozitii</w:t>
      </w:r>
      <w:proofErr w:type="spellEnd"/>
      <w:r w:rsidR="00C6104C" w:rsidRPr="00C6104C">
        <w:rPr>
          <w:b/>
          <w:bCs/>
          <w:lang w:val="ro-RO"/>
        </w:rPr>
        <w:t xml:space="preserve"> pe baza de ipsos; construcții și părți de construcții; semințe de floarea-soarelui, chiar </w:t>
      </w:r>
      <w:proofErr w:type="spellStart"/>
      <w:r w:rsidR="00C6104C" w:rsidRPr="00C6104C">
        <w:rPr>
          <w:b/>
          <w:bCs/>
          <w:lang w:val="ro-RO"/>
        </w:rPr>
        <w:t>sfarimate</w:t>
      </w:r>
      <w:proofErr w:type="spellEnd"/>
      <w:r w:rsidR="00C6104C" w:rsidRPr="00C6104C">
        <w:rPr>
          <w:b/>
          <w:bCs/>
          <w:lang w:val="ro-RO"/>
        </w:rPr>
        <w:t xml:space="preserve"> </w:t>
      </w:r>
      <w:r w:rsidRPr="00A2394D">
        <w:rPr>
          <w:sz w:val="24"/>
          <w:szCs w:val="24"/>
        </w:rPr>
        <w:t xml:space="preserve"> etc.</w:t>
      </w:r>
    </w:p>
    <w:p w:rsidR="00EF6A5C" w:rsidRPr="00C6104C" w:rsidRDefault="00EF6A5C" w:rsidP="00C6104C">
      <w:pPr>
        <w:spacing w:line="276" w:lineRule="auto"/>
        <w:jc w:val="both"/>
        <w:rPr>
          <w:sz w:val="24"/>
          <w:szCs w:val="24"/>
          <w:lang w:val="fr-FR"/>
        </w:rPr>
      </w:pPr>
      <w:proofErr w:type="spellStart"/>
      <w:r w:rsidRPr="00C6104C">
        <w:rPr>
          <w:b/>
          <w:sz w:val="24"/>
          <w:szCs w:val="24"/>
          <w:lang w:val="fr-FR"/>
        </w:rPr>
        <w:t>Importul</w:t>
      </w:r>
      <w:proofErr w:type="spellEnd"/>
      <w:r w:rsidRPr="00C6104C">
        <w:rPr>
          <w:sz w:val="24"/>
          <w:szCs w:val="24"/>
          <w:lang w:val="fr-FR"/>
        </w:rPr>
        <w:t xml:space="preserve"> – </w:t>
      </w:r>
      <w:r w:rsidR="00656AFC" w:rsidRPr="00C6104C">
        <w:rPr>
          <w:b/>
          <w:sz w:val="24"/>
          <w:szCs w:val="24"/>
          <w:lang w:val="fr-FR"/>
        </w:rPr>
        <w:t>1074,57 mii USD (+20,91</w:t>
      </w:r>
      <w:r w:rsidRPr="00C6104C">
        <w:rPr>
          <w:sz w:val="24"/>
          <w:szCs w:val="24"/>
          <w:lang w:val="fr-FR"/>
        </w:rPr>
        <w:t xml:space="preserve">% </w:t>
      </w:r>
      <w:proofErr w:type="spellStart"/>
      <w:r w:rsidRPr="00C6104C">
        <w:rPr>
          <w:sz w:val="24"/>
          <w:szCs w:val="24"/>
          <w:lang w:val="fr-FR"/>
        </w:rPr>
        <w:t>în</w:t>
      </w:r>
      <w:proofErr w:type="spellEnd"/>
      <w:r w:rsidRPr="00C6104C">
        <w:rPr>
          <w:sz w:val="24"/>
          <w:szCs w:val="24"/>
          <w:lang w:val="fr-FR"/>
        </w:rPr>
        <w:t xml:space="preserve"> </w:t>
      </w:r>
      <w:proofErr w:type="spellStart"/>
      <w:r w:rsidRPr="00C6104C">
        <w:rPr>
          <w:sz w:val="24"/>
          <w:szCs w:val="24"/>
          <w:lang w:val="fr-FR"/>
        </w:rPr>
        <w:t>comparație</w:t>
      </w:r>
      <w:proofErr w:type="spellEnd"/>
      <w:r w:rsidRPr="00C6104C">
        <w:rPr>
          <w:sz w:val="24"/>
          <w:szCs w:val="24"/>
          <w:lang w:val="fr-FR"/>
        </w:rPr>
        <w:t xml:space="preserve"> </w:t>
      </w:r>
      <w:proofErr w:type="spellStart"/>
      <w:r w:rsidRPr="00C6104C">
        <w:rPr>
          <w:sz w:val="24"/>
          <w:szCs w:val="24"/>
          <w:lang w:val="fr-FR"/>
        </w:rPr>
        <w:t>cu</w:t>
      </w:r>
      <w:proofErr w:type="spellEnd"/>
      <w:r w:rsidRPr="00C6104C">
        <w:rPr>
          <w:sz w:val="24"/>
          <w:szCs w:val="24"/>
          <w:lang w:val="fr-FR"/>
        </w:rPr>
        <w:t xml:space="preserve"> </w:t>
      </w:r>
      <w:proofErr w:type="spellStart"/>
      <w:r w:rsidRPr="00C6104C">
        <w:rPr>
          <w:sz w:val="24"/>
          <w:szCs w:val="24"/>
          <w:lang w:val="fr-FR"/>
        </w:rPr>
        <w:t>anul</w:t>
      </w:r>
      <w:proofErr w:type="spellEnd"/>
      <w:r w:rsidRPr="00C6104C">
        <w:rPr>
          <w:sz w:val="24"/>
          <w:szCs w:val="24"/>
          <w:lang w:val="fr-FR"/>
        </w:rPr>
        <w:t xml:space="preserve"> 2015). </w:t>
      </w:r>
      <w:r w:rsidRPr="00C6104C">
        <w:rPr>
          <w:b/>
          <w:sz w:val="24"/>
          <w:szCs w:val="24"/>
          <w:lang w:val="fr-FR"/>
        </w:rPr>
        <w:t xml:space="preserve">Principale </w:t>
      </w:r>
      <w:proofErr w:type="spellStart"/>
      <w:r w:rsidRPr="00C6104C">
        <w:rPr>
          <w:b/>
          <w:sz w:val="24"/>
          <w:szCs w:val="24"/>
          <w:lang w:val="fr-FR"/>
        </w:rPr>
        <w:t>mărfuri</w:t>
      </w:r>
      <w:proofErr w:type="spellEnd"/>
      <w:r w:rsidRPr="00C6104C">
        <w:rPr>
          <w:b/>
          <w:sz w:val="24"/>
          <w:szCs w:val="24"/>
          <w:lang w:val="fr-FR"/>
        </w:rPr>
        <w:t xml:space="preserve"> </w:t>
      </w:r>
      <w:proofErr w:type="spellStart"/>
      <w:r w:rsidRPr="00C6104C">
        <w:rPr>
          <w:b/>
          <w:sz w:val="24"/>
          <w:szCs w:val="24"/>
          <w:lang w:val="fr-FR"/>
        </w:rPr>
        <w:t>importate</w:t>
      </w:r>
      <w:proofErr w:type="spellEnd"/>
      <w:r w:rsidRPr="00C6104C">
        <w:rPr>
          <w:sz w:val="24"/>
          <w:szCs w:val="24"/>
          <w:lang w:val="fr-FR"/>
        </w:rPr>
        <w:t xml:space="preserve">: </w:t>
      </w:r>
      <w:proofErr w:type="spellStart"/>
      <w:r w:rsidR="00C6104C" w:rsidRPr="00C6104C">
        <w:rPr>
          <w:sz w:val="24"/>
          <w:szCs w:val="24"/>
          <w:lang w:val="fr-FR"/>
        </w:rPr>
        <w:t>ceai</w:t>
      </w:r>
      <w:proofErr w:type="spellEnd"/>
      <w:r w:rsidR="00C6104C" w:rsidRPr="00C6104C">
        <w:rPr>
          <w:sz w:val="24"/>
          <w:szCs w:val="24"/>
          <w:lang w:val="fr-FR"/>
        </w:rPr>
        <w:t xml:space="preserve">, </w:t>
      </w:r>
      <w:proofErr w:type="spellStart"/>
      <w:r w:rsidR="00C6104C" w:rsidRPr="00C6104C">
        <w:rPr>
          <w:sz w:val="24"/>
          <w:szCs w:val="24"/>
          <w:lang w:val="fr-FR"/>
        </w:rPr>
        <w:t>chiar</w:t>
      </w:r>
      <w:proofErr w:type="spellEnd"/>
      <w:r w:rsidR="00C6104C" w:rsidRPr="00C6104C">
        <w:rPr>
          <w:sz w:val="24"/>
          <w:szCs w:val="24"/>
          <w:lang w:val="fr-FR"/>
        </w:rPr>
        <w:t xml:space="preserve"> aromatizat</w:t>
      </w:r>
      <w:r w:rsidRPr="00C6104C">
        <w:rPr>
          <w:sz w:val="24"/>
          <w:szCs w:val="24"/>
          <w:lang w:val="fr-FR"/>
        </w:rPr>
        <w:t>;</w:t>
      </w:r>
      <w:r w:rsidR="00C6104C" w:rsidRPr="00C6104C">
        <w:rPr>
          <w:sz w:val="24"/>
          <w:szCs w:val="24"/>
          <w:lang w:val="fr-FR"/>
        </w:rPr>
        <w:t xml:space="preserve"> </w:t>
      </w:r>
      <w:proofErr w:type="spellStart"/>
      <w:r w:rsidR="00C6104C" w:rsidRPr="00C6104C">
        <w:rPr>
          <w:sz w:val="24"/>
          <w:szCs w:val="24"/>
          <w:lang w:val="fr-FR"/>
        </w:rPr>
        <w:t>alte</w:t>
      </w:r>
      <w:proofErr w:type="spellEnd"/>
      <w:r w:rsidR="00C6104C" w:rsidRPr="00C6104C">
        <w:rPr>
          <w:sz w:val="24"/>
          <w:szCs w:val="24"/>
          <w:lang w:val="fr-FR"/>
        </w:rPr>
        <w:t xml:space="preserve"> </w:t>
      </w:r>
      <w:proofErr w:type="spellStart"/>
      <w:r w:rsidR="00C6104C" w:rsidRPr="00C6104C">
        <w:rPr>
          <w:sz w:val="24"/>
          <w:szCs w:val="24"/>
          <w:lang w:val="fr-FR"/>
        </w:rPr>
        <w:t>tutunuri</w:t>
      </w:r>
      <w:proofErr w:type="spellEnd"/>
      <w:r w:rsidR="00C6104C" w:rsidRPr="00C6104C">
        <w:rPr>
          <w:sz w:val="24"/>
          <w:szCs w:val="24"/>
          <w:lang w:val="fr-FR"/>
        </w:rPr>
        <w:t xml:space="preserve"> si </w:t>
      </w:r>
      <w:proofErr w:type="spellStart"/>
      <w:r w:rsidR="00C6104C" w:rsidRPr="00C6104C">
        <w:rPr>
          <w:sz w:val="24"/>
          <w:szCs w:val="24"/>
          <w:lang w:val="fr-FR"/>
        </w:rPr>
        <w:t>inlocuitori</w:t>
      </w:r>
      <w:proofErr w:type="spellEnd"/>
      <w:r w:rsidR="00C6104C" w:rsidRPr="00C6104C">
        <w:rPr>
          <w:sz w:val="24"/>
          <w:szCs w:val="24"/>
          <w:lang w:val="fr-FR"/>
        </w:rPr>
        <w:t xml:space="preserve"> de </w:t>
      </w:r>
      <w:proofErr w:type="spellStart"/>
      <w:r w:rsidR="00C6104C" w:rsidRPr="00C6104C">
        <w:rPr>
          <w:sz w:val="24"/>
          <w:szCs w:val="24"/>
          <w:lang w:val="fr-FR"/>
        </w:rPr>
        <w:t>tutun</w:t>
      </w:r>
      <w:proofErr w:type="spellEnd"/>
      <w:r w:rsidR="00C6104C" w:rsidRPr="00C6104C">
        <w:rPr>
          <w:sz w:val="24"/>
          <w:szCs w:val="24"/>
          <w:lang w:val="fr-FR"/>
        </w:rPr>
        <w:t xml:space="preserve">, </w:t>
      </w:r>
      <w:proofErr w:type="spellStart"/>
      <w:r w:rsidR="00C6104C" w:rsidRPr="00C6104C">
        <w:rPr>
          <w:sz w:val="24"/>
          <w:szCs w:val="24"/>
          <w:lang w:val="fr-FR"/>
        </w:rPr>
        <w:t>prelucrate</w:t>
      </w:r>
      <w:proofErr w:type="spellEnd"/>
      <w:r w:rsidR="00C6104C" w:rsidRPr="00C6104C">
        <w:rPr>
          <w:sz w:val="24"/>
          <w:szCs w:val="24"/>
          <w:lang w:val="fr-FR"/>
        </w:rPr>
        <w:t>; tutunuri „omogenizate” sau „</w:t>
      </w:r>
      <w:proofErr w:type="spellStart"/>
      <w:r w:rsidR="00C6104C" w:rsidRPr="00C6104C">
        <w:rPr>
          <w:sz w:val="24"/>
          <w:szCs w:val="24"/>
          <w:lang w:val="fr-FR"/>
        </w:rPr>
        <w:t>reconstituite</w:t>
      </w:r>
      <w:proofErr w:type="spellEnd"/>
      <w:r w:rsidR="00C6104C" w:rsidRPr="00C6104C">
        <w:rPr>
          <w:sz w:val="24"/>
          <w:szCs w:val="24"/>
          <w:lang w:val="fr-FR"/>
        </w:rPr>
        <w:t xml:space="preserve">”; </w:t>
      </w:r>
      <w:proofErr w:type="spellStart"/>
      <w:r w:rsidR="00C6104C" w:rsidRPr="00C6104C">
        <w:rPr>
          <w:sz w:val="24"/>
          <w:szCs w:val="24"/>
          <w:lang w:val="fr-FR"/>
        </w:rPr>
        <w:t>extracte</w:t>
      </w:r>
      <w:proofErr w:type="spellEnd"/>
      <w:r w:rsidR="00C6104C" w:rsidRPr="00C6104C">
        <w:rPr>
          <w:sz w:val="24"/>
          <w:szCs w:val="24"/>
          <w:lang w:val="fr-FR"/>
        </w:rPr>
        <w:t xml:space="preserve"> si </w:t>
      </w:r>
      <w:proofErr w:type="spellStart"/>
      <w:r w:rsidR="00C6104C" w:rsidRPr="00C6104C">
        <w:rPr>
          <w:sz w:val="24"/>
          <w:szCs w:val="24"/>
          <w:lang w:val="fr-FR"/>
        </w:rPr>
        <w:t>esente</w:t>
      </w:r>
      <w:proofErr w:type="spellEnd"/>
      <w:r w:rsidR="00C6104C" w:rsidRPr="00C6104C">
        <w:rPr>
          <w:sz w:val="24"/>
          <w:szCs w:val="24"/>
          <w:lang w:val="fr-FR"/>
        </w:rPr>
        <w:t xml:space="preserve"> de </w:t>
      </w:r>
      <w:proofErr w:type="spellStart"/>
      <w:r w:rsidR="00C6104C" w:rsidRPr="00C6104C">
        <w:rPr>
          <w:sz w:val="24"/>
          <w:szCs w:val="24"/>
          <w:lang w:val="fr-FR"/>
        </w:rPr>
        <w:t>tutun</w:t>
      </w:r>
      <w:proofErr w:type="spellEnd"/>
      <w:r w:rsidR="00C6104C" w:rsidRPr="00C6104C">
        <w:rPr>
          <w:sz w:val="24"/>
          <w:szCs w:val="24"/>
          <w:lang w:val="fr-FR"/>
        </w:rPr>
        <w:t xml:space="preserve">; </w:t>
      </w:r>
      <w:proofErr w:type="spellStart"/>
      <w:r w:rsidR="00C6104C" w:rsidRPr="00C6104C">
        <w:rPr>
          <w:sz w:val="24"/>
          <w:szCs w:val="24"/>
          <w:lang w:val="fr-FR"/>
        </w:rPr>
        <w:t>vata</w:t>
      </w:r>
      <w:proofErr w:type="spellEnd"/>
      <w:r w:rsidR="00C6104C" w:rsidRPr="00C6104C">
        <w:rPr>
          <w:sz w:val="24"/>
          <w:szCs w:val="24"/>
          <w:lang w:val="fr-FR"/>
        </w:rPr>
        <w:t xml:space="preserve"> din materiale textile si articole din aceasta; polimeri de propilena sau de alte olefine, sub forme primare;  parfumuri si ape de toaleta;</w:t>
      </w:r>
      <w:r w:rsidRPr="00C6104C">
        <w:rPr>
          <w:sz w:val="24"/>
          <w:szCs w:val="24"/>
          <w:lang w:val="fr-FR"/>
        </w:rPr>
        <w:t xml:space="preserve"> etc.</w:t>
      </w:r>
    </w:p>
    <w:p w:rsidR="00EF6A5C" w:rsidRPr="00EF6A5C" w:rsidRDefault="00EF6A5C" w:rsidP="00C6104C">
      <w:pPr>
        <w:spacing w:line="276" w:lineRule="auto"/>
        <w:jc w:val="both"/>
        <w:rPr>
          <w:sz w:val="24"/>
          <w:szCs w:val="24"/>
          <w:lang w:val="fr-FR"/>
        </w:rPr>
      </w:pPr>
    </w:p>
    <w:p w:rsidR="00EF6A5C" w:rsidRPr="00EF6A5C" w:rsidRDefault="00EF6A5C" w:rsidP="00EF6A5C">
      <w:pPr>
        <w:jc w:val="both"/>
        <w:rPr>
          <w:b/>
          <w:sz w:val="24"/>
          <w:szCs w:val="24"/>
          <w:lang w:val="fr-FR"/>
        </w:rPr>
      </w:pPr>
    </w:p>
    <w:p w:rsidR="00EF6A5C" w:rsidRDefault="00EF6A5C" w:rsidP="001114D3">
      <w:pPr>
        <w:jc w:val="center"/>
        <w:rPr>
          <w:b/>
          <w:sz w:val="24"/>
          <w:szCs w:val="24"/>
          <w:lang w:val="ro-RO"/>
        </w:rPr>
      </w:pPr>
    </w:p>
    <w:p w:rsidR="00C6104C" w:rsidRDefault="00C6104C" w:rsidP="001114D3">
      <w:pPr>
        <w:jc w:val="center"/>
        <w:rPr>
          <w:b/>
          <w:sz w:val="24"/>
          <w:szCs w:val="24"/>
          <w:lang w:val="ro-RO"/>
        </w:rPr>
      </w:pPr>
    </w:p>
    <w:p w:rsidR="00E43601" w:rsidRDefault="00E43601" w:rsidP="001114D3">
      <w:pPr>
        <w:jc w:val="center"/>
        <w:rPr>
          <w:b/>
          <w:sz w:val="24"/>
          <w:szCs w:val="24"/>
          <w:lang w:val="ro-RO"/>
        </w:rPr>
      </w:pPr>
    </w:p>
    <w:p w:rsidR="00384610" w:rsidRPr="0005786A" w:rsidRDefault="001114D3" w:rsidP="001114D3">
      <w:pPr>
        <w:jc w:val="center"/>
        <w:rPr>
          <w:b/>
          <w:sz w:val="24"/>
          <w:szCs w:val="24"/>
          <w:lang w:val="ro-RO"/>
        </w:rPr>
      </w:pPr>
      <w:bookmarkStart w:id="0" w:name="_GoBack"/>
      <w:bookmarkEnd w:id="0"/>
      <w:r w:rsidRPr="0005786A">
        <w:rPr>
          <w:b/>
          <w:sz w:val="24"/>
          <w:szCs w:val="24"/>
          <w:lang w:val="ro-RO"/>
        </w:rPr>
        <w:lastRenderedPageBreak/>
        <w:t xml:space="preserve">Evoluția schimburilor comerciale bilaterale </w:t>
      </w:r>
    </w:p>
    <w:p w:rsidR="00384610" w:rsidRPr="0005786A" w:rsidRDefault="001114D3" w:rsidP="001114D3">
      <w:pPr>
        <w:jc w:val="center"/>
        <w:rPr>
          <w:b/>
          <w:sz w:val="24"/>
          <w:szCs w:val="24"/>
          <w:lang w:val="ro-RO"/>
        </w:rPr>
      </w:pPr>
      <w:r w:rsidRPr="0005786A">
        <w:rPr>
          <w:b/>
          <w:sz w:val="24"/>
          <w:szCs w:val="24"/>
          <w:lang w:val="ro-RO"/>
        </w:rPr>
        <w:t xml:space="preserve">între Republica Moldova și </w:t>
      </w:r>
      <w:r w:rsidR="00B27F25" w:rsidRPr="0005786A">
        <w:rPr>
          <w:b/>
          <w:sz w:val="24"/>
          <w:szCs w:val="24"/>
          <w:lang w:val="ro-RO"/>
        </w:rPr>
        <w:t>Emiratele Arabe Unite</w:t>
      </w:r>
      <w:r w:rsidRPr="0005786A">
        <w:rPr>
          <w:b/>
          <w:sz w:val="24"/>
          <w:szCs w:val="24"/>
          <w:lang w:val="ro-RO"/>
        </w:rPr>
        <w:t xml:space="preserve"> </w:t>
      </w:r>
    </w:p>
    <w:p w:rsidR="001114D3" w:rsidRPr="0005786A" w:rsidRDefault="001114D3" w:rsidP="001114D3">
      <w:pPr>
        <w:jc w:val="center"/>
        <w:rPr>
          <w:i/>
          <w:sz w:val="24"/>
          <w:szCs w:val="24"/>
          <w:u w:val="single"/>
          <w:lang w:val="ro-RO"/>
        </w:rPr>
      </w:pPr>
      <w:r w:rsidRPr="0005786A">
        <w:rPr>
          <w:b/>
          <w:sz w:val="24"/>
          <w:szCs w:val="24"/>
          <w:lang w:val="ro-RO"/>
        </w:rPr>
        <w:t>în an</w:t>
      </w:r>
      <w:r w:rsidR="009C458C" w:rsidRPr="0005786A">
        <w:rPr>
          <w:b/>
          <w:sz w:val="24"/>
          <w:szCs w:val="24"/>
          <w:lang w:val="ro-RO"/>
        </w:rPr>
        <w:t>ul</w:t>
      </w:r>
      <w:r w:rsidRPr="0005786A">
        <w:rPr>
          <w:b/>
          <w:sz w:val="24"/>
          <w:szCs w:val="24"/>
          <w:lang w:val="ro-RO"/>
        </w:rPr>
        <w:t xml:space="preserve"> 2016</w:t>
      </w:r>
      <w:r w:rsidRPr="0005786A">
        <w:rPr>
          <w:b/>
          <w:sz w:val="24"/>
          <w:szCs w:val="24"/>
          <w:lang w:val="ro-RO"/>
        </w:rPr>
        <w:br/>
        <w:t xml:space="preserve">                                                                                                           (mi</w:t>
      </w:r>
      <w:r w:rsidR="009E3CC5" w:rsidRPr="0005786A">
        <w:rPr>
          <w:b/>
          <w:sz w:val="24"/>
          <w:szCs w:val="24"/>
          <w:lang w:val="ro-RO"/>
        </w:rPr>
        <w:t>i</w:t>
      </w:r>
      <w:r w:rsidRPr="0005786A">
        <w:rPr>
          <w:b/>
          <w:sz w:val="24"/>
          <w:szCs w:val="24"/>
          <w:lang w:val="ro-RO"/>
        </w:rPr>
        <w:t>. USD)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59"/>
        <w:gridCol w:w="1694"/>
        <w:gridCol w:w="2141"/>
        <w:gridCol w:w="1969"/>
        <w:gridCol w:w="2127"/>
      </w:tblGrid>
      <w:tr w:rsidR="009E3CC5" w:rsidRPr="0005786A" w:rsidTr="009E3CC5">
        <w:trPr>
          <w:trHeight w:val="649"/>
          <w:jc w:val="center"/>
        </w:trPr>
        <w:tc>
          <w:tcPr>
            <w:tcW w:w="1559" w:type="dxa"/>
            <w:vAlign w:val="center"/>
          </w:tcPr>
          <w:p w:rsidR="009E3CC5" w:rsidRPr="0005786A" w:rsidRDefault="009E3CC5" w:rsidP="004C0913">
            <w:pPr>
              <w:jc w:val="center"/>
              <w:rPr>
                <w:b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94" w:type="dxa"/>
            <w:vAlign w:val="center"/>
          </w:tcPr>
          <w:p w:rsidR="009E3CC5" w:rsidRPr="0005786A" w:rsidRDefault="009E3CC5" w:rsidP="004C0913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  <w:r w:rsidRPr="0005786A">
              <w:rPr>
                <w:b/>
                <w:i/>
                <w:sz w:val="24"/>
                <w:szCs w:val="24"/>
                <w:lang w:val="ro-RO"/>
              </w:rPr>
              <w:t>2014</w:t>
            </w:r>
          </w:p>
        </w:tc>
        <w:tc>
          <w:tcPr>
            <w:tcW w:w="2141" w:type="dxa"/>
            <w:vAlign w:val="center"/>
          </w:tcPr>
          <w:p w:rsidR="009E3CC5" w:rsidRPr="0005786A" w:rsidRDefault="009E3CC5" w:rsidP="004C0913">
            <w:pPr>
              <w:jc w:val="center"/>
              <w:rPr>
                <w:b/>
                <w:i/>
                <w:color w:val="000000"/>
                <w:sz w:val="24"/>
                <w:szCs w:val="24"/>
                <w:lang w:val="ro-RO"/>
              </w:rPr>
            </w:pPr>
            <w:r w:rsidRPr="0005786A">
              <w:rPr>
                <w:b/>
                <w:i/>
                <w:sz w:val="24"/>
                <w:szCs w:val="24"/>
                <w:lang w:val="ro-RO"/>
              </w:rPr>
              <w:t>2015</w:t>
            </w:r>
          </w:p>
        </w:tc>
        <w:tc>
          <w:tcPr>
            <w:tcW w:w="1969" w:type="dxa"/>
            <w:shd w:val="clear" w:color="auto" w:fill="D9D9D9"/>
            <w:vAlign w:val="center"/>
          </w:tcPr>
          <w:p w:rsidR="009E3CC5" w:rsidRPr="0005786A" w:rsidRDefault="009E3CC5" w:rsidP="004C0913">
            <w:pPr>
              <w:jc w:val="center"/>
              <w:rPr>
                <w:b/>
                <w:i/>
                <w:color w:val="000000"/>
                <w:sz w:val="24"/>
                <w:szCs w:val="24"/>
                <w:lang w:val="ro-RO"/>
              </w:rPr>
            </w:pPr>
            <w:r w:rsidRPr="0005786A">
              <w:rPr>
                <w:b/>
                <w:i/>
                <w:sz w:val="24"/>
                <w:szCs w:val="24"/>
                <w:lang w:val="ro-RO"/>
              </w:rPr>
              <w:t>2016</w:t>
            </w:r>
          </w:p>
        </w:tc>
        <w:tc>
          <w:tcPr>
            <w:tcW w:w="2127" w:type="dxa"/>
            <w:vAlign w:val="center"/>
          </w:tcPr>
          <w:p w:rsidR="009E3CC5" w:rsidRPr="0005786A" w:rsidRDefault="009E3CC5" w:rsidP="004C0913">
            <w:pPr>
              <w:jc w:val="center"/>
              <w:rPr>
                <w:b/>
                <w:i/>
                <w:color w:val="000000"/>
                <w:sz w:val="24"/>
                <w:szCs w:val="24"/>
                <w:lang w:val="ro-RO"/>
              </w:rPr>
            </w:pPr>
            <w:r w:rsidRPr="0005786A">
              <w:rPr>
                <w:b/>
                <w:i/>
                <w:color w:val="000000"/>
                <w:sz w:val="24"/>
                <w:szCs w:val="24"/>
                <w:lang w:val="ro-RO"/>
              </w:rPr>
              <w:t>Dinamica 2016/2015, %</w:t>
            </w:r>
          </w:p>
        </w:tc>
      </w:tr>
      <w:tr w:rsidR="009E3CC5" w:rsidRPr="0005786A" w:rsidTr="009E3CC5">
        <w:trPr>
          <w:trHeight w:hRule="exact" w:val="340"/>
          <w:jc w:val="center"/>
        </w:trPr>
        <w:tc>
          <w:tcPr>
            <w:tcW w:w="1559" w:type="dxa"/>
            <w:vAlign w:val="center"/>
          </w:tcPr>
          <w:p w:rsidR="009E3CC5" w:rsidRPr="0005786A" w:rsidRDefault="009E3CC5" w:rsidP="009E3CC5">
            <w:pPr>
              <w:rPr>
                <w:b/>
                <w:i/>
                <w:color w:val="000000"/>
                <w:sz w:val="24"/>
                <w:szCs w:val="24"/>
                <w:lang w:val="ro-RO"/>
              </w:rPr>
            </w:pPr>
            <w:r w:rsidRPr="0005786A">
              <w:rPr>
                <w:b/>
                <w:i/>
                <w:color w:val="00000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C5" w:rsidRPr="0005786A" w:rsidRDefault="009E3CC5" w:rsidP="009E3CC5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05786A">
              <w:rPr>
                <w:color w:val="000000"/>
                <w:sz w:val="24"/>
                <w:szCs w:val="24"/>
                <w:lang w:val="ro-RO"/>
              </w:rPr>
              <w:t>1 794,73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C5" w:rsidRPr="0005786A" w:rsidRDefault="009E3CC5" w:rsidP="009E3CC5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05786A">
              <w:rPr>
                <w:color w:val="000000"/>
                <w:sz w:val="24"/>
                <w:szCs w:val="24"/>
                <w:lang w:val="ro-RO"/>
              </w:rPr>
              <w:t>1 652,26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3CC5" w:rsidRPr="0005786A" w:rsidRDefault="009E3CC5" w:rsidP="009E3CC5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05786A">
              <w:rPr>
                <w:color w:val="000000"/>
                <w:sz w:val="24"/>
                <w:szCs w:val="24"/>
                <w:lang w:val="ro-RO"/>
              </w:rPr>
              <w:t>1 862,79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C5" w:rsidRPr="0005786A" w:rsidRDefault="00DF725E" w:rsidP="009E3CC5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+</w:t>
            </w:r>
            <w:r w:rsidR="009E3CC5" w:rsidRPr="0005786A">
              <w:rPr>
                <w:color w:val="000000"/>
                <w:sz w:val="24"/>
                <w:szCs w:val="24"/>
                <w:lang w:val="ro-RO"/>
              </w:rPr>
              <w:t>12,74</w:t>
            </w:r>
          </w:p>
        </w:tc>
      </w:tr>
      <w:tr w:rsidR="009E3CC5" w:rsidRPr="0005786A" w:rsidTr="009E3CC5">
        <w:trPr>
          <w:trHeight w:hRule="exact" w:val="340"/>
          <w:jc w:val="center"/>
        </w:trPr>
        <w:tc>
          <w:tcPr>
            <w:tcW w:w="1559" w:type="dxa"/>
            <w:vAlign w:val="center"/>
          </w:tcPr>
          <w:p w:rsidR="009E3CC5" w:rsidRPr="0005786A" w:rsidRDefault="009E3CC5" w:rsidP="009E3CC5">
            <w:pPr>
              <w:rPr>
                <w:b/>
                <w:i/>
                <w:color w:val="000000"/>
                <w:sz w:val="24"/>
                <w:szCs w:val="24"/>
                <w:lang w:val="ro-RO"/>
              </w:rPr>
            </w:pPr>
            <w:r w:rsidRPr="0005786A">
              <w:rPr>
                <w:b/>
                <w:i/>
                <w:color w:val="000000"/>
                <w:sz w:val="24"/>
                <w:szCs w:val="24"/>
                <w:lang w:val="ro-RO"/>
              </w:rPr>
              <w:t>Export</w:t>
            </w:r>
          </w:p>
        </w:tc>
        <w:tc>
          <w:tcPr>
            <w:tcW w:w="1694" w:type="dxa"/>
            <w:vAlign w:val="center"/>
          </w:tcPr>
          <w:p w:rsidR="009E3CC5" w:rsidRPr="0005786A" w:rsidRDefault="009E3CC5" w:rsidP="009E3CC5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05786A">
              <w:rPr>
                <w:sz w:val="24"/>
                <w:szCs w:val="24"/>
                <w:lang w:val="ro-RO"/>
              </w:rPr>
              <w:t>523,94</w:t>
            </w:r>
          </w:p>
          <w:p w:rsidR="009E3CC5" w:rsidRPr="0005786A" w:rsidRDefault="009E3CC5" w:rsidP="009E3CC5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9E3CC5" w:rsidRPr="0005786A" w:rsidRDefault="009E3CC5" w:rsidP="009E3CC5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05786A">
              <w:rPr>
                <w:sz w:val="24"/>
                <w:szCs w:val="24"/>
                <w:lang w:val="ro-RO"/>
              </w:rPr>
              <w:t>763,55</w:t>
            </w:r>
          </w:p>
          <w:p w:rsidR="009E3CC5" w:rsidRPr="0005786A" w:rsidRDefault="009E3CC5" w:rsidP="009E3CC5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9E3CC5" w:rsidRPr="0005786A" w:rsidRDefault="009E3CC5" w:rsidP="009E3CC5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05786A">
              <w:rPr>
                <w:sz w:val="24"/>
                <w:szCs w:val="24"/>
                <w:lang w:val="ro-RO"/>
              </w:rPr>
              <w:t>788,22</w:t>
            </w:r>
          </w:p>
          <w:p w:rsidR="009E3CC5" w:rsidRPr="0005786A" w:rsidRDefault="009E3CC5" w:rsidP="009E3CC5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C5" w:rsidRPr="0005786A" w:rsidRDefault="00DF725E" w:rsidP="009E3CC5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+</w:t>
            </w:r>
            <w:r w:rsidR="009E3CC5" w:rsidRPr="0005786A">
              <w:rPr>
                <w:color w:val="000000"/>
                <w:sz w:val="24"/>
                <w:szCs w:val="24"/>
                <w:lang w:val="ro-RO"/>
              </w:rPr>
              <w:t>3,23</w:t>
            </w:r>
          </w:p>
        </w:tc>
      </w:tr>
      <w:tr w:rsidR="009E3CC5" w:rsidRPr="0005786A" w:rsidTr="009E3CC5">
        <w:trPr>
          <w:trHeight w:hRule="exact" w:val="340"/>
          <w:jc w:val="center"/>
        </w:trPr>
        <w:tc>
          <w:tcPr>
            <w:tcW w:w="1559" w:type="dxa"/>
            <w:vAlign w:val="center"/>
          </w:tcPr>
          <w:p w:rsidR="009E3CC5" w:rsidRPr="0005786A" w:rsidRDefault="009E3CC5" w:rsidP="009E3CC5">
            <w:pPr>
              <w:rPr>
                <w:b/>
                <w:i/>
                <w:color w:val="000000"/>
                <w:sz w:val="24"/>
                <w:szCs w:val="24"/>
                <w:lang w:val="ro-RO"/>
              </w:rPr>
            </w:pPr>
            <w:r w:rsidRPr="0005786A">
              <w:rPr>
                <w:b/>
                <w:i/>
                <w:color w:val="000000"/>
                <w:sz w:val="24"/>
                <w:szCs w:val="24"/>
                <w:lang w:val="ro-RO"/>
              </w:rPr>
              <w:t xml:space="preserve">Import </w:t>
            </w:r>
          </w:p>
        </w:tc>
        <w:tc>
          <w:tcPr>
            <w:tcW w:w="1694" w:type="dxa"/>
            <w:vAlign w:val="center"/>
          </w:tcPr>
          <w:p w:rsidR="009E3CC5" w:rsidRPr="0005786A" w:rsidRDefault="009E3CC5" w:rsidP="009E3CC5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05786A">
              <w:rPr>
                <w:sz w:val="24"/>
                <w:szCs w:val="24"/>
                <w:lang w:val="ro-RO"/>
              </w:rPr>
              <w:t>1 270,79</w:t>
            </w:r>
          </w:p>
          <w:p w:rsidR="009E3CC5" w:rsidRPr="0005786A" w:rsidRDefault="009E3CC5" w:rsidP="009E3CC5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141" w:type="dxa"/>
            <w:shd w:val="clear" w:color="auto" w:fill="auto"/>
            <w:vAlign w:val="center"/>
          </w:tcPr>
          <w:p w:rsidR="009E3CC5" w:rsidRPr="0005786A" w:rsidRDefault="009E3CC5" w:rsidP="009E3CC5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05786A">
              <w:rPr>
                <w:sz w:val="24"/>
                <w:szCs w:val="24"/>
                <w:lang w:val="ro-RO"/>
              </w:rPr>
              <w:t>888,71</w:t>
            </w:r>
          </w:p>
          <w:p w:rsidR="009E3CC5" w:rsidRPr="0005786A" w:rsidRDefault="009E3CC5" w:rsidP="009E3CC5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9E3CC5" w:rsidRPr="0005786A" w:rsidRDefault="009E3CC5" w:rsidP="009E3CC5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05786A">
              <w:rPr>
                <w:sz w:val="24"/>
                <w:szCs w:val="24"/>
                <w:lang w:val="ro-RO"/>
              </w:rPr>
              <w:t>1 074,57</w:t>
            </w:r>
          </w:p>
          <w:p w:rsidR="009E3CC5" w:rsidRPr="0005786A" w:rsidRDefault="009E3CC5" w:rsidP="009E3CC5">
            <w:pPr>
              <w:jc w:val="center"/>
              <w:rPr>
                <w:b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C5" w:rsidRPr="0005786A" w:rsidRDefault="00DF725E" w:rsidP="009E3CC5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+</w:t>
            </w:r>
            <w:r w:rsidR="009E3CC5" w:rsidRPr="0005786A">
              <w:rPr>
                <w:color w:val="000000"/>
                <w:sz w:val="24"/>
                <w:szCs w:val="24"/>
                <w:lang w:val="ro-RO"/>
              </w:rPr>
              <w:t>20,91</w:t>
            </w:r>
          </w:p>
        </w:tc>
      </w:tr>
      <w:tr w:rsidR="009E3CC5" w:rsidRPr="0005786A" w:rsidTr="009E3CC5">
        <w:trPr>
          <w:trHeight w:hRule="exact" w:val="340"/>
          <w:jc w:val="center"/>
        </w:trPr>
        <w:tc>
          <w:tcPr>
            <w:tcW w:w="1559" w:type="dxa"/>
            <w:vAlign w:val="center"/>
          </w:tcPr>
          <w:p w:rsidR="009E3CC5" w:rsidRPr="0005786A" w:rsidRDefault="009E3CC5" w:rsidP="009E3CC5">
            <w:pPr>
              <w:rPr>
                <w:b/>
                <w:i/>
                <w:color w:val="000000"/>
                <w:sz w:val="24"/>
                <w:szCs w:val="24"/>
                <w:lang w:val="ro-RO"/>
              </w:rPr>
            </w:pPr>
            <w:r w:rsidRPr="0005786A">
              <w:rPr>
                <w:b/>
                <w:i/>
                <w:color w:val="000000"/>
                <w:sz w:val="24"/>
                <w:szCs w:val="24"/>
                <w:lang w:val="ro-RO"/>
              </w:rPr>
              <w:t xml:space="preserve">Sold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C5" w:rsidRPr="0005786A" w:rsidRDefault="009E3CC5" w:rsidP="009E3CC5">
            <w:pPr>
              <w:jc w:val="center"/>
              <w:rPr>
                <w:color w:val="000000"/>
                <w:sz w:val="24"/>
                <w:szCs w:val="24"/>
                <w:lang w:val="ro-RO" w:eastAsia="ro-RO"/>
              </w:rPr>
            </w:pPr>
            <w:r w:rsidRPr="0005786A">
              <w:rPr>
                <w:color w:val="000000"/>
                <w:sz w:val="24"/>
                <w:szCs w:val="24"/>
                <w:lang w:val="ro-RO"/>
              </w:rPr>
              <w:t>-746,85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C5" w:rsidRPr="0005786A" w:rsidRDefault="009E3CC5" w:rsidP="009E3CC5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05786A">
              <w:rPr>
                <w:color w:val="000000"/>
                <w:sz w:val="24"/>
                <w:szCs w:val="24"/>
                <w:lang w:val="ro-RO"/>
              </w:rPr>
              <w:t>-125,16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E3CC5" w:rsidRPr="0005786A" w:rsidRDefault="009E3CC5" w:rsidP="009E3CC5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 w:rsidRPr="0005786A">
              <w:rPr>
                <w:color w:val="000000"/>
                <w:sz w:val="24"/>
                <w:szCs w:val="24"/>
                <w:lang w:val="ro-RO"/>
              </w:rPr>
              <w:t>-286,35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E3CC5" w:rsidRPr="0005786A" w:rsidRDefault="009E3CC5" w:rsidP="009E3CC5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1114D3" w:rsidRPr="0005786A" w:rsidRDefault="001114D3" w:rsidP="001114D3">
      <w:pPr>
        <w:spacing w:before="100" w:beforeAutospacing="1" w:after="100" w:afterAutospacing="1"/>
        <w:ind w:right="-426"/>
        <w:jc w:val="center"/>
        <w:rPr>
          <w:sz w:val="24"/>
          <w:szCs w:val="24"/>
          <w:lang w:val="ro-RO"/>
        </w:rPr>
      </w:pPr>
      <w:r w:rsidRPr="0005786A">
        <w:rPr>
          <w:b/>
          <w:sz w:val="24"/>
          <w:szCs w:val="24"/>
          <w:lang w:val="ro-RO"/>
        </w:rPr>
        <w:t>Principale mărfuri exportate (mii. USD)</w:t>
      </w:r>
    </w:p>
    <w:tbl>
      <w:tblPr>
        <w:tblW w:w="9762" w:type="dxa"/>
        <w:jc w:val="center"/>
        <w:tblLook w:val="00A0" w:firstRow="1" w:lastRow="0" w:firstColumn="1" w:lastColumn="0" w:noHBand="0" w:noVBand="0"/>
      </w:tblPr>
      <w:tblGrid>
        <w:gridCol w:w="656"/>
        <w:gridCol w:w="3624"/>
        <w:gridCol w:w="1452"/>
        <w:gridCol w:w="1440"/>
        <w:gridCol w:w="1158"/>
        <w:gridCol w:w="1432"/>
      </w:tblGrid>
      <w:tr w:rsidR="001114D3" w:rsidRPr="00E5370A" w:rsidTr="0005786A">
        <w:trPr>
          <w:trHeight w:val="315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D3" w:rsidRPr="00E5370A" w:rsidRDefault="001114D3" w:rsidP="004C0913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5370A">
              <w:rPr>
                <w:b/>
                <w:bCs/>
                <w:color w:val="000000"/>
                <w:lang w:val="ro-RO" w:eastAsia="ro-RO"/>
              </w:rPr>
              <w:t>NM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D3" w:rsidRPr="00E5370A" w:rsidRDefault="001114D3" w:rsidP="004C0913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</w:p>
          <w:p w:rsidR="001114D3" w:rsidRPr="00E5370A" w:rsidRDefault="001114D3" w:rsidP="004C0913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E5370A">
              <w:rPr>
                <w:b/>
                <w:bCs/>
                <w:color w:val="000000"/>
                <w:lang w:val="ro-RO" w:eastAsia="ro-RO"/>
              </w:rPr>
              <w:t>Mărfuri exportate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14D3" w:rsidRPr="00E5370A" w:rsidRDefault="001114D3" w:rsidP="004C0913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E5370A">
              <w:rPr>
                <w:b/>
                <w:bCs/>
                <w:lang w:val="ro-RO"/>
              </w:rPr>
              <w:t>2015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14D3" w:rsidRPr="00E5370A" w:rsidRDefault="001114D3" w:rsidP="004C0913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2016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14D3" w:rsidRPr="00E5370A" w:rsidRDefault="001114D3" w:rsidP="004C0913">
            <w:pPr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Dinamica</w:t>
            </w:r>
          </w:p>
          <w:p w:rsidR="001114D3" w:rsidRPr="00E5370A" w:rsidRDefault="001114D3" w:rsidP="004C0913">
            <w:pPr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2016/2015 %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D3" w:rsidRPr="00E5370A" w:rsidRDefault="001114D3" w:rsidP="004C0913">
            <w:pPr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Cota din totalul exporturilor %</w:t>
            </w:r>
          </w:p>
        </w:tc>
      </w:tr>
      <w:tr w:rsidR="0054011B" w:rsidRPr="00E5370A" w:rsidTr="0005786A">
        <w:trPr>
          <w:trHeight w:val="315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1B" w:rsidRPr="00E5370A" w:rsidRDefault="0054011B" w:rsidP="0054011B">
            <w:pPr>
              <w:rPr>
                <w:bCs/>
                <w:color w:val="000000"/>
                <w:lang w:val="ro-RO" w:eastAsia="ro-RO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1B" w:rsidRPr="00E5370A" w:rsidRDefault="0054011B" w:rsidP="0054011B">
            <w:pPr>
              <w:rPr>
                <w:b/>
                <w:bCs/>
                <w:color w:val="000000"/>
                <w:lang w:val="ro-RO" w:eastAsia="ro-RO"/>
              </w:rPr>
            </w:pPr>
            <w:r w:rsidRPr="00E5370A">
              <w:rPr>
                <w:b/>
                <w:bCs/>
                <w:color w:val="000000"/>
                <w:lang w:val="ro-RO" w:eastAsia="ro-RO"/>
              </w:rPr>
              <w:t>Export total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011B" w:rsidRPr="00E5370A" w:rsidRDefault="0054011B" w:rsidP="0054011B">
            <w:pPr>
              <w:jc w:val="center"/>
              <w:rPr>
                <w:lang w:val="ro-RO" w:eastAsia="ro-RO"/>
              </w:rPr>
            </w:pPr>
            <w:r w:rsidRPr="00E5370A">
              <w:rPr>
                <w:lang w:val="ro-RO"/>
              </w:rPr>
              <w:t>763,55</w:t>
            </w:r>
          </w:p>
          <w:p w:rsidR="0054011B" w:rsidRPr="00E5370A" w:rsidRDefault="0054011B" w:rsidP="0054011B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011B" w:rsidRPr="00E5370A" w:rsidRDefault="0054011B" w:rsidP="0054011B">
            <w:pPr>
              <w:jc w:val="center"/>
              <w:rPr>
                <w:lang w:val="ro-RO" w:eastAsia="ro-RO"/>
              </w:rPr>
            </w:pPr>
            <w:r w:rsidRPr="00E5370A">
              <w:rPr>
                <w:lang w:val="ro-RO"/>
              </w:rPr>
              <w:t>788,22</w:t>
            </w:r>
          </w:p>
          <w:p w:rsidR="0054011B" w:rsidRPr="00E5370A" w:rsidRDefault="0054011B" w:rsidP="0054011B">
            <w:pPr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1B" w:rsidRPr="00E5370A" w:rsidRDefault="0054011B" w:rsidP="0054011B">
            <w:pPr>
              <w:jc w:val="center"/>
              <w:rPr>
                <w:color w:val="000000"/>
                <w:lang w:val="ro-RO"/>
              </w:rPr>
            </w:pPr>
            <w:r w:rsidRPr="00E5370A">
              <w:rPr>
                <w:color w:val="000000"/>
                <w:lang w:val="ro-RO"/>
              </w:rPr>
              <w:t>103,23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11B" w:rsidRPr="00E5370A" w:rsidRDefault="0054011B" w:rsidP="0054011B">
            <w:pPr>
              <w:jc w:val="center"/>
              <w:rPr>
                <w:b/>
                <w:lang w:val="ro-RO"/>
              </w:rPr>
            </w:pPr>
            <w:r w:rsidRPr="00E5370A">
              <w:rPr>
                <w:b/>
                <w:lang w:val="ro-RO"/>
              </w:rPr>
              <w:t>100</w:t>
            </w:r>
          </w:p>
        </w:tc>
      </w:tr>
      <w:tr w:rsidR="007018C8" w:rsidRPr="00E5370A" w:rsidTr="007018C8">
        <w:trPr>
          <w:trHeight w:val="347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 w:eastAsia="ro-RO"/>
              </w:rPr>
            </w:pPr>
            <w:r w:rsidRPr="00E5370A">
              <w:rPr>
                <w:b/>
                <w:bCs/>
                <w:lang w:val="ro-RO"/>
              </w:rPr>
              <w:t>3004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 xml:space="preserve">Medicamente (cu </w:t>
            </w:r>
            <w:proofErr w:type="spellStart"/>
            <w:r w:rsidRPr="00E5370A">
              <w:rPr>
                <w:b/>
                <w:bCs/>
                <w:lang w:val="ro-RO"/>
              </w:rPr>
              <w:t>exceptia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produselor de la </w:t>
            </w:r>
            <w:proofErr w:type="spellStart"/>
            <w:r w:rsidRPr="00E5370A">
              <w:rPr>
                <w:b/>
                <w:bCs/>
                <w:lang w:val="ro-RO"/>
              </w:rPr>
              <w:t>pozitiile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3002, 3005 sau 3006) constituite din produse amestecate sau neamestecate, preparate in scopuri terapeutice sau profilactice, prezentate sub forma de doze (inclusiv cele prezentate in forma de sistem terapeutic </w:t>
            </w:r>
            <w:proofErr w:type="spellStart"/>
            <w:r w:rsidRPr="00E5370A">
              <w:rPr>
                <w:b/>
                <w:bCs/>
                <w:lang w:val="ro-RO"/>
              </w:rPr>
              <w:t>transdermic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) sau </w:t>
            </w:r>
            <w:proofErr w:type="spellStart"/>
            <w:r w:rsidRPr="00E5370A">
              <w:rPr>
                <w:b/>
                <w:bCs/>
                <w:lang w:val="ro-RO"/>
              </w:rPr>
              <w:t>conditionate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pentru </w:t>
            </w:r>
            <w:proofErr w:type="spellStart"/>
            <w:r w:rsidRPr="00E5370A">
              <w:rPr>
                <w:b/>
                <w:bCs/>
                <w:lang w:val="ro-RO"/>
              </w:rPr>
              <w:t>vinzarea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cu </w:t>
            </w:r>
            <w:proofErr w:type="spellStart"/>
            <w:r w:rsidRPr="00E5370A">
              <w:rPr>
                <w:b/>
                <w:bCs/>
                <w:lang w:val="ro-RO"/>
              </w:rPr>
              <w:t>amanuntul</w:t>
            </w:r>
            <w:proofErr w:type="spellEnd"/>
            <w:r w:rsidRPr="00E5370A">
              <w:rPr>
                <w:b/>
                <w:bCs/>
                <w:lang w:val="ro-RO"/>
              </w:rPr>
              <w:t>: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60,30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236,39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right"/>
              <w:rPr>
                <w:color w:val="000000"/>
                <w:lang w:val="ro-RO"/>
              </w:rPr>
            </w:pPr>
            <w:r w:rsidRPr="00E5370A">
              <w:rPr>
                <w:color w:val="000000"/>
                <w:lang w:val="ro-RO"/>
              </w:rPr>
              <w:t>+ de 3,9 ori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  <w:lang w:val="ro-RO" w:eastAsia="ro-RO"/>
              </w:rPr>
            </w:pPr>
            <w:r w:rsidRPr="00E5370A">
              <w:rPr>
                <w:rFonts w:ascii="Calibri" w:hAnsi="Calibri" w:cs="Calibri"/>
                <w:color w:val="000000"/>
              </w:rPr>
              <w:t>29,99</w:t>
            </w:r>
          </w:p>
        </w:tc>
      </w:tr>
      <w:tr w:rsidR="007018C8" w:rsidRPr="00E5370A" w:rsidTr="007018C8">
        <w:trPr>
          <w:trHeight w:val="315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8451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C6104C" w:rsidP="007018C8">
            <w:pPr>
              <w:rPr>
                <w:b/>
                <w:bCs/>
                <w:lang w:val="ro-RO"/>
              </w:rPr>
            </w:pPr>
            <w:proofErr w:type="spellStart"/>
            <w:r w:rsidRPr="00E5370A">
              <w:rPr>
                <w:b/>
                <w:bCs/>
                <w:lang w:val="ro-RO"/>
              </w:rPr>
              <w:t>Masini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si aparate (altele </w:t>
            </w:r>
            <w:proofErr w:type="spellStart"/>
            <w:r w:rsidRPr="00E5370A">
              <w:rPr>
                <w:b/>
                <w:bCs/>
                <w:lang w:val="ro-RO"/>
              </w:rPr>
              <w:t>decit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cele de la </w:t>
            </w:r>
            <w:proofErr w:type="spellStart"/>
            <w:r w:rsidRPr="00E5370A">
              <w:rPr>
                <w:b/>
                <w:bCs/>
                <w:lang w:val="ro-RO"/>
              </w:rPr>
              <w:t>pozitia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8450) pentru </w:t>
            </w:r>
            <w:proofErr w:type="spellStart"/>
            <w:r w:rsidRPr="00E5370A">
              <w:rPr>
                <w:b/>
                <w:bCs/>
                <w:lang w:val="ro-RO"/>
              </w:rPr>
              <w:t>spalarea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</w:t>
            </w:r>
            <w:proofErr w:type="spellStart"/>
            <w:r w:rsidRPr="00E5370A">
              <w:rPr>
                <w:b/>
                <w:bCs/>
                <w:lang w:val="ro-RO"/>
              </w:rPr>
              <w:t>curatirea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stoarcerea, uscarea, </w:t>
            </w:r>
            <w:proofErr w:type="spellStart"/>
            <w:r w:rsidRPr="00E5370A">
              <w:rPr>
                <w:b/>
                <w:bCs/>
                <w:lang w:val="ro-RO"/>
              </w:rPr>
              <w:t>calcarea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presarea (inclusiv presele de fixare), albirea, vopsirea, apretarea, finisarea, acoperirea sau impregnarea firelor, </w:t>
            </w:r>
            <w:proofErr w:type="spellStart"/>
            <w:r w:rsidRPr="00E5370A">
              <w:rPr>
                <w:b/>
                <w:bCs/>
                <w:lang w:val="ro-RO"/>
              </w:rPr>
              <w:t>tesaturilor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sau articolelor </w:t>
            </w:r>
            <w:proofErr w:type="spellStart"/>
            <w:r w:rsidRPr="00E5370A">
              <w:rPr>
                <w:b/>
                <w:bCs/>
                <w:lang w:val="ro-RO"/>
              </w:rPr>
              <w:t>confectionate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din materiale textile si </w:t>
            </w:r>
            <w:proofErr w:type="spellStart"/>
            <w:r w:rsidRPr="00E5370A">
              <w:rPr>
                <w:b/>
                <w:bCs/>
                <w:lang w:val="ro-RO"/>
              </w:rPr>
              <w:t>masini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pentru acoperirea </w:t>
            </w:r>
            <w:proofErr w:type="spellStart"/>
            <w:r w:rsidRPr="00E5370A">
              <w:rPr>
                <w:b/>
                <w:bCs/>
                <w:lang w:val="ro-RO"/>
              </w:rPr>
              <w:t>tesaturilor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sau altor suporturi utilizate pentru fabricarea articolelor de acoperit podele cum este linoleumul; </w:t>
            </w:r>
            <w:proofErr w:type="spellStart"/>
            <w:r w:rsidRPr="00E5370A">
              <w:rPr>
                <w:b/>
                <w:bCs/>
                <w:lang w:val="ro-RO"/>
              </w:rPr>
              <w:t>masini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pentru rularea, derularea, plierea, </w:t>
            </w:r>
            <w:proofErr w:type="spellStart"/>
            <w:r w:rsidRPr="00E5370A">
              <w:rPr>
                <w:b/>
                <w:bCs/>
                <w:lang w:val="ro-RO"/>
              </w:rPr>
              <w:t>taierea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sau dantelarea </w:t>
            </w:r>
            <w:proofErr w:type="spellStart"/>
            <w:r w:rsidRPr="00E5370A">
              <w:rPr>
                <w:b/>
                <w:bCs/>
                <w:lang w:val="ro-RO"/>
              </w:rPr>
              <w:t>tesaturilor</w:t>
            </w:r>
            <w:proofErr w:type="spellEnd"/>
            <w:r w:rsidR="007018C8" w:rsidRPr="00E5370A">
              <w:rPr>
                <w:b/>
                <w:bCs/>
                <w:lang w:val="ro-RO"/>
              </w:rPr>
              <w:t>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100,70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color w:val="000000"/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12,78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3923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 xml:space="preserve">Articole de transport sau de ambalare din materiale plastice; </w:t>
            </w:r>
            <w:proofErr w:type="spellStart"/>
            <w:r w:rsidRPr="00E5370A">
              <w:rPr>
                <w:b/>
                <w:bCs/>
                <w:lang w:val="ro-RO"/>
              </w:rPr>
              <w:t>busoane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dopuri, capace, capsule si alte dispozitive de </w:t>
            </w:r>
            <w:proofErr w:type="spellStart"/>
            <w:r w:rsidRPr="00E5370A">
              <w:rPr>
                <w:b/>
                <w:bCs/>
                <w:lang w:val="ro-RO"/>
              </w:rPr>
              <w:t>inchidere</w:t>
            </w:r>
            <w:proofErr w:type="spellEnd"/>
            <w:r w:rsidRPr="00E5370A">
              <w:rPr>
                <w:b/>
                <w:bCs/>
                <w:lang w:val="ro-RO"/>
              </w:rPr>
              <w:t>, din materiale plastice: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70,69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81,94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color w:val="000000"/>
                <w:lang w:val="ro-RO"/>
              </w:rPr>
            </w:pPr>
            <w:r w:rsidRPr="00E5370A">
              <w:rPr>
                <w:color w:val="000000"/>
                <w:lang w:val="ro-RO"/>
              </w:rPr>
              <w:t>115,91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10,40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8414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 xml:space="preserve">Pompe de aer sau de vid, compresoare de aer sau de alte gaze si ventilatoare; hote aspirante de </w:t>
            </w:r>
            <w:proofErr w:type="spellStart"/>
            <w:r w:rsidRPr="00E5370A">
              <w:rPr>
                <w:b/>
                <w:bCs/>
                <w:lang w:val="ro-RO"/>
              </w:rPr>
              <w:t>extractie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sau de reciclare, cu ventilator incorporat, chiar cu filtre: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68,33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color w:val="000000"/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8,67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6809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 xml:space="preserve">Articole din ipsos sau din </w:t>
            </w:r>
            <w:proofErr w:type="spellStart"/>
            <w:r w:rsidRPr="00E5370A">
              <w:rPr>
                <w:b/>
                <w:bCs/>
                <w:lang w:val="ro-RO"/>
              </w:rPr>
              <w:t>compozitii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pe baza de ipsos: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77,82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63,24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color w:val="000000"/>
                <w:lang w:val="ro-RO"/>
              </w:rPr>
            </w:pPr>
            <w:r w:rsidRPr="00E5370A">
              <w:rPr>
                <w:color w:val="000000"/>
                <w:lang w:val="ro-RO"/>
              </w:rPr>
              <w:t>81,27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8,02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7610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proofErr w:type="spellStart"/>
            <w:r w:rsidRPr="00E5370A">
              <w:rPr>
                <w:b/>
                <w:bCs/>
                <w:lang w:val="ro-RO"/>
              </w:rPr>
              <w:t>Constructii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si </w:t>
            </w:r>
            <w:proofErr w:type="spellStart"/>
            <w:r w:rsidRPr="00E5370A">
              <w:rPr>
                <w:b/>
                <w:bCs/>
                <w:lang w:val="ro-RO"/>
              </w:rPr>
              <w:t>parti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de </w:t>
            </w:r>
            <w:proofErr w:type="spellStart"/>
            <w:r w:rsidRPr="00E5370A">
              <w:rPr>
                <w:b/>
                <w:bCs/>
                <w:lang w:val="ro-RO"/>
              </w:rPr>
              <w:t>constructii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(de exemplu poduri s i elemente de poduri, turnuri, piloni, </w:t>
            </w:r>
            <w:proofErr w:type="spellStart"/>
            <w:r w:rsidRPr="00E5370A">
              <w:rPr>
                <w:b/>
                <w:bCs/>
                <w:lang w:val="ro-RO"/>
              </w:rPr>
              <w:t>stilpi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coloane, </w:t>
            </w:r>
            <w:proofErr w:type="spellStart"/>
            <w:r w:rsidRPr="00E5370A">
              <w:rPr>
                <w:b/>
                <w:bCs/>
                <w:lang w:val="ro-RO"/>
              </w:rPr>
              <w:t>sarpante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acoperi suri, </w:t>
            </w:r>
            <w:proofErr w:type="spellStart"/>
            <w:r w:rsidRPr="00E5370A">
              <w:rPr>
                <w:b/>
                <w:bCs/>
                <w:lang w:val="ro-RO"/>
              </w:rPr>
              <w:t>usi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si ferestre si ramele acestora, pervazuri, praguri, balustrade) din aluminiu, cu </w:t>
            </w:r>
            <w:proofErr w:type="spellStart"/>
            <w:r w:rsidRPr="00E5370A">
              <w:rPr>
                <w:b/>
                <w:bCs/>
                <w:lang w:val="ro-RO"/>
              </w:rPr>
              <w:t>exceptia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</w:t>
            </w:r>
            <w:proofErr w:type="spellStart"/>
            <w:r w:rsidRPr="00E5370A">
              <w:rPr>
                <w:b/>
                <w:bCs/>
                <w:lang w:val="ro-RO"/>
              </w:rPr>
              <w:t>constructiilor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prefabricate de la </w:t>
            </w:r>
            <w:proofErr w:type="spellStart"/>
            <w:r w:rsidRPr="00E5370A">
              <w:rPr>
                <w:b/>
                <w:bCs/>
                <w:lang w:val="ro-RO"/>
              </w:rPr>
              <w:t>pozitia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</w:t>
            </w:r>
            <w:r w:rsidRPr="00E5370A">
              <w:rPr>
                <w:b/>
                <w:bCs/>
                <w:lang w:val="ro-RO"/>
              </w:rPr>
              <w:lastRenderedPageBreak/>
              <w:t xml:space="preserve">9406; table, bare, profile, tuburi si similare, </w:t>
            </w:r>
            <w:proofErr w:type="spellStart"/>
            <w:r w:rsidRPr="00E5370A">
              <w:rPr>
                <w:b/>
                <w:bCs/>
                <w:lang w:val="ro-RO"/>
              </w:rPr>
              <w:t>pregatite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in vederea </w:t>
            </w:r>
            <w:proofErr w:type="spellStart"/>
            <w:r w:rsidRPr="00E5370A">
              <w:rPr>
                <w:b/>
                <w:bCs/>
                <w:lang w:val="ro-RO"/>
              </w:rPr>
              <w:t>utilizarii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in </w:t>
            </w:r>
            <w:proofErr w:type="spellStart"/>
            <w:r w:rsidRPr="00E5370A">
              <w:rPr>
                <w:b/>
                <w:bCs/>
                <w:lang w:val="ro-RO"/>
              </w:rPr>
              <w:t>constructii</w:t>
            </w:r>
            <w:proofErr w:type="spellEnd"/>
            <w:r w:rsidRPr="00E5370A">
              <w:rPr>
                <w:b/>
                <w:bCs/>
                <w:lang w:val="ro-RO"/>
              </w:rPr>
              <w:t>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54,37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color w:val="000000"/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6,90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lastRenderedPageBreak/>
              <w:t>1206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proofErr w:type="spellStart"/>
            <w:r w:rsidRPr="00E5370A">
              <w:rPr>
                <w:b/>
                <w:bCs/>
                <w:lang w:val="ro-RO"/>
              </w:rPr>
              <w:t>Seminte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de floarea-soarelui, chiar </w:t>
            </w:r>
            <w:proofErr w:type="spellStart"/>
            <w:r w:rsidRPr="00E5370A">
              <w:rPr>
                <w:b/>
                <w:bCs/>
                <w:lang w:val="ro-RO"/>
              </w:rPr>
              <w:t>sfarimate</w:t>
            </w:r>
            <w:proofErr w:type="spellEnd"/>
            <w:r w:rsidRPr="00E5370A">
              <w:rPr>
                <w:b/>
                <w:bCs/>
                <w:lang w:val="ro-RO"/>
              </w:rPr>
              <w:t>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43,31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5,49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8479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proofErr w:type="spellStart"/>
            <w:r w:rsidRPr="00E5370A">
              <w:rPr>
                <w:b/>
                <w:bCs/>
                <w:lang w:val="ro-RO"/>
              </w:rPr>
              <w:t>Masini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si aparate mecanice cu </w:t>
            </w:r>
            <w:proofErr w:type="spellStart"/>
            <w:r w:rsidRPr="00E5370A">
              <w:rPr>
                <w:b/>
                <w:bCs/>
                <w:lang w:val="ro-RO"/>
              </w:rPr>
              <w:t>functie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proprie, nedenumite si necuprinse in alta parte in acest capitol: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32,26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4,09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9032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Instrumente si aparate pentru reglare sau control automat: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31,52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4,00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8415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proofErr w:type="spellStart"/>
            <w:r w:rsidRPr="00E5370A">
              <w:rPr>
                <w:b/>
                <w:bCs/>
                <w:lang w:val="ro-RO"/>
              </w:rPr>
              <w:t>Masini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si aparate pentru </w:t>
            </w:r>
            <w:proofErr w:type="spellStart"/>
            <w:r w:rsidRPr="00E5370A">
              <w:rPr>
                <w:b/>
                <w:bCs/>
                <w:lang w:val="ro-RO"/>
              </w:rPr>
              <w:t>conditionarea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aerului, care au ventilator cu motor si dispozitive proprii de modificare a temperaturii si </w:t>
            </w:r>
            <w:proofErr w:type="spellStart"/>
            <w:r w:rsidRPr="00E5370A">
              <w:rPr>
                <w:b/>
                <w:bCs/>
                <w:lang w:val="ro-RO"/>
              </w:rPr>
              <w:t>umiditatii</w:t>
            </w:r>
            <w:proofErr w:type="spellEnd"/>
            <w:r w:rsidRPr="00E5370A">
              <w:rPr>
                <w:b/>
                <w:bCs/>
                <w:lang w:val="ro-RO"/>
              </w:rPr>
              <w:t>, inclusiv cele la care umiditatea nu poate fi reglata separat: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24,75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3,14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0901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 xml:space="preserve">Cafea, chiar </w:t>
            </w:r>
            <w:proofErr w:type="spellStart"/>
            <w:r w:rsidRPr="00E5370A">
              <w:rPr>
                <w:b/>
                <w:bCs/>
                <w:lang w:val="ro-RO"/>
              </w:rPr>
              <w:t>prajita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sau decafeinizata; coji si pelicule de cafea; </w:t>
            </w:r>
            <w:proofErr w:type="spellStart"/>
            <w:r w:rsidRPr="00E5370A">
              <w:rPr>
                <w:b/>
                <w:bCs/>
                <w:lang w:val="ro-RO"/>
              </w:rPr>
              <w:t>inlocuitori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de cafea care </w:t>
            </w:r>
            <w:proofErr w:type="spellStart"/>
            <w:r w:rsidRPr="00E5370A">
              <w:rPr>
                <w:b/>
                <w:bCs/>
                <w:lang w:val="ro-RO"/>
              </w:rPr>
              <w:t>contin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cafea, indiferent de </w:t>
            </w:r>
            <w:proofErr w:type="spellStart"/>
            <w:r w:rsidRPr="00E5370A">
              <w:rPr>
                <w:b/>
                <w:bCs/>
                <w:lang w:val="ro-RO"/>
              </w:rPr>
              <w:t>proportiile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amestecului: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17,48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16,03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color w:val="000000"/>
                <w:lang w:val="ro-RO"/>
              </w:rPr>
            </w:pPr>
            <w:r w:rsidRPr="00E5370A">
              <w:rPr>
                <w:color w:val="000000"/>
                <w:lang w:val="ro-RO"/>
              </w:rPr>
              <w:t>91,66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2,03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8418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 xml:space="preserve">Frigidere, congelatoare si alte echipamente pentru producerea frigului, electrice sau nu; pompe de </w:t>
            </w:r>
            <w:proofErr w:type="spellStart"/>
            <w:r w:rsidRPr="00E5370A">
              <w:rPr>
                <w:b/>
                <w:bCs/>
                <w:lang w:val="ro-RO"/>
              </w:rPr>
              <w:t>caldura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altele </w:t>
            </w:r>
            <w:proofErr w:type="spellStart"/>
            <w:r w:rsidRPr="00E5370A">
              <w:rPr>
                <w:b/>
                <w:bCs/>
                <w:lang w:val="ro-RO"/>
              </w:rPr>
              <w:t>decit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</w:t>
            </w:r>
            <w:proofErr w:type="spellStart"/>
            <w:r w:rsidRPr="00E5370A">
              <w:rPr>
                <w:b/>
                <w:bCs/>
                <w:lang w:val="ro-RO"/>
              </w:rPr>
              <w:t>masinile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si aparatele pentru </w:t>
            </w:r>
            <w:proofErr w:type="spellStart"/>
            <w:r w:rsidRPr="00E5370A">
              <w:rPr>
                <w:b/>
                <w:bCs/>
                <w:lang w:val="ro-RO"/>
              </w:rPr>
              <w:t>conditionarea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aerului de la </w:t>
            </w:r>
            <w:proofErr w:type="spellStart"/>
            <w:r w:rsidRPr="00E5370A">
              <w:rPr>
                <w:b/>
                <w:bCs/>
                <w:lang w:val="ro-RO"/>
              </w:rPr>
              <w:t>pozitia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8415: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11,55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color w:val="000000"/>
                <w:lang w:val="ro-RO"/>
              </w:rPr>
            </w:pPr>
            <w:r w:rsidRPr="00E5370A">
              <w:rPr>
                <w:color w:val="000000"/>
                <w:lang w:val="ro-RO"/>
              </w:rPr>
              <w:t>-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1,47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8413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 xml:space="preserve">Pompe pentru lichide, chiar cu dispozitiv de </w:t>
            </w:r>
            <w:proofErr w:type="spellStart"/>
            <w:r w:rsidRPr="00E5370A">
              <w:rPr>
                <w:b/>
                <w:bCs/>
                <w:lang w:val="ro-RO"/>
              </w:rPr>
              <w:t>masurare</w:t>
            </w:r>
            <w:proofErr w:type="spellEnd"/>
            <w:r w:rsidRPr="00E5370A">
              <w:rPr>
                <w:b/>
                <w:bCs/>
                <w:lang w:val="ro-RO"/>
              </w:rPr>
              <w:t>; elevatoare de lichid: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16,47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3,19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color w:val="000000"/>
                <w:lang w:val="ro-RO"/>
              </w:rPr>
            </w:pPr>
            <w:r w:rsidRPr="00E5370A">
              <w:rPr>
                <w:color w:val="000000"/>
                <w:lang w:val="ro-RO"/>
              </w:rPr>
              <w:t>19,35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0,40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3924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Vesela, alte articole de menaj sau obiecte de uz casnic si articole de igiena sau de toaleta, din materiale plastice: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0,75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1,98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color w:val="000000"/>
                <w:lang w:val="ro-RO"/>
              </w:rPr>
            </w:pPr>
            <w:r w:rsidRPr="00E5370A">
              <w:rPr>
                <w:color w:val="000000"/>
                <w:lang w:val="ro-RO"/>
              </w:rPr>
              <w:t>264,25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0,25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4823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 xml:space="preserve">Alte </w:t>
            </w:r>
            <w:proofErr w:type="spellStart"/>
            <w:r w:rsidRPr="00E5370A">
              <w:rPr>
                <w:b/>
                <w:bCs/>
                <w:lang w:val="ro-RO"/>
              </w:rPr>
              <w:t>hirtii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cartoane, vata de celuloza si straturi </w:t>
            </w:r>
            <w:proofErr w:type="spellStart"/>
            <w:r w:rsidRPr="00E5370A">
              <w:rPr>
                <w:b/>
                <w:bCs/>
                <w:lang w:val="ro-RO"/>
              </w:rPr>
              <w:t>subtiri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din fibre celulozice, decupate la dimensiune; alte articole din pasta de </w:t>
            </w:r>
            <w:proofErr w:type="spellStart"/>
            <w:r w:rsidRPr="00E5370A">
              <w:rPr>
                <w:b/>
                <w:bCs/>
                <w:lang w:val="ro-RO"/>
              </w:rPr>
              <w:t>hirtie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din </w:t>
            </w:r>
            <w:proofErr w:type="spellStart"/>
            <w:r w:rsidRPr="00E5370A">
              <w:rPr>
                <w:b/>
                <w:bCs/>
                <w:lang w:val="ro-RO"/>
              </w:rPr>
              <w:t>hirtie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din carton, din vata de celuloza sau din straturi </w:t>
            </w:r>
            <w:proofErr w:type="spellStart"/>
            <w:r w:rsidRPr="00E5370A">
              <w:rPr>
                <w:b/>
                <w:bCs/>
                <w:lang w:val="ro-RO"/>
              </w:rPr>
              <w:t>subtiri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din fibre celulozice: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3,23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1,86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color w:val="000000"/>
                <w:lang w:val="ro-RO"/>
              </w:rPr>
            </w:pPr>
            <w:r w:rsidRPr="00E5370A">
              <w:rPr>
                <w:color w:val="000000"/>
                <w:lang w:val="ro-RO"/>
              </w:rPr>
              <w:t>57,56-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0,24</w:t>
            </w:r>
          </w:p>
        </w:tc>
      </w:tr>
      <w:tr w:rsidR="007018C8" w:rsidRPr="00E5370A" w:rsidTr="007018C8">
        <w:trPr>
          <w:trHeight w:val="51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E5370A">
              <w:rPr>
                <w:b/>
                <w:bCs/>
                <w:lang w:val="ro-RO"/>
              </w:rPr>
              <w:t>3401</w:t>
            </w: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E5370A" w:rsidRDefault="007018C8" w:rsidP="007018C8">
            <w:pPr>
              <w:rPr>
                <w:b/>
                <w:bCs/>
                <w:lang w:val="ro-RO"/>
              </w:rPr>
            </w:pPr>
            <w:proofErr w:type="spellStart"/>
            <w:r w:rsidRPr="00E5370A">
              <w:rPr>
                <w:b/>
                <w:bCs/>
                <w:lang w:val="ro-RO"/>
              </w:rPr>
              <w:t>Sapunuri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; produse si preparate organice tensioactive folosite ca </w:t>
            </w:r>
            <w:proofErr w:type="spellStart"/>
            <w:r w:rsidRPr="00E5370A">
              <w:rPr>
                <w:b/>
                <w:bCs/>
                <w:lang w:val="ro-RO"/>
              </w:rPr>
              <w:t>sapun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in forma de bare, in calupuri, in </w:t>
            </w:r>
            <w:proofErr w:type="spellStart"/>
            <w:r w:rsidRPr="00E5370A">
              <w:rPr>
                <w:b/>
                <w:bCs/>
                <w:lang w:val="ro-RO"/>
              </w:rPr>
              <w:t>bucati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chiar modelate, care </w:t>
            </w:r>
            <w:proofErr w:type="spellStart"/>
            <w:r w:rsidRPr="00E5370A">
              <w:rPr>
                <w:b/>
                <w:bCs/>
                <w:lang w:val="ro-RO"/>
              </w:rPr>
              <w:t>contin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sau nu </w:t>
            </w:r>
            <w:proofErr w:type="spellStart"/>
            <w:r w:rsidRPr="00E5370A">
              <w:rPr>
                <w:b/>
                <w:bCs/>
                <w:lang w:val="ro-RO"/>
              </w:rPr>
              <w:t>sapun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; produse si preparate organice tensioactive pentru </w:t>
            </w:r>
            <w:proofErr w:type="spellStart"/>
            <w:r w:rsidRPr="00E5370A">
              <w:rPr>
                <w:b/>
                <w:bCs/>
                <w:lang w:val="ro-RO"/>
              </w:rPr>
              <w:t>spalarea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pielii, sub forma lichida sau crema, </w:t>
            </w:r>
            <w:proofErr w:type="spellStart"/>
            <w:r w:rsidRPr="00E5370A">
              <w:rPr>
                <w:b/>
                <w:bCs/>
                <w:lang w:val="ro-RO"/>
              </w:rPr>
              <w:t>conditionate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pentru </w:t>
            </w:r>
            <w:proofErr w:type="spellStart"/>
            <w:r w:rsidRPr="00E5370A">
              <w:rPr>
                <w:b/>
                <w:bCs/>
                <w:lang w:val="ro-RO"/>
              </w:rPr>
              <w:t>vinzarea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cu </w:t>
            </w:r>
            <w:proofErr w:type="spellStart"/>
            <w:r w:rsidRPr="00E5370A">
              <w:rPr>
                <w:b/>
                <w:bCs/>
                <w:lang w:val="ro-RO"/>
              </w:rPr>
              <w:t>amanuntul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care </w:t>
            </w:r>
            <w:proofErr w:type="spellStart"/>
            <w:r w:rsidRPr="00E5370A">
              <w:rPr>
                <w:b/>
                <w:bCs/>
                <w:lang w:val="ro-RO"/>
              </w:rPr>
              <w:t>contin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sau nu </w:t>
            </w:r>
            <w:proofErr w:type="spellStart"/>
            <w:r w:rsidRPr="00E5370A">
              <w:rPr>
                <w:b/>
                <w:bCs/>
                <w:lang w:val="ro-RO"/>
              </w:rPr>
              <w:t>sapun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; </w:t>
            </w:r>
            <w:proofErr w:type="spellStart"/>
            <w:r w:rsidRPr="00E5370A">
              <w:rPr>
                <w:b/>
                <w:bCs/>
                <w:lang w:val="ro-RO"/>
              </w:rPr>
              <w:t>hirtie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vata, fetru si materiale </w:t>
            </w:r>
            <w:proofErr w:type="spellStart"/>
            <w:r w:rsidRPr="00E5370A">
              <w:rPr>
                <w:b/>
                <w:bCs/>
                <w:lang w:val="ro-RO"/>
              </w:rPr>
              <w:t>netesute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, impregnate, </w:t>
            </w:r>
            <w:proofErr w:type="spellStart"/>
            <w:r w:rsidRPr="00E5370A">
              <w:rPr>
                <w:b/>
                <w:bCs/>
                <w:lang w:val="ro-RO"/>
              </w:rPr>
              <w:t>imbibate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sau acoperite cu </w:t>
            </w:r>
            <w:proofErr w:type="spellStart"/>
            <w:r w:rsidRPr="00E5370A">
              <w:rPr>
                <w:b/>
                <w:bCs/>
                <w:lang w:val="ro-RO"/>
              </w:rPr>
              <w:t>sapun</w:t>
            </w:r>
            <w:proofErr w:type="spellEnd"/>
            <w:r w:rsidRPr="00E5370A">
              <w:rPr>
                <w:b/>
                <w:bCs/>
                <w:lang w:val="ro-RO"/>
              </w:rPr>
              <w:t xml:space="preserve"> sau detergent: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lang w:val="ro-RO"/>
              </w:rPr>
            </w:pPr>
            <w:r w:rsidRPr="00E5370A">
              <w:rPr>
                <w:lang w:val="ro-RO"/>
              </w:rPr>
              <w:t>1,85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E5370A" w:rsidRDefault="007018C8" w:rsidP="007018C8">
            <w:pPr>
              <w:jc w:val="center"/>
              <w:rPr>
                <w:color w:val="000000"/>
                <w:lang w:val="ro-RO"/>
              </w:rPr>
            </w:pPr>
            <w:r w:rsidRPr="00E5370A">
              <w:rPr>
                <w:color w:val="000000"/>
                <w:lang w:val="ro-RO"/>
              </w:rPr>
              <w:t>-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E5370A" w:rsidRDefault="007018C8" w:rsidP="007018C8">
            <w:pPr>
              <w:jc w:val="center"/>
              <w:rPr>
                <w:rFonts w:ascii="Calibri" w:hAnsi="Calibri" w:cs="Calibri"/>
                <w:color w:val="000000"/>
              </w:rPr>
            </w:pPr>
            <w:r w:rsidRPr="00E5370A">
              <w:rPr>
                <w:rFonts w:ascii="Calibri" w:hAnsi="Calibri" w:cs="Calibri"/>
                <w:color w:val="000000"/>
              </w:rPr>
              <w:t>0,23</w:t>
            </w:r>
          </w:p>
        </w:tc>
      </w:tr>
    </w:tbl>
    <w:p w:rsidR="00E5370A" w:rsidRDefault="00E5370A" w:rsidP="001114D3">
      <w:pPr>
        <w:spacing w:before="100" w:beforeAutospacing="1" w:after="100" w:afterAutospacing="1"/>
        <w:ind w:right="-426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br w:type="page"/>
      </w:r>
    </w:p>
    <w:p w:rsidR="001114D3" w:rsidRPr="0005786A" w:rsidRDefault="001114D3" w:rsidP="001114D3">
      <w:pPr>
        <w:spacing w:before="100" w:beforeAutospacing="1" w:after="100" w:afterAutospacing="1"/>
        <w:ind w:right="-426"/>
        <w:jc w:val="center"/>
        <w:rPr>
          <w:sz w:val="24"/>
          <w:szCs w:val="24"/>
          <w:lang w:val="ro-RO"/>
        </w:rPr>
      </w:pPr>
      <w:r w:rsidRPr="0005786A">
        <w:rPr>
          <w:b/>
          <w:sz w:val="24"/>
          <w:szCs w:val="24"/>
          <w:lang w:val="ro-RO"/>
        </w:rPr>
        <w:lastRenderedPageBreak/>
        <w:t>Principale mărfuri importate</w:t>
      </w:r>
      <w:r w:rsidRPr="0005786A">
        <w:rPr>
          <w:sz w:val="24"/>
          <w:szCs w:val="24"/>
          <w:lang w:val="ro-RO"/>
        </w:rPr>
        <w:t xml:space="preserve"> </w:t>
      </w:r>
      <w:r w:rsidR="00E45ED5" w:rsidRPr="0005786A">
        <w:rPr>
          <w:b/>
          <w:sz w:val="24"/>
          <w:szCs w:val="24"/>
          <w:lang w:val="ro-RO"/>
        </w:rPr>
        <w:t>(mii</w:t>
      </w:r>
      <w:r w:rsidRPr="0005786A">
        <w:rPr>
          <w:b/>
          <w:sz w:val="24"/>
          <w:szCs w:val="24"/>
          <w:lang w:val="ro-RO"/>
        </w:rPr>
        <w:t>. USD)</w:t>
      </w:r>
    </w:p>
    <w:tbl>
      <w:tblPr>
        <w:tblW w:w="9782" w:type="dxa"/>
        <w:jc w:val="center"/>
        <w:tblLayout w:type="fixed"/>
        <w:tblLook w:val="00A0" w:firstRow="1" w:lastRow="0" w:firstColumn="1" w:lastColumn="0" w:noHBand="0" w:noVBand="0"/>
      </w:tblPr>
      <w:tblGrid>
        <w:gridCol w:w="710"/>
        <w:gridCol w:w="3685"/>
        <w:gridCol w:w="1418"/>
        <w:gridCol w:w="1275"/>
        <w:gridCol w:w="1276"/>
        <w:gridCol w:w="1418"/>
      </w:tblGrid>
      <w:tr w:rsidR="001114D3" w:rsidRPr="00C6104C" w:rsidTr="00C6104C">
        <w:trPr>
          <w:trHeight w:val="9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D3" w:rsidRPr="00C6104C" w:rsidRDefault="001114D3" w:rsidP="004C0913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C6104C">
              <w:rPr>
                <w:b/>
                <w:bCs/>
                <w:color w:val="000000"/>
                <w:lang w:val="ro-RO" w:eastAsia="ro-RO"/>
              </w:rPr>
              <w:t>NM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D3" w:rsidRPr="00C6104C" w:rsidRDefault="001114D3" w:rsidP="004C0913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C6104C">
              <w:rPr>
                <w:b/>
                <w:bCs/>
                <w:color w:val="000000"/>
                <w:lang w:val="ro-RO" w:eastAsia="ro-RO"/>
              </w:rPr>
              <w:t>Mărfuri importate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14D3" w:rsidRPr="00C6104C" w:rsidRDefault="001114D3" w:rsidP="004C0913">
            <w:pPr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14D3" w:rsidRPr="00C6104C" w:rsidRDefault="001114D3" w:rsidP="004C0913">
            <w:pPr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D3" w:rsidRPr="00C6104C" w:rsidRDefault="001114D3" w:rsidP="004C0913">
            <w:pPr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Dinamica</w:t>
            </w:r>
          </w:p>
          <w:p w:rsidR="001114D3" w:rsidRPr="00C6104C" w:rsidRDefault="001114D3" w:rsidP="004C0913">
            <w:pPr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2016/2015 %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14D3" w:rsidRPr="00C6104C" w:rsidRDefault="001114D3" w:rsidP="004C0913">
            <w:pPr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Cota din totalul importurilor</w:t>
            </w:r>
          </w:p>
          <w:p w:rsidR="001114D3" w:rsidRPr="00C6104C" w:rsidRDefault="001114D3" w:rsidP="004C0913">
            <w:pPr>
              <w:tabs>
                <w:tab w:val="left" w:pos="1008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%</w:t>
            </w:r>
          </w:p>
        </w:tc>
      </w:tr>
      <w:tr w:rsidR="0054011B" w:rsidRPr="00C6104C" w:rsidTr="00C6104C">
        <w:trPr>
          <w:trHeight w:val="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B" w:rsidRPr="00C6104C" w:rsidRDefault="0054011B" w:rsidP="0054011B">
            <w:pPr>
              <w:jc w:val="center"/>
              <w:rPr>
                <w:bCs/>
                <w:color w:val="000000"/>
                <w:lang w:val="ro-RO" w:eastAsia="ro-RO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11B" w:rsidRPr="00C6104C" w:rsidRDefault="0054011B" w:rsidP="0054011B">
            <w:pPr>
              <w:rPr>
                <w:b/>
                <w:bCs/>
                <w:color w:val="000000"/>
                <w:lang w:val="ro-RO" w:eastAsia="ro-RO"/>
              </w:rPr>
            </w:pPr>
            <w:r w:rsidRPr="00C6104C">
              <w:rPr>
                <w:b/>
                <w:bCs/>
                <w:color w:val="000000"/>
                <w:lang w:val="ro-RO" w:eastAsia="ro-RO"/>
              </w:rPr>
              <w:t>Import total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11B" w:rsidRPr="00C6104C" w:rsidRDefault="0054011B" w:rsidP="00C6104C">
            <w:pPr>
              <w:jc w:val="center"/>
              <w:rPr>
                <w:lang w:val="ro-RO" w:eastAsia="ro-RO"/>
              </w:rPr>
            </w:pPr>
            <w:r w:rsidRPr="00C6104C">
              <w:rPr>
                <w:lang w:val="ro-RO"/>
              </w:rPr>
              <w:t>888,71</w:t>
            </w:r>
          </w:p>
          <w:p w:rsidR="0054011B" w:rsidRPr="00C6104C" w:rsidRDefault="0054011B" w:rsidP="00C6104C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4011B" w:rsidRPr="00C6104C" w:rsidRDefault="0054011B" w:rsidP="00C6104C">
            <w:pPr>
              <w:jc w:val="center"/>
              <w:rPr>
                <w:lang w:val="ro-RO" w:eastAsia="ro-RO"/>
              </w:rPr>
            </w:pPr>
            <w:r w:rsidRPr="00C6104C">
              <w:rPr>
                <w:lang w:val="ro-RO"/>
              </w:rPr>
              <w:t>1 074,57</w:t>
            </w:r>
          </w:p>
          <w:p w:rsidR="0054011B" w:rsidRPr="00C6104C" w:rsidRDefault="0054011B" w:rsidP="00C6104C">
            <w:pPr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11B" w:rsidRPr="00C6104C" w:rsidRDefault="0054011B" w:rsidP="00C6104C">
            <w:pPr>
              <w:jc w:val="center"/>
              <w:rPr>
                <w:color w:val="000000"/>
                <w:lang w:val="ro-RO"/>
              </w:rPr>
            </w:pPr>
            <w:r w:rsidRPr="00C6104C">
              <w:rPr>
                <w:color w:val="000000"/>
                <w:lang w:val="ro-RO"/>
              </w:rPr>
              <w:t>120,91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1B" w:rsidRPr="00C6104C" w:rsidRDefault="0054011B" w:rsidP="00C6104C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C6104C">
              <w:rPr>
                <w:b/>
                <w:bCs/>
                <w:color w:val="000000"/>
                <w:lang w:val="ro-RO" w:eastAsia="ro-RO"/>
              </w:rPr>
              <w:t>100</w:t>
            </w:r>
          </w:p>
        </w:tc>
      </w:tr>
      <w:tr w:rsidR="007018C8" w:rsidRPr="00C6104C" w:rsidTr="00C6104C">
        <w:trPr>
          <w:trHeight w:val="25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6104C" w:rsidRDefault="007018C8" w:rsidP="007018C8">
            <w:pPr>
              <w:jc w:val="center"/>
              <w:rPr>
                <w:b/>
                <w:bCs/>
                <w:lang w:val="ro-RO" w:eastAsia="ro-RO"/>
              </w:rPr>
            </w:pPr>
            <w:r w:rsidRPr="00C6104C">
              <w:rPr>
                <w:b/>
                <w:bCs/>
                <w:lang w:val="ro-RO"/>
              </w:rPr>
              <w:t>0902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7018C8">
            <w:pPr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Ceai, chiar aromatizat: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260,90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226,60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  <w:lang w:val="ro-RO"/>
              </w:rPr>
            </w:pPr>
            <w:r w:rsidRPr="00C6104C">
              <w:rPr>
                <w:color w:val="000000"/>
                <w:lang w:val="ro-RO"/>
              </w:rPr>
              <w:t>86,85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  <w:lang w:val="ro-RO" w:eastAsia="ro-RO"/>
              </w:rPr>
            </w:pPr>
            <w:r w:rsidRPr="00C6104C">
              <w:rPr>
                <w:color w:val="000000"/>
              </w:rPr>
              <w:t>21,09</w:t>
            </w:r>
          </w:p>
        </w:tc>
      </w:tr>
      <w:tr w:rsidR="007018C8" w:rsidRPr="00C6104C" w:rsidTr="00C6104C">
        <w:trPr>
          <w:trHeight w:val="20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6104C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2403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7018C8">
            <w:pPr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 xml:space="preserve">Alte tutunuri si </w:t>
            </w:r>
            <w:proofErr w:type="spellStart"/>
            <w:r w:rsidRPr="00C6104C">
              <w:rPr>
                <w:b/>
                <w:bCs/>
                <w:lang w:val="ro-RO"/>
              </w:rPr>
              <w:t>inlocuitori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de tutun, prelucrate; tutunuri „omogenizate” sau „reconstituite”; extracte si </w:t>
            </w:r>
            <w:proofErr w:type="spellStart"/>
            <w:r w:rsidRPr="00C6104C">
              <w:rPr>
                <w:b/>
                <w:bCs/>
                <w:lang w:val="ro-RO"/>
              </w:rPr>
              <w:t>esente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de tutun: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277,01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218,83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  <w:lang w:val="ro-RO"/>
              </w:rPr>
            </w:pPr>
            <w:r w:rsidRPr="00C6104C">
              <w:rPr>
                <w:color w:val="000000"/>
                <w:lang w:val="ro-RO"/>
              </w:rPr>
              <w:t>79,00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</w:rPr>
            </w:pPr>
            <w:r w:rsidRPr="00C6104C">
              <w:rPr>
                <w:color w:val="000000"/>
              </w:rPr>
              <w:t>20,36</w:t>
            </w:r>
          </w:p>
        </w:tc>
      </w:tr>
      <w:tr w:rsidR="007018C8" w:rsidRPr="00C6104C" w:rsidTr="00C6104C">
        <w:trPr>
          <w:trHeight w:val="47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6104C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5601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7018C8">
            <w:pPr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 xml:space="preserve">Vata din materiale textile si articole din aceasta; fibre textile cu o lungime de maximum 5 mm (fire tunse de pe postav), noduri si </w:t>
            </w:r>
            <w:proofErr w:type="spellStart"/>
            <w:r w:rsidRPr="00C6104C">
              <w:rPr>
                <w:b/>
                <w:bCs/>
                <w:lang w:val="ro-RO"/>
              </w:rPr>
              <w:t>nopeuri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(butoni) din materiale textile: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81,95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  <w:lang w:val="ro-RO"/>
              </w:rPr>
            </w:pPr>
            <w:r w:rsidRPr="00C6104C">
              <w:rPr>
                <w:color w:val="000000"/>
                <w:lang w:val="ro-RO"/>
              </w:rPr>
              <w:t>+ de 549,54 ori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</w:rPr>
            </w:pPr>
            <w:r w:rsidRPr="00C6104C">
              <w:rPr>
                <w:color w:val="000000"/>
              </w:rPr>
              <w:t>7,63</w:t>
            </w:r>
          </w:p>
        </w:tc>
      </w:tr>
      <w:tr w:rsidR="007018C8" w:rsidRPr="00C6104C" w:rsidTr="00C6104C">
        <w:trPr>
          <w:trHeight w:val="302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6104C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3902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7018C8">
            <w:pPr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Polimeri de propilena sau de alte olefine, sub forme primare: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62,52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  <w:lang w:val="ro-RO"/>
              </w:rPr>
            </w:pPr>
            <w:r w:rsidRPr="00C6104C">
              <w:rPr>
                <w:color w:val="000000"/>
                <w:lang w:val="ro-RO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</w:rPr>
            </w:pPr>
            <w:r w:rsidRPr="00C6104C">
              <w:rPr>
                <w:color w:val="000000"/>
              </w:rPr>
              <w:t>5,82</w:t>
            </w:r>
          </w:p>
        </w:tc>
      </w:tr>
      <w:tr w:rsidR="007018C8" w:rsidRPr="00C6104C" w:rsidTr="00C6104C">
        <w:trPr>
          <w:trHeight w:val="279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6104C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3303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7018C8">
            <w:pPr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Parfumuri si ape de toaleta: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1,05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  <w:lang w:val="ro-RO"/>
              </w:rPr>
            </w:pPr>
            <w:r w:rsidRPr="00C6104C">
              <w:rPr>
                <w:color w:val="000000"/>
                <w:lang w:val="ro-RO"/>
              </w:rPr>
              <w:t>4490,05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</w:rPr>
            </w:pPr>
            <w:r w:rsidRPr="00C6104C">
              <w:rPr>
                <w:color w:val="000000"/>
              </w:rPr>
              <w:t>4,37</w:t>
            </w:r>
          </w:p>
        </w:tc>
      </w:tr>
      <w:tr w:rsidR="007018C8" w:rsidRPr="00C6104C" w:rsidTr="00C6104C">
        <w:trPr>
          <w:trHeight w:val="137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6104C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5513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7018C8">
            <w:pPr>
              <w:rPr>
                <w:b/>
                <w:bCs/>
                <w:lang w:val="ro-RO"/>
              </w:rPr>
            </w:pPr>
            <w:proofErr w:type="spellStart"/>
            <w:r w:rsidRPr="00C6104C">
              <w:rPr>
                <w:b/>
                <w:bCs/>
                <w:lang w:val="ro-RO"/>
              </w:rPr>
              <w:t>Tesaturi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din fibre sintetice discontinue, care </w:t>
            </w:r>
            <w:proofErr w:type="spellStart"/>
            <w:r w:rsidRPr="00C6104C">
              <w:rPr>
                <w:b/>
                <w:bCs/>
                <w:lang w:val="ro-RO"/>
              </w:rPr>
              <w:t>contin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sub 85% din greutate astfel de fibre, amestecate in principal sau numai cu bumbac, </w:t>
            </w:r>
            <w:proofErr w:type="spellStart"/>
            <w:r w:rsidRPr="00C6104C">
              <w:rPr>
                <w:b/>
                <w:bCs/>
                <w:lang w:val="ro-RO"/>
              </w:rPr>
              <w:t>avind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o greutate de maximum 170 g/m2: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43,70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  <w:lang w:val="ro-RO"/>
              </w:rPr>
            </w:pPr>
            <w:r w:rsidRPr="00C6104C">
              <w:rPr>
                <w:color w:val="000000"/>
                <w:lang w:val="ro-RO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</w:rPr>
            </w:pPr>
            <w:r w:rsidRPr="00C6104C">
              <w:rPr>
                <w:color w:val="000000"/>
              </w:rPr>
              <w:t>4,07</w:t>
            </w:r>
          </w:p>
        </w:tc>
      </w:tr>
      <w:tr w:rsidR="007018C8" w:rsidRPr="00C6104C" w:rsidTr="00C6104C">
        <w:trPr>
          <w:trHeight w:val="1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6104C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2710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7018C8">
            <w:pPr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 xml:space="preserve">Uleiuri din petrol sau uleiuri din minerale bituminoase, altele </w:t>
            </w:r>
            <w:proofErr w:type="spellStart"/>
            <w:r w:rsidRPr="00C6104C">
              <w:rPr>
                <w:b/>
                <w:bCs/>
                <w:lang w:val="ro-RO"/>
              </w:rPr>
              <w:t>decit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uleiurile brute; preparatele nedenumite si necuprinse in alta parte, care </w:t>
            </w:r>
            <w:proofErr w:type="spellStart"/>
            <w:r w:rsidRPr="00C6104C">
              <w:rPr>
                <w:b/>
                <w:bCs/>
                <w:lang w:val="ro-RO"/>
              </w:rPr>
              <w:t>contin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in greutate minimum 70% uleiuri din petrol sau din minerale bituminoase si pentru care aceste uleiuri constituie elementele de baza; </w:t>
            </w:r>
            <w:proofErr w:type="spellStart"/>
            <w:r w:rsidRPr="00C6104C">
              <w:rPr>
                <w:b/>
                <w:bCs/>
                <w:lang w:val="ro-RO"/>
              </w:rPr>
              <w:t>deseuri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de uleiuri: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34,75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21,25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  <w:lang w:val="ro-RO"/>
              </w:rPr>
            </w:pPr>
            <w:r w:rsidRPr="00C6104C">
              <w:rPr>
                <w:color w:val="000000"/>
                <w:lang w:val="ro-RO"/>
              </w:rPr>
              <w:t>61,14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</w:rPr>
            </w:pPr>
            <w:r w:rsidRPr="00C6104C">
              <w:rPr>
                <w:color w:val="000000"/>
              </w:rPr>
              <w:t>1,98</w:t>
            </w:r>
          </w:p>
        </w:tc>
      </w:tr>
      <w:tr w:rsidR="007018C8" w:rsidRPr="00C6104C" w:rsidTr="00C6104C">
        <w:trPr>
          <w:trHeight w:val="1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6104C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6908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7018C8">
            <w:pPr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 xml:space="preserve">Placi si dale din ceramica pentru pavaj sau pentru acoperit </w:t>
            </w:r>
            <w:proofErr w:type="spellStart"/>
            <w:r w:rsidRPr="00C6104C">
              <w:rPr>
                <w:b/>
                <w:bCs/>
                <w:lang w:val="ro-RO"/>
              </w:rPr>
              <w:t>peretii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, </w:t>
            </w:r>
            <w:proofErr w:type="spellStart"/>
            <w:r w:rsidRPr="00C6104C">
              <w:rPr>
                <w:b/>
                <w:bCs/>
                <w:lang w:val="ro-RO"/>
              </w:rPr>
              <w:t>lacuite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sau </w:t>
            </w:r>
            <w:proofErr w:type="spellStart"/>
            <w:r w:rsidRPr="00C6104C">
              <w:rPr>
                <w:b/>
                <w:bCs/>
                <w:lang w:val="ro-RO"/>
              </w:rPr>
              <w:t>smaltuite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; cuburi, blocuri si articole similare din ceramica, pentru mozaicuri, </w:t>
            </w:r>
            <w:proofErr w:type="spellStart"/>
            <w:r w:rsidRPr="00C6104C">
              <w:rPr>
                <w:b/>
                <w:bCs/>
                <w:lang w:val="ro-RO"/>
              </w:rPr>
              <w:t>lacuite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sau </w:t>
            </w:r>
            <w:proofErr w:type="spellStart"/>
            <w:r w:rsidRPr="00C6104C">
              <w:rPr>
                <w:b/>
                <w:bCs/>
                <w:lang w:val="ro-RO"/>
              </w:rPr>
              <w:t>smaltuite</w:t>
            </w:r>
            <w:proofErr w:type="spellEnd"/>
            <w:r w:rsidRPr="00C6104C">
              <w:rPr>
                <w:b/>
                <w:bCs/>
                <w:lang w:val="ro-RO"/>
              </w:rPr>
              <w:t>, chiar pe suport: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66,60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18,90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  <w:lang w:val="ro-RO"/>
              </w:rPr>
            </w:pPr>
            <w:r w:rsidRPr="00C6104C">
              <w:rPr>
                <w:color w:val="000000"/>
                <w:lang w:val="ro-RO"/>
              </w:rPr>
              <w:t>28,39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</w:rPr>
            </w:pPr>
            <w:r w:rsidRPr="00C6104C">
              <w:rPr>
                <w:color w:val="000000"/>
              </w:rPr>
              <w:t>1,76</w:t>
            </w:r>
          </w:p>
        </w:tc>
      </w:tr>
      <w:tr w:rsidR="007018C8" w:rsidRPr="00C6104C" w:rsidTr="00C6104C">
        <w:trPr>
          <w:trHeight w:val="1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6104C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3403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7018C8">
            <w:pPr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 xml:space="preserve">Preparate lubrifiante (inclusiv lichide de </w:t>
            </w:r>
            <w:proofErr w:type="spellStart"/>
            <w:r w:rsidRPr="00C6104C">
              <w:rPr>
                <w:b/>
                <w:bCs/>
                <w:lang w:val="ro-RO"/>
              </w:rPr>
              <w:t>racire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, preparate pentru </w:t>
            </w:r>
            <w:proofErr w:type="spellStart"/>
            <w:r w:rsidRPr="00C6104C">
              <w:rPr>
                <w:b/>
                <w:bCs/>
                <w:lang w:val="ro-RO"/>
              </w:rPr>
              <w:t>degriparea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</w:t>
            </w:r>
            <w:proofErr w:type="spellStart"/>
            <w:r w:rsidRPr="00C6104C">
              <w:rPr>
                <w:b/>
                <w:bCs/>
                <w:lang w:val="ro-RO"/>
              </w:rPr>
              <w:t>suruburilor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, preparate </w:t>
            </w:r>
            <w:proofErr w:type="spellStart"/>
            <w:r w:rsidRPr="00C6104C">
              <w:rPr>
                <w:b/>
                <w:bCs/>
                <w:lang w:val="ro-RO"/>
              </w:rPr>
              <w:t>antirugina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sau anticorozive si preparate pentru demulare pe baza de </w:t>
            </w:r>
            <w:proofErr w:type="spellStart"/>
            <w:r w:rsidRPr="00C6104C">
              <w:rPr>
                <w:b/>
                <w:bCs/>
                <w:lang w:val="ro-RO"/>
              </w:rPr>
              <w:t>lubrifianti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) si preparate de tipul celor utilizate pentru tratarea cu ulei si gresarea materialelor textile, pieilor, </w:t>
            </w:r>
            <w:proofErr w:type="spellStart"/>
            <w:r w:rsidRPr="00C6104C">
              <w:rPr>
                <w:b/>
                <w:bCs/>
                <w:lang w:val="ro-RO"/>
              </w:rPr>
              <w:t>blanurilor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sau altor materiale, cu </w:t>
            </w:r>
            <w:proofErr w:type="spellStart"/>
            <w:r w:rsidRPr="00C6104C">
              <w:rPr>
                <w:b/>
                <w:bCs/>
                <w:lang w:val="ro-RO"/>
              </w:rPr>
              <w:t>exceptia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preparatelor care </w:t>
            </w:r>
            <w:proofErr w:type="spellStart"/>
            <w:r w:rsidRPr="00C6104C">
              <w:rPr>
                <w:b/>
                <w:bCs/>
                <w:lang w:val="ro-RO"/>
              </w:rPr>
              <w:t>contin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, cu rol de </w:t>
            </w:r>
            <w:proofErr w:type="spellStart"/>
            <w:r w:rsidRPr="00C6104C">
              <w:rPr>
                <w:b/>
                <w:bCs/>
                <w:lang w:val="ro-RO"/>
              </w:rPr>
              <w:t>constituenti</w:t>
            </w:r>
            <w:proofErr w:type="spellEnd"/>
            <w:r w:rsidRPr="00C6104C">
              <w:rPr>
                <w:b/>
                <w:bCs/>
                <w:lang w:val="ro-RO"/>
              </w:rPr>
              <w:t xml:space="preserve"> de baza, minimum 70% in greutate uleiuri din petrol sau din minerale bituminoase: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10,78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18,23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  <w:lang w:val="ro-RO"/>
              </w:rPr>
            </w:pPr>
            <w:r w:rsidRPr="00C6104C">
              <w:rPr>
                <w:color w:val="000000"/>
                <w:lang w:val="ro-RO"/>
              </w:rPr>
              <w:t>169,05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</w:rPr>
            </w:pPr>
            <w:r w:rsidRPr="00C6104C">
              <w:rPr>
                <w:color w:val="000000"/>
              </w:rPr>
              <w:t>1,70</w:t>
            </w:r>
          </w:p>
        </w:tc>
      </w:tr>
      <w:tr w:rsidR="007018C8" w:rsidRPr="00C6104C" w:rsidTr="00C6104C">
        <w:trPr>
          <w:trHeight w:val="13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6104C" w:rsidRDefault="007018C8" w:rsidP="007018C8">
            <w:pPr>
              <w:jc w:val="center"/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4011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7018C8">
            <w:pPr>
              <w:rPr>
                <w:b/>
                <w:bCs/>
                <w:lang w:val="ro-RO"/>
              </w:rPr>
            </w:pPr>
            <w:r w:rsidRPr="00C6104C">
              <w:rPr>
                <w:b/>
                <w:bCs/>
                <w:lang w:val="ro-RO"/>
              </w:rPr>
              <w:t>Anvelope pneumatice noi, din cauciuc: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18C8" w:rsidRPr="00C6104C" w:rsidRDefault="007018C8" w:rsidP="00C6104C">
            <w:pPr>
              <w:jc w:val="center"/>
              <w:rPr>
                <w:lang w:val="ro-RO"/>
              </w:rPr>
            </w:pPr>
            <w:r w:rsidRPr="00C6104C">
              <w:rPr>
                <w:lang w:val="ro-RO"/>
              </w:rPr>
              <w:t>15,61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  <w:lang w:val="ro-RO"/>
              </w:rPr>
            </w:pPr>
            <w:r w:rsidRPr="00C6104C">
              <w:rPr>
                <w:color w:val="000000"/>
                <w:lang w:val="ro-RO"/>
              </w:rPr>
              <w:t>+ de 92,29 ori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8C8" w:rsidRPr="00C6104C" w:rsidRDefault="007018C8" w:rsidP="00C6104C">
            <w:pPr>
              <w:jc w:val="center"/>
              <w:rPr>
                <w:color w:val="000000"/>
              </w:rPr>
            </w:pPr>
            <w:r w:rsidRPr="00C6104C">
              <w:rPr>
                <w:color w:val="000000"/>
              </w:rPr>
              <w:t>1,45</w:t>
            </w:r>
          </w:p>
        </w:tc>
      </w:tr>
    </w:tbl>
    <w:p w:rsidR="001114D3" w:rsidRPr="0005786A" w:rsidRDefault="001114D3">
      <w:pPr>
        <w:rPr>
          <w:lang w:val="ro-RO"/>
        </w:rPr>
      </w:pPr>
    </w:p>
    <w:sectPr w:rsidR="001114D3" w:rsidRPr="0005786A" w:rsidSect="005334F1">
      <w:headerReference w:type="even" r:id="rId8"/>
      <w:headerReference w:type="default" r:id="rId9"/>
      <w:footerReference w:type="even" r:id="rId10"/>
      <w:pgSz w:w="11907" w:h="16834" w:code="9"/>
      <w:pgMar w:top="426" w:right="851" w:bottom="851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3B" w:rsidRDefault="00C44D3B">
      <w:r>
        <w:separator/>
      </w:r>
    </w:p>
  </w:endnote>
  <w:endnote w:type="continuationSeparator" w:id="0">
    <w:p w:rsidR="00C44D3B" w:rsidRDefault="00C4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3A" w:rsidRDefault="0016223C" w:rsidP="00EF23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C3A" w:rsidRDefault="00C44D3B" w:rsidP="00E45C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3B" w:rsidRDefault="00C44D3B">
      <w:r>
        <w:separator/>
      </w:r>
    </w:p>
  </w:footnote>
  <w:footnote w:type="continuationSeparator" w:id="0">
    <w:p w:rsidR="00C44D3B" w:rsidRDefault="00C44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3A" w:rsidRDefault="0016223C" w:rsidP="00E45C3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C3A" w:rsidRDefault="00C44D3B" w:rsidP="00E45C3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3A" w:rsidRPr="00E45C3A" w:rsidRDefault="0016223C" w:rsidP="00E45C3A">
    <w:pPr>
      <w:pStyle w:val="Header"/>
      <w:ind w:right="360"/>
      <w:rPr>
        <w:lang w:val="ro-RO"/>
      </w:rPr>
    </w:pPr>
    <w:r>
      <w:rPr>
        <w:lang w:val="ro-RO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9C1"/>
    <w:multiLevelType w:val="hybridMultilevel"/>
    <w:tmpl w:val="6D18B51C"/>
    <w:lvl w:ilvl="0" w:tplc="D318B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066A2"/>
    <w:multiLevelType w:val="hybridMultilevel"/>
    <w:tmpl w:val="164268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3725A"/>
    <w:multiLevelType w:val="hybridMultilevel"/>
    <w:tmpl w:val="5B7C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A00D8"/>
    <w:multiLevelType w:val="hybridMultilevel"/>
    <w:tmpl w:val="34B69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3C"/>
    <w:rsid w:val="0001131E"/>
    <w:rsid w:val="000139C3"/>
    <w:rsid w:val="00020977"/>
    <w:rsid w:val="0002495E"/>
    <w:rsid w:val="000256D7"/>
    <w:rsid w:val="00050E27"/>
    <w:rsid w:val="000521F3"/>
    <w:rsid w:val="00056942"/>
    <w:rsid w:val="0005786A"/>
    <w:rsid w:val="000601E1"/>
    <w:rsid w:val="0006298B"/>
    <w:rsid w:val="00064BBD"/>
    <w:rsid w:val="0007193B"/>
    <w:rsid w:val="000726B8"/>
    <w:rsid w:val="00086B93"/>
    <w:rsid w:val="00091309"/>
    <w:rsid w:val="00093462"/>
    <w:rsid w:val="0009583E"/>
    <w:rsid w:val="00096034"/>
    <w:rsid w:val="00096A5C"/>
    <w:rsid w:val="000977E4"/>
    <w:rsid w:val="000A2EDA"/>
    <w:rsid w:val="000A782F"/>
    <w:rsid w:val="000B6440"/>
    <w:rsid w:val="000C612D"/>
    <w:rsid w:val="000D1F47"/>
    <w:rsid w:val="000D4D90"/>
    <w:rsid w:val="000F0F79"/>
    <w:rsid w:val="000F32AB"/>
    <w:rsid w:val="00100176"/>
    <w:rsid w:val="00103F65"/>
    <w:rsid w:val="0010594D"/>
    <w:rsid w:val="0011067A"/>
    <w:rsid w:val="001114D3"/>
    <w:rsid w:val="0011304A"/>
    <w:rsid w:val="0011377B"/>
    <w:rsid w:val="00122869"/>
    <w:rsid w:val="00122E3C"/>
    <w:rsid w:val="0012471A"/>
    <w:rsid w:val="00131A50"/>
    <w:rsid w:val="00146A6C"/>
    <w:rsid w:val="00156DEC"/>
    <w:rsid w:val="0016223C"/>
    <w:rsid w:val="00173A0F"/>
    <w:rsid w:val="001768BD"/>
    <w:rsid w:val="00187EB1"/>
    <w:rsid w:val="001A4B70"/>
    <w:rsid w:val="001B2479"/>
    <w:rsid w:val="001B46E0"/>
    <w:rsid w:val="001C63BF"/>
    <w:rsid w:val="001D61F4"/>
    <w:rsid w:val="001E3C69"/>
    <w:rsid w:val="001E5B54"/>
    <w:rsid w:val="0020194E"/>
    <w:rsid w:val="00205BE6"/>
    <w:rsid w:val="00212ACF"/>
    <w:rsid w:val="00227659"/>
    <w:rsid w:val="00227665"/>
    <w:rsid w:val="00227CFC"/>
    <w:rsid w:val="002406F1"/>
    <w:rsid w:val="00240E93"/>
    <w:rsid w:val="00240E96"/>
    <w:rsid w:val="00245D99"/>
    <w:rsid w:val="00251075"/>
    <w:rsid w:val="0025587D"/>
    <w:rsid w:val="002745D8"/>
    <w:rsid w:val="00282A65"/>
    <w:rsid w:val="00290FB3"/>
    <w:rsid w:val="0029425B"/>
    <w:rsid w:val="00294A10"/>
    <w:rsid w:val="00296E4E"/>
    <w:rsid w:val="00297A29"/>
    <w:rsid w:val="002B6E74"/>
    <w:rsid w:val="002E08AB"/>
    <w:rsid w:val="002E2C50"/>
    <w:rsid w:val="002E5D0F"/>
    <w:rsid w:val="002F3C43"/>
    <w:rsid w:val="003139FC"/>
    <w:rsid w:val="00322A04"/>
    <w:rsid w:val="00322D36"/>
    <w:rsid w:val="00327BC6"/>
    <w:rsid w:val="00335EB6"/>
    <w:rsid w:val="00343065"/>
    <w:rsid w:val="003463B1"/>
    <w:rsid w:val="003530E9"/>
    <w:rsid w:val="003625E3"/>
    <w:rsid w:val="00363B84"/>
    <w:rsid w:val="00364C19"/>
    <w:rsid w:val="00375205"/>
    <w:rsid w:val="00384610"/>
    <w:rsid w:val="0038555C"/>
    <w:rsid w:val="00392466"/>
    <w:rsid w:val="003A0863"/>
    <w:rsid w:val="003A1C6E"/>
    <w:rsid w:val="003D149D"/>
    <w:rsid w:val="003E1602"/>
    <w:rsid w:val="003E1894"/>
    <w:rsid w:val="003E34FB"/>
    <w:rsid w:val="003E4211"/>
    <w:rsid w:val="003F0C26"/>
    <w:rsid w:val="003F1D5F"/>
    <w:rsid w:val="003F6722"/>
    <w:rsid w:val="00406B10"/>
    <w:rsid w:val="004132E7"/>
    <w:rsid w:val="0043402B"/>
    <w:rsid w:val="00444AEB"/>
    <w:rsid w:val="00451302"/>
    <w:rsid w:val="00457F18"/>
    <w:rsid w:val="00462D4A"/>
    <w:rsid w:val="00463FEA"/>
    <w:rsid w:val="0047015D"/>
    <w:rsid w:val="00473946"/>
    <w:rsid w:val="00474891"/>
    <w:rsid w:val="00477DC6"/>
    <w:rsid w:val="0048044B"/>
    <w:rsid w:val="00482060"/>
    <w:rsid w:val="0049254F"/>
    <w:rsid w:val="0049289A"/>
    <w:rsid w:val="00495A12"/>
    <w:rsid w:val="00495BFD"/>
    <w:rsid w:val="004A651C"/>
    <w:rsid w:val="004B1032"/>
    <w:rsid w:val="004B1476"/>
    <w:rsid w:val="004B5880"/>
    <w:rsid w:val="004C23EB"/>
    <w:rsid w:val="004C24F6"/>
    <w:rsid w:val="004C4402"/>
    <w:rsid w:val="004F3065"/>
    <w:rsid w:val="0051129D"/>
    <w:rsid w:val="005218E9"/>
    <w:rsid w:val="00524742"/>
    <w:rsid w:val="00524DE8"/>
    <w:rsid w:val="0053080A"/>
    <w:rsid w:val="00536008"/>
    <w:rsid w:val="0054011B"/>
    <w:rsid w:val="00541CCA"/>
    <w:rsid w:val="00544C1D"/>
    <w:rsid w:val="00556E03"/>
    <w:rsid w:val="00570346"/>
    <w:rsid w:val="00572DC8"/>
    <w:rsid w:val="00587C4C"/>
    <w:rsid w:val="0059329E"/>
    <w:rsid w:val="005A077A"/>
    <w:rsid w:val="005A5C58"/>
    <w:rsid w:val="005A5D99"/>
    <w:rsid w:val="005C520F"/>
    <w:rsid w:val="005E4F01"/>
    <w:rsid w:val="005E6D15"/>
    <w:rsid w:val="005E7DDA"/>
    <w:rsid w:val="0060040A"/>
    <w:rsid w:val="006047CE"/>
    <w:rsid w:val="00605C6E"/>
    <w:rsid w:val="0060700E"/>
    <w:rsid w:val="00614A2D"/>
    <w:rsid w:val="00614A84"/>
    <w:rsid w:val="00616B3F"/>
    <w:rsid w:val="00617507"/>
    <w:rsid w:val="00617F20"/>
    <w:rsid w:val="00623C64"/>
    <w:rsid w:val="006267B0"/>
    <w:rsid w:val="00627179"/>
    <w:rsid w:val="0064041D"/>
    <w:rsid w:val="00644237"/>
    <w:rsid w:val="00650B77"/>
    <w:rsid w:val="00654F4D"/>
    <w:rsid w:val="00656AFC"/>
    <w:rsid w:val="0067188A"/>
    <w:rsid w:val="006753B0"/>
    <w:rsid w:val="0068371D"/>
    <w:rsid w:val="00694854"/>
    <w:rsid w:val="00697901"/>
    <w:rsid w:val="006A1005"/>
    <w:rsid w:val="006B22E0"/>
    <w:rsid w:val="006B324D"/>
    <w:rsid w:val="006B4E04"/>
    <w:rsid w:val="006C1675"/>
    <w:rsid w:val="006C178B"/>
    <w:rsid w:val="006C3F0B"/>
    <w:rsid w:val="006C42D3"/>
    <w:rsid w:val="006C4605"/>
    <w:rsid w:val="006C7DA9"/>
    <w:rsid w:val="006E1AFF"/>
    <w:rsid w:val="006E6C8D"/>
    <w:rsid w:val="006E742E"/>
    <w:rsid w:val="006F4DEA"/>
    <w:rsid w:val="007018C8"/>
    <w:rsid w:val="007065B9"/>
    <w:rsid w:val="007074B2"/>
    <w:rsid w:val="00720623"/>
    <w:rsid w:val="00730008"/>
    <w:rsid w:val="007314A4"/>
    <w:rsid w:val="00744E03"/>
    <w:rsid w:val="0075188F"/>
    <w:rsid w:val="00762C9A"/>
    <w:rsid w:val="00765723"/>
    <w:rsid w:val="00767D97"/>
    <w:rsid w:val="007812EA"/>
    <w:rsid w:val="00791E88"/>
    <w:rsid w:val="00796D70"/>
    <w:rsid w:val="007A428E"/>
    <w:rsid w:val="007C15F3"/>
    <w:rsid w:val="007D49AA"/>
    <w:rsid w:val="007D7CB1"/>
    <w:rsid w:val="007E6B5B"/>
    <w:rsid w:val="007F5E8F"/>
    <w:rsid w:val="008062F9"/>
    <w:rsid w:val="00823515"/>
    <w:rsid w:val="00834B30"/>
    <w:rsid w:val="008350A4"/>
    <w:rsid w:val="0085361E"/>
    <w:rsid w:val="00856916"/>
    <w:rsid w:val="00867EC9"/>
    <w:rsid w:val="00871933"/>
    <w:rsid w:val="00880B95"/>
    <w:rsid w:val="00881C00"/>
    <w:rsid w:val="00884E6C"/>
    <w:rsid w:val="00893470"/>
    <w:rsid w:val="008B0122"/>
    <w:rsid w:val="008B443C"/>
    <w:rsid w:val="008C7E4D"/>
    <w:rsid w:val="008D1F78"/>
    <w:rsid w:val="008D2820"/>
    <w:rsid w:val="008D7AF2"/>
    <w:rsid w:val="008E0200"/>
    <w:rsid w:val="008E1146"/>
    <w:rsid w:val="008E3D5D"/>
    <w:rsid w:val="008F0B68"/>
    <w:rsid w:val="008F29D0"/>
    <w:rsid w:val="008F40DB"/>
    <w:rsid w:val="00917A2C"/>
    <w:rsid w:val="00921B66"/>
    <w:rsid w:val="00924AFC"/>
    <w:rsid w:val="0092615B"/>
    <w:rsid w:val="00935B43"/>
    <w:rsid w:val="00950E09"/>
    <w:rsid w:val="0095114A"/>
    <w:rsid w:val="00956112"/>
    <w:rsid w:val="0096590A"/>
    <w:rsid w:val="00966107"/>
    <w:rsid w:val="00973ABE"/>
    <w:rsid w:val="00976A38"/>
    <w:rsid w:val="0098096E"/>
    <w:rsid w:val="00984268"/>
    <w:rsid w:val="009B3DFF"/>
    <w:rsid w:val="009B6290"/>
    <w:rsid w:val="009C458C"/>
    <w:rsid w:val="009C49F4"/>
    <w:rsid w:val="009D54BB"/>
    <w:rsid w:val="009E3CC5"/>
    <w:rsid w:val="009E4BFA"/>
    <w:rsid w:val="009F62A5"/>
    <w:rsid w:val="00A03E36"/>
    <w:rsid w:val="00A1623D"/>
    <w:rsid w:val="00A2394D"/>
    <w:rsid w:val="00A26FE0"/>
    <w:rsid w:val="00A32060"/>
    <w:rsid w:val="00A32D18"/>
    <w:rsid w:val="00A40E9E"/>
    <w:rsid w:val="00A43A63"/>
    <w:rsid w:val="00A45856"/>
    <w:rsid w:val="00A52EB1"/>
    <w:rsid w:val="00A549BA"/>
    <w:rsid w:val="00A56938"/>
    <w:rsid w:val="00A61B27"/>
    <w:rsid w:val="00A93844"/>
    <w:rsid w:val="00AA1D60"/>
    <w:rsid w:val="00AA5962"/>
    <w:rsid w:val="00AB25F1"/>
    <w:rsid w:val="00AC50C8"/>
    <w:rsid w:val="00AD06C2"/>
    <w:rsid w:val="00AD0EAD"/>
    <w:rsid w:val="00AD6BA7"/>
    <w:rsid w:val="00AF370C"/>
    <w:rsid w:val="00AF7714"/>
    <w:rsid w:val="00B15FB6"/>
    <w:rsid w:val="00B2112F"/>
    <w:rsid w:val="00B25966"/>
    <w:rsid w:val="00B27F25"/>
    <w:rsid w:val="00B32BFB"/>
    <w:rsid w:val="00B3543A"/>
    <w:rsid w:val="00B41852"/>
    <w:rsid w:val="00B43215"/>
    <w:rsid w:val="00B43223"/>
    <w:rsid w:val="00B44326"/>
    <w:rsid w:val="00B45E1C"/>
    <w:rsid w:val="00B51F39"/>
    <w:rsid w:val="00B53CF0"/>
    <w:rsid w:val="00B64C84"/>
    <w:rsid w:val="00B67C09"/>
    <w:rsid w:val="00B84352"/>
    <w:rsid w:val="00B85B45"/>
    <w:rsid w:val="00BA6D24"/>
    <w:rsid w:val="00BB6349"/>
    <w:rsid w:val="00BB65FB"/>
    <w:rsid w:val="00BC2E86"/>
    <w:rsid w:val="00BD74F9"/>
    <w:rsid w:val="00BE39CB"/>
    <w:rsid w:val="00BE68CA"/>
    <w:rsid w:val="00BF30A6"/>
    <w:rsid w:val="00BF6868"/>
    <w:rsid w:val="00C14F7C"/>
    <w:rsid w:val="00C26AC5"/>
    <w:rsid w:val="00C27783"/>
    <w:rsid w:val="00C44D3B"/>
    <w:rsid w:val="00C513FC"/>
    <w:rsid w:val="00C5662B"/>
    <w:rsid w:val="00C57196"/>
    <w:rsid w:val="00C6104C"/>
    <w:rsid w:val="00C63CDA"/>
    <w:rsid w:val="00C66F10"/>
    <w:rsid w:val="00C73094"/>
    <w:rsid w:val="00C76927"/>
    <w:rsid w:val="00C810B0"/>
    <w:rsid w:val="00C83953"/>
    <w:rsid w:val="00C85162"/>
    <w:rsid w:val="00C915B2"/>
    <w:rsid w:val="00CA5B9A"/>
    <w:rsid w:val="00CA7C0A"/>
    <w:rsid w:val="00CA7C3A"/>
    <w:rsid w:val="00CB03F0"/>
    <w:rsid w:val="00CB0898"/>
    <w:rsid w:val="00CB095A"/>
    <w:rsid w:val="00CC1E06"/>
    <w:rsid w:val="00CD3060"/>
    <w:rsid w:val="00CE1DA9"/>
    <w:rsid w:val="00CE3660"/>
    <w:rsid w:val="00CE42B7"/>
    <w:rsid w:val="00CE68E2"/>
    <w:rsid w:val="00CF2013"/>
    <w:rsid w:val="00CF42C7"/>
    <w:rsid w:val="00CF4768"/>
    <w:rsid w:val="00CF722E"/>
    <w:rsid w:val="00D0496B"/>
    <w:rsid w:val="00D101E1"/>
    <w:rsid w:val="00D103E1"/>
    <w:rsid w:val="00D1062C"/>
    <w:rsid w:val="00D1748C"/>
    <w:rsid w:val="00D22798"/>
    <w:rsid w:val="00D2520A"/>
    <w:rsid w:val="00D35FBD"/>
    <w:rsid w:val="00D41585"/>
    <w:rsid w:val="00D67A52"/>
    <w:rsid w:val="00D710FF"/>
    <w:rsid w:val="00D75430"/>
    <w:rsid w:val="00D83772"/>
    <w:rsid w:val="00D87999"/>
    <w:rsid w:val="00D916D7"/>
    <w:rsid w:val="00D93AE1"/>
    <w:rsid w:val="00D94F28"/>
    <w:rsid w:val="00DA13F0"/>
    <w:rsid w:val="00DA20BA"/>
    <w:rsid w:val="00DA23D6"/>
    <w:rsid w:val="00DB628E"/>
    <w:rsid w:val="00DB6F34"/>
    <w:rsid w:val="00DB70FF"/>
    <w:rsid w:val="00DB71B4"/>
    <w:rsid w:val="00DC226C"/>
    <w:rsid w:val="00DE0588"/>
    <w:rsid w:val="00DE25D6"/>
    <w:rsid w:val="00DE5687"/>
    <w:rsid w:val="00DF725E"/>
    <w:rsid w:val="00E012EC"/>
    <w:rsid w:val="00E03CC0"/>
    <w:rsid w:val="00E06B05"/>
    <w:rsid w:val="00E10999"/>
    <w:rsid w:val="00E11EFA"/>
    <w:rsid w:val="00E12173"/>
    <w:rsid w:val="00E12E5D"/>
    <w:rsid w:val="00E13231"/>
    <w:rsid w:val="00E16143"/>
    <w:rsid w:val="00E400DB"/>
    <w:rsid w:val="00E43601"/>
    <w:rsid w:val="00E44FD1"/>
    <w:rsid w:val="00E45ED5"/>
    <w:rsid w:val="00E46A6E"/>
    <w:rsid w:val="00E5370A"/>
    <w:rsid w:val="00E5471B"/>
    <w:rsid w:val="00E563DE"/>
    <w:rsid w:val="00E7464F"/>
    <w:rsid w:val="00E753FE"/>
    <w:rsid w:val="00E8405F"/>
    <w:rsid w:val="00E92E2F"/>
    <w:rsid w:val="00E971A4"/>
    <w:rsid w:val="00EA09AB"/>
    <w:rsid w:val="00EA0C17"/>
    <w:rsid w:val="00EB018F"/>
    <w:rsid w:val="00EB3695"/>
    <w:rsid w:val="00EB4E0F"/>
    <w:rsid w:val="00EB5455"/>
    <w:rsid w:val="00EB5973"/>
    <w:rsid w:val="00EC0DA5"/>
    <w:rsid w:val="00EC18B6"/>
    <w:rsid w:val="00ED14BC"/>
    <w:rsid w:val="00EF6A5C"/>
    <w:rsid w:val="00F0473F"/>
    <w:rsid w:val="00F059D6"/>
    <w:rsid w:val="00F12478"/>
    <w:rsid w:val="00F225E0"/>
    <w:rsid w:val="00F36713"/>
    <w:rsid w:val="00F57A47"/>
    <w:rsid w:val="00F60D7F"/>
    <w:rsid w:val="00F62390"/>
    <w:rsid w:val="00F6627C"/>
    <w:rsid w:val="00F710F2"/>
    <w:rsid w:val="00F856CB"/>
    <w:rsid w:val="00F93294"/>
    <w:rsid w:val="00F959C3"/>
    <w:rsid w:val="00FB3DEC"/>
    <w:rsid w:val="00FC6869"/>
    <w:rsid w:val="00FD554A"/>
    <w:rsid w:val="00FF013A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16223C"/>
    <w:pPr>
      <w:keepNext/>
      <w:ind w:left="-2127" w:right="284"/>
      <w:jc w:val="center"/>
      <w:outlineLvl w:val="2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223C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styleId="Hyperlink">
    <w:name w:val="Hyperlink"/>
    <w:rsid w:val="0016223C"/>
    <w:rPr>
      <w:color w:val="0000FF"/>
      <w:u w:val="single"/>
    </w:rPr>
  </w:style>
  <w:style w:type="paragraph" w:styleId="Footer">
    <w:name w:val="footer"/>
    <w:basedOn w:val="Normal"/>
    <w:link w:val="FooterChar"/>
    <w:rsid w:val="001622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6223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PageNumber">
    <w:name w:val="page number"/>
    <w:basedOn w:val="DefaultParagraphFont"/>
    <w:rsid w:val="0016223C"/>
  </w:style>
  <w:style w:type="paragraph" w:styleId="Header">
    <w:name w:val="header"/>
    <w:basedOn w:val="Normal"/>
    <w:link w:val="HeaderChar"/>
    <w:rsid w:val="0016223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6223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uiPriority w:val="39"/>
    <w:rsid w:val="001114D3"/>
    <w:pPr>
      <w:spacing w:after="0" w:line="240" w:lineRule="auto"/>
    </w:pPr>
    <w:rPr>
      <w:rFonts w:eastAsiaTheme="minorEastAsia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1,Bullets,List Paragraph (numbered (a)),Numbered Paragraph,Main numbered paragraph,Akapit z listą BS,Lettre d'introduction,List Paragraph1,List Paragraph11,Scriptoria bullet points,Bullet Points,Liste Paragraf,Listenabsatz1"/>
    <w:basedOn w:val="Normal"/>
    <w:link w:val="ListParagraphChar"/>
    <w:uiPriority w:val="34"/>
    <w:qFormat/>
    <w:rsid w:val="001114D3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lang w:val="ro-RO" w:eastAsia="en-US"/>
    </w:rPr>
  </w:style>
  <w:style w:type="character" w:customStyle="1" w:styleId="ListParagraphChar">
    <w:name w:val="List Paragraph Char"/>
    <w:aliases w:val="List Paragraph 1 Char,Bullets Char,List Paragraph (numbered (a)) Char,Numbered Paragraph Char,Main numbered paragraph Char,Akapit z listą BS Char,Lettre d'introduction Char,List Paragraph1 Char,List Paragraph11 Char"/>
    <w:basedOn w:val="DefaultParagraphFont"/>
    <w:link w:val="ListParagraph"/>
    <w:uiPriority w:val="34"/>
    <w:locked/>
    <w:rsid w:val="001114D3"/>
    <w:rPr>
      <w:rFonts w:eastAsiaTheme="minorEastAsia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7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0A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16223C"/>
    <w:pPr>
      <w:keepNext/>
      <w:ind w:left="-2127" w:right="284"/>
      <w:jc w:val="center"/>
      <w:outlineLvl w:val="2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223C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styleId="Hyperlink">
    <w:name w:val="Hyperlink"/>
    <w:rsid w:val="0016223C"/>
    <w:rPr>
      <w:color w:val="0000FF"/>
      <w:u w:val="single"/>
    </w:rPr>
  </w:style>
  <w:style w:type="paragraph" w:styleId="Footer">
    <w:name w:val="footer"/>
    <w:basedOn w:val="Normal"/>
    <w:link w:val="FooterChar"/>
    <w:rsid w:val="001622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6223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PageNumber">
    <w:name w:val="page number"/>
    <w:basedOn w:val="DefaultParagraphFont"/>
    <w:rsid w:val="0016223C"/>
  </w:style>
  <w:style w:type="paragraph" w:styleId="Header">
    <w:name w:val="header"/>
    <w:basedOn w:val="Normal"/>
    <w:link w:val="HeaderChar"/>
    <w:rsid w:val="0016223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6223C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uiPriority w:val="39"/>
    <w:rsid w:val="001114D3"/>
    <w:pPr>
      <w:spacing w:after="0" w:line="240" w:lineRule="auto"/>
    </w:pPr>
    <w:rPr>
      <w:rFonts w:eastAsiaTheme="minorEastAsia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1,Bullets,List Paragraph (numbered (a)),Numbered Paragraph,Main numbered paragraph,Akapit z listą BS,Lettre d'introduction,List Paragraph1,List Paragraph11,Scriptoria bullet points,Bullet Points,Liste Paragraf,Listenabsatz1"/>
    <w:basedOn w:val="Normal"/>
    <w:link w:val="ListParagraphChar"/>
    <w:uiPriority w:val="34"/>
    <w:qFormat/>
    <w:rsid w:val="001114D3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lang w:val="ro-RO" w:eastAsia="en-US"/>
    </w:rPr>
  </w:style>
  <w:style w:type="character" w:customStyle="1" w:styleId="ListParagraphChar">
    <w:name w:val="List Paragraph Char"/>
    <w:aliases w:val="List Paragraph 1 Char,Bullets Char,List Paragraph (numbered (a)) Char,Numbered Paragraph Char,Main numbered paragraph Char,Akapit z listą BS Char,Lettre d'introduction Char,List Paragraph1 Char,List Paragraph11 Char"/>
    <w:basedOn w:val="DefaultParagraphFont"/>
    <w:link w:val="ListParagraph"/>
    <w:uiPriority w:val="34"/>
    <w:locked/>
    <w:rsid w:val="001114D3"/>
    <w:rPr>
      <w:rFonts w:eastAsiaTheme="minorEastAsia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7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0A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2265</Words>
  <Characters>12915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Rotaru</cp:lastModifiedBy>
  <cp:revision>4</cp:revision>
  <cp:lastPrinted>2017-07-07T08:17:00Z</cp:lastPrinted>
  <dcterms:created xsi:type="dcterms:W3CDTF">2017-07-06T14:57:00Z</dcterms:created>
  <dcterms:modified xsi:type="dcterms:W3CDTF">2017-07-07T08:20:00Z</dcterms:modified>
</cp:coreProperties>
</file>