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892E" w14:textId="77777777" w:rsid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1C9D7025" w14:textId="77777777" w:rsid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3577FF43" w14:textId="77777777" w:rsidR="00790A15" w:rsidRPr="001627C7" w:rsidRDefault="00790A15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DISCUSSION PAPER</w:t>
      </w:r>
    </w:p>
    <w:p w14:paraId="578884B5" w14:textId="77777777" w:rsidR="0007510D" w:rsidRPr="001627C7" w:rsidRDefault="00790A15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Economic Development Priority Measure</w:t>
      </w:r>
      <w:r w:rsidR="001A58DD"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6A67FD"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2017-</w:t>
      </w: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2019)</w:t>
      </w:r>
    </w:p>
    <w:p w14:paraId="2B57E5A7" w14:textId="77777777" w:rsidR="0007510D" w:rsidRPr="001627C7" w:rsidRDefault="0007510D" w:rsidP="001627C7">
      <w:pPr>
        <w:jc w:val="both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5B8778CE" w14:textId="77777777" w:rsidR="00BB00B4" w:rsidRPr="001627C7" w:rsidRDefault="0007510D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790A15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discussion </w:t>
      </w:r>
      <w:r w:rsidR="00BB00B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paper outlines</w:t>
      </w:r>
      <w:r w:rsidR="00BE573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feasible interventions that will spur economic development in Moldova, taking into account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limits of </w:t>
      </w:r>
      <w:r w:rsidR="00837AE6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assistance budgets and implementing capacities. </w:t>
      </w:r>
      <w:r w:rsidR="00BB00B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The main purpose of this document is to provide a basis for timely discussion on the programming for the years 2017, 2018, and 2019 between the Government of Moldova and its development partners.</w:t>
      </w:r>
    </w:p>
    <w:p w14:paraId="77326A13" w14:textId="77777777" w:rsidR="0007510D" w:rsidRPr="001627C7" w:rsidRDefault="0007510D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641C42AD" w14:textId="2EDC5CDB" w:rsidR="005E01CC" w:rsidRPr="001627C7" w:rsidRDefault="00B624AA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The list of proposed measures is not exhaustive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: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 includes interventions prima</w:t>
      </w:r>
      <w:r w:rsidR="00493215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rily under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93215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responsibility of the Ministry of Economy</w:t>
      </w:r>
      <w:r w:rsidR="005E01C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to be developed and carried out in close cooperation with the Ministries of Education, Agriculture, </w:t>
      </w:r>
      <w:proofErr w:type="spellStart"/>
      <w:r w:rsidR="006A67F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5E01C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and Finance. T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he indispensable role of the M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inistry for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egional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D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evelopment and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onstruction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and the R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egional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D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evelopment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gencie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in ensuring regional outreach and facilitation of the physical investment works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is pointed out</w:t>
      </w:r>
      <w:r w:rsidR="005E01C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to ensure 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effective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implementation of the proposed interventions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.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36D6B8" w14:textId="77777777" w:rsidR="005E01CC" w:rsidRPr="001627C7" w:rsidRDefault="005E01CC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71D80B96" w14:textId="09DE43D1" w:rsidR="00B624AA" w:rsidRPr="001627C7" w:rsidRDefault="00B624AA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key objective of this note is to define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priority measures with high synergetic impact, and thus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would be the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best value-added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as to </w:t>
      </w:r>
      <w:r w:rsidR="005E01C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budget </w:t>
      </w:r>
      <w:r w:rsidR="002837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allocation and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donor assistance.</w:t>
      </w:r>
    </w:p>
    <w:p w14:paraId="084162EC" w14:textId="77777777" w:rsidR="00A51BB4" w:rsidRPr="001627C7" w:rsidRDefault="00A51BB4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4F7C9ABA" w14:textId="77777777" w:rsidR="00283779" w:rsidRPr="001627C7" w:rsidRDefault="00283779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Activities and tentative funding 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requirements refer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to a three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(3)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programming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period (2017-2019)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and a five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(5)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implementation period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(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2</w:t>
      </w:r>
      <w:r w:rsidR="004E76A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017-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20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21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)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.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48A4BD" w14:textId="77777777" w:rsidR="00283779" w:rsidRPr="001627C7" w:rsidRDefault="00283779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4FE4D853" w14:textId="77777777" w:rsidR="00283779" w:rsidRDefault="00283779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Approach</w:t>
      </w:r>
    </w:p>
    <w:p w14:paraId="4E8FA2CE" w14:textId="77777777" w:rsidR="001627C7" w:rsidRP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194BD720" w14:textId="77777777" w:rsidR="00283779" w:rsidRPr="001627C7" w:rsidRDefault="00283779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Areas of intervention are grouped at three levels: macro, </w:t>
      </w:r>
      <w:proofErr w:type="spellStart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meso</w:t>
      </w:r>
      <w:proofErr w:type="spellEnd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and micro. For each area of intervention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, the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priority measures are proposed </w:t>
      </w:r>
      <w:r w:rsidR="0051684E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with a short description and tentative budget. </w:t>
      </w:r>
    </w:p>
    <w:p w14:paraId="0D889A7B" w14:textId="77777777" w:rsidR="00283779" w:rsidRPr="001627C7" w:rsidRDefault="00283779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4C9B0878" w14:textId="77777777" w:rsidR="00283779" w:rsidRPr="001627C7" w:rsidRDefault="0051684E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At the macr</w:t>
      </w:r>
      <w:r w:rsidR="002837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o level the most relevant regulatory issues are addresse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d. The </w:t>
      </w:r>
      <w:proofErr w:type="spellStart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meso</w:t>
      </w:r>
      <w:proofErr w:type="spellEnd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level stresses the </w:t>
      </w:r>
      <w:r w:rsidR="00A921E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importance of implementation with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regional involvement. M</w:t>
      </w:r>
      <w:r w:rsidR="00A921E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e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asures at the micro level aim at increasing</w:t>
      </w:r>
      <w:r w:rsidR="00A921E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capacity of companies to </w:t>
      </w:r>
      <w:r w:rsidR="0022766A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be able to </w:t>
      </w:r>
      <w:r w:rsidR="00A921E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cope with international competition.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A0CEBD" w14:textId="77777777" w:rsidR="00AF2BE6" w:rsidRPr="001627C7" w:rsidRDefault="00AF2BE6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1E281F20" w14:textId="77777777" w:rsidR="00AF2BE6" w:rsidRPr="001627C7" w:rsidRDefault="00AF2BE6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proposed measures do not refer to specific priority sectors. </w:t>
      </w:r>
      <w:r w:rsidR="003033F5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Those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FB26A1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defined by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relevant national strategies and action plans based on numerous studies provided by nation</w:t>
      </w:r>
      <w:r w:rsidR="00FB74A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al and international expertise.</w:t>
      </w:r>
    </w:p>
    <w:p w14:paraId="043EC8D9" w14:textId="77777777" w:rsidR="001A58DD" w:rsidRPr="001627C7" w:rsidRDefault="001A58DD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77ABE57A" w14:textId="77777777" w:rsidR="00A921EB" w:rsidRPr="001627C7" w:rsidRDefault="00A921EB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Interventions are th</w:t>
      </w:r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ought against the background of:</w:t>
      </w:r>
    </w:p>
    <w:p w14:paraId="188F5F73" w14:textId="77777777" w:rsidR="00A921EB" w:rsidRPr="001627C7" w:rsidRDefault="00A921EB" w:rsidP="001627C7">
      <w:pPr>
        <w:pStyle w:val="ListParagraph"/>
        <w:numPr>
          <w:ilvl w:val="0"/>
          <w:numId w:val="24"/>
        </w:numPr>
        <w:ind w:left="0" w:firstLine="567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 design that is adapted to the respective regional (multi-</w:t>
      </w:r>
      <w:proofErr w:type="spellStart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) situation</w:t>
      </w:r>
      <w:r w:rsidR="00537EF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;</w:t>
      </w:r>
    </w:p>
    <w:p w14:paraId="4F4D886E" w14:textId="77777777" w:rsidR="00A921EB" w:rsidRPr="001627C7" w:rsidRDefault="00A921EB" w:rsidP="001627C7">
      <w:pPr>
        <w:pStyle w:val="ListParagraph"/>
        <w:numPr>
          <w:ilvl w:val="0"/>
          <w:numId w:val="24"/>
        </w:numPr>
        <w:ind w:left="0" w:firstLine="567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taking into consideration the dynamic development opportunities of both export potential and</w:t>
      </w:r>
      <w:r w:rsidR="000C39FF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3F5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internal market development,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making best use of DCFTA/other FTAs</w:t>
      </w:r>
      <w:r w:rsidR="00537EF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;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77D301" w14:textId="6BBFF035" w:rsidR="00A921EB" w:rsidRPr="001627C7" w:rsidRDefault="00A921EB" w:rsidP="001627C7">
      <w:pPr>
        <w:pStyle w:val="ListParagraph"/>
        <w:numPr>
          <w:ilvl w:val="0"/>
          <w:numId w:val="22"/>
        </w:numPr>
        <w:ind w:left="0" w:firstLine="567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ensuring</w:t>
      </w:r>
      <w:proofErr w:type="gramEnd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complementarities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/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building upon initiatives already under implementation in respective sectors.</w:t>
      </w:r>
    </w:p>
    <w:p w14:paraId="4BE6AE8B" w14:textId="77777777" w:rsidR="00A921EB" w:rsidRPr="001627C7" w:rsidRDefault="00A921EB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6BC2FAF6" w14:textId="77777777" w:rsidR="00A921EB" w:rsidRPr="001627C7" w:rsidRDefault="00A921EB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The overall budget amounts to ninety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(90)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million EUR. Budgets are calculated for a consecutive, multi-annual </w:t>
      </w:r>
      <w:proofErr w:type="spellStart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program</w:t>
      </w:r>
      <w:r w:rsidR="0022766A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me</w:t>
      </w:r>
      <w:proofErr w:type="spellEnd"/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to be designed within the annual action </w:t>
      </w:r>
      <w:proofErr w:type="spellStart"/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(AAP)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2017, 2018, and 2019. In </w:t>
      </w:r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AAP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2017, a budget of 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thirty (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30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)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million EUR needs to be programmed. </w:t>
      </w:r>
    </w:p>
    <w:p w14:paraId="3222A1DC" w14:textId="77777777" w:rsidR="00283779" w:rsidRPr="001627C7" w:rsidRDefault="00283779" w:rsidP="001627C7">
      <w:pPr>
        <w:jc w:val="both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75A83D60" w14:textId="6B350DE2" w:rsidR="00A51BB4" w:rsidRPr="001627C7" w:rsidRDefault="00A51BB4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 order to ensure measurable and visible impact, two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-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thirds of the budget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is</w:t>
      </w:r>
      <w:r w:rsidR="002837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foreseen for the micro level, the remaining one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-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third for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meso</w:t>
      </w:r>
      <w:proofErr w:type="spellEnd"/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and macro levels.</w:t>
      </w:r>
    </w:p>
    <w:p w14:paraId="07775B9A" w14:textId="77777777" w:rsid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5EE40B63" w14:textId="77777777" w:rsid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6D95CDE6" w14:textId="77777777" w:rsid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2708D0D7" w14:textId="77777777" w:rsid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1BCD647F" w14:textId="77777777" w:rsidR="00085B29" w:rsidRDefault="0054173E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lastRenderedPageBreak/>
        <w:t>Rational</w:t>
      </w:r>
      <w:r w:rsidR="0051181D"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14:paraId="47EF9E10" w14:textId="77777777" w:rsidR="001627C7" w:rsidRPr="001627C7" w:rsidRDefault="001627C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31952E1C" w14:textId="08422754" w:rsidR="0022766A" w:rsidRPr="001627C7" w:rsidRDefault="0051181D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When s</w:t>
      </w:r>
      <w:r w:rsidR="0006686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triving for sustainable progress and prosperity, it has been clearly recognized that Moldova’s growth model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6686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be based on private sector-led job creation and higher productivity. </w:t>
      </w:r>
    </w:p>
    <w:p w14:paraId="4316B712" w14:textId="77777777" w:rsidR="0006686B" w:rsidRPr="001627C7" w:rsidRDefault="0006686B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597A11A4" w14:textId="211658E3" w:rsidR="00DC54C3" w:rsidRPr="001627C7" w:rsidRDefault="00AF2BE6" w:rsidP="001627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 spite of solid economic growth over the last ten years, t</w:t>
      </w:r>
      <w:r w:rsidR="009D4C43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he Moldovan economy does not provide enough attractive employment opportunities for its population. </w:t>
      </w:r>
      <w:r w:rsidR="000D423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312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official </w:t>
      </w:r>
      <w:r w:rsidR="000D423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unemployment rate stands at a relatively low value of </w:t>
      </w:r>
      <w:r w:rsidR="00DF312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4.0</w:t>
      </w:r>
      <w:r w:rsidR="000D423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percent (2016). A more telling figure is, however, the employment rate. It is calculated </w:t>
      </w:r>
      <w:r w:rsidR="000D423B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as the ratio of the employed to the working age population (persons aged between 15 and 64 years). Moldova’s employment rate stands at </w:t>
      </w:r>
      <w:r w:rsidR="006B51BA" w:rsidRPr="001627C7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0D423B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percent (201</w:t>
      </w:r>
      <w:r w:rsidR="006B51BA" w:rsidRPr="001627C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D423B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), compared to an EU average of </w:t>
      </w:r>
      <w:r w:rsidR="00FE4865" w:rsidRPr="001627C7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="000D423B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percent. </w:t>
      </w:r>
      <w:r w:rsidR="00F63E0D" w:rsidRPr="001627C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="000842AA" w:rsidRPr="001627C7">
        <w:rPr>
          <w:rFonts w:ascii="Times New Roman" w:hAnsi="Times New Roman" w:cs="Times New Roman"/>
          <w:sz w:val="24"/>
          <w:szCs w:val="24"/>
          <w:lang w:val="en-US"/>
        </w:rPr>
        <w:t>achieve a target employment rate of 65</w:t>
      </w:r>
      <w:r w:rsidR="0006686B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percent</w:t>
      </w:r>
      <w:r w:rsidR="000842AA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Moldova needs </w:t>
      </w:r>
      <w:r w:rsidR="00FE4865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490 thousand </w:t>
      </w:r>
      <w:r w:rsidR="0051181D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workplaces. </w:t>
      </w:r>
      <w:r w:rsidR="00DC54C3" w:rsidRPr="001627C7">
        <w:rPr>
          <w:rFonts w:ascii="Times New Roman" w:hAnsi="Times New Roman" w:cs="Times New Roman"/>
          <w:sz w:val="24"/>
          <w:szCs w:val="24"/>
          <w:lang w:val="en-US"/>
        </w:rPr>
        <w:t>This number of jobs would not only contribute to poverty reduction, but would also create</w:t>
      </w:r>
      <w:r w:rsidR="00BF41B7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4C3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an additional yearly tax and social security income of </w:t>
      </w:r>
      <w:r w:rsidR="00013F61" w:rsidRPr="001627C7">
        <w:rPr>
          <w:rFonts w:ascii="Times New Roman" w:hAnsi="Times New Roman" w:cs="Times New Roman"/>
          <w:sz w:val="24"/>
          <w:szCs w:val="24"/>
          <w:lang w:val="en-US"/>
        </w:rPr>
        <w:t>780 Million</w:t>
      </w:r>
      <w:r w:rsidR="00DC54C3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  <w:r w:rsidR="000842AA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(even if salaries were not to grow compared to today’s level)</w:t>
      </w:r>
      <w:r w:rsidR="00DC54C3" w:rsidRPr="001627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03B431" w14:textId="77777777" w:rsidR="00DC54C3" w:rsidRPr="001627C7" w:rsidRDefault="00DC54C3" w:rsidP="001627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24A00F" w14:textId="431C6639" w:rsidR="009F3FE8" w:rsidRPr="001627C7" w:rsidRDefault="0051181D" w:rsidP="001627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o create such a </w:t>
      </w:r>
      <w:r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large 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>amount of jobs in Moldova, a dynamic growth engine needs to be</w:t>
      </w:r>
      <w:r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established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. This engine needs to be fed by entrepreneurial initiative, local and foreign capital </w:t>
      </w:r>
      <w:r w:rsidR="00DC54C3" w:rsidRPr="001627C7">
        <w:rPr>
          <w:rFonts w:ascii="Times New Roman" w:hAnsi="Times New Roman" w:cs="Times New Roman"/>
          <w:sz w:val="24"/>
          <w:szCs w:val="24"/>
          <w:lang w:val="en-US"/>
        </w:rPr>
        <w:t>as well as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27C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31B5F" w:rsidRPr="001627C7">
        <w:rPr>
          <w:rFonts w:ascii="Times New Roman" w:hAnsi="Times New Roman" w:cs="Times New Roman"/>
          <w:sz w:val="24"/>
          <w:szCs w:val="24"/>
          <w:lang w:val="en-US"/>
        </w:rPr>
        <w:t>wid</w:t>
      </w:r>
      <w:r w:rsidR="000C39FF" w:rsidRPr="001627C7">
        <w:rPr>
          <w:rFonts w:ascii="Times New Roman" w:hAnsi="Times New Roman" w:cs="Times New Roman"/>
          <w:sz w:val="24"/>
          <w:szCs w:val="24"/>
          <w:lang w:val="en-US"/>
        </w:rPr>
        <w:t>espread technological progress.</w:t>
      </w:r>
      <w:r w:rsidR="000C39FF" w:rsidRPr="001627C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</w:p>
    <w:p w14:paraId="501D1446" w14:textId="77777777" w:rsidR="00531B5F" w:rsidRPr="001627C7" w:rsidRDefault="00531B5F" w:rsidP="001627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9F9D72" w14:textId="3FBC5000" w:rsidR="005B58EE" w:rsidRPr="001627C7" w:rsidRDefault="005B58EE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Productive employment opportunities are needed everywhere in the country. </w:t>
      </w:r>
      <w:r w:rsidR="009F3FE8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Looking at a poverty rate of 2.2 percent in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3FE8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large urban </w:t>
      </w:r>
      <w:proofErr w:type="spellStart"/>
      <w:r w:rsidR="006A67F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centres</w:t>
      </w:r>
      <w:proofErr w:type="spellEnd"/>
      <w:r w:rsidR="009F3FE8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compared to 16.4 percent in villages, additional income possibilities are even more necessary in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3FE8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rural areas.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Eight</w:t>
      </w:r>
      <w:r w:rsidR="009F3FE8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out of </w:t>
      </w:r>
      <w:r w:rsidR="0051181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ten</w:t>
      </w:r>
      <w:r w:rsidR="009F3FE8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poor people in Moldova live in the countryside. 72% of all tax receipts have been obtained in the cities of Chisinau and Balti </w:t>
      </w:r>
      <w:r w:rsidR="00FA20B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(2015)</w:t>
      </w:r>
      <w:r w:rsidR="009F3FE8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20B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On the other end of the scale, the 20 economically weakest </w:t>
      </w:r>
      <w:proofErr w:type="spellStart"/>
      <w:r w:rsidR="00FA20B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raions</w:t>
      </w:r>
      <w:proofErr w:type="spellEnd"/>
      <w:r w:rsidR="00FA20BC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are collecting less than 12% of the overall tax receipts. This situation signals large economic disparities, and a loss of opportunities for the people affected.</w:t>
      </w:r>
      <w:r w:rsidR="000C39FF" w:rsidRPr="001627C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"/>
      </w:r>
    </w:p>
    <w:p w14:paraId="3467D3FD" w14:textId="77777777" w:rsidR="005B58EE" w:rsidRPr="001627C7" w:rsidRDefault="005B58EE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03733ABC" w14:textId="6A25D1D4" w:rsidR="009E0527" w:rsidRDefault="009E0527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Objective</w:t>
      </w:r>
    </w:p>
    <w:p w14:paraId="77658E40" w14:textId="77777777" w:rsidR="001627C7" w:rsidRPr="001627C7" w:rsidRDefault="001627C7" w:rsidP="001627C7">
      <w:pPr>
        <w:jc w:val="center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76A0F42B" w14:textId="338A81E8" w:rsidR="009E0527" w:rsidRPr="001627C7" w:rsidRDefault="00BE573B" w:rsidP="001627C7">
      <w:pPr>
        <w:tabs>
          <w:tab w:val="left" w:pos="1575"/>
        </w:tabs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overall objective of the </w:t>
      </w:r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proposed measures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increase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creation of </w:t>
      </w:r>
      <w:r w:rsidR="0054173E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more and better jobs in </w:t>
      </w:r>
      <w:r w:rsidR="009E0527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companies situated in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all</w:t>
      </w:r>
      <w:r w:rsidR="009E0527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regions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of Moldova</w:t>
      </w:r>
      <w:r w:rsidR="009E0527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.</w:t>
      </w:r>
    </w:p>
    <w:p w14:paraId="17C40677" w14:textId="77777777" w:rsidR="009E0527" w:rsidRPr="001627C7" w:rsidRDefault="009E0527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5638CBFC" w14:textId="77777777" w:rsidR="00EF5014" w:rsidRPr="001627C7" w:rsidRDefault="00EF5014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Scope</w:t>
      </w:r>
    </w:p>
    <w:p w14:paraId="5BF66AB2" w14:textId="77777777" w:rsidR="00837AE6" w:rsidRPr="001627C7" w:rsidRDefault="000C39FF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interventions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8D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aiming at:</w:t>
      </w:r>
    </w:p>
    <w:p w14:paraId="17681AF0" w14:textId="77777777" w:rsidR="00837AE6" w:rsidRPr="001627C7" w:rsidRDefault="000C39FF" w:rsidP="001627C7">
      <w:pPr>
        <w:pStyle w:val="ListParagraph"/>
        <w:numPr>
          <w:ilvl w:val="0"/>
          <w:numId w:val="28"/>
        </w:numPr>
        <w:ind w:left="0" w:firstLine="284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Capacitating</w:t>
      </w:r>
      <w:r w:rsidR="00837AE6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C2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Moldovan SME</w:t>
      </w:r>
      <w:r w:rsidR="00BE573B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s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by</w:t>
      </w:r>
    </w:p>
    <w:p w14:paraId="0FDE2EB9" w14:textId="77777777" w:rsidR="00D67BC2" w:rsidRPr="001627C7" w:rsidRDefault="00D67BC2" w:rsidP="001627C7">
      <w:pPr>
        <w:pStyle w:val="ListParagraph"/>
        <w:numPr>
          <w:ilvl w:val="1"/>
          <w:numId w:val="29"/>
        </w:numPr>
        <w:tabs>
          <w:tab w:val="left" w:pos="709"/>
        </w:tabs>
        <w:ind w:left="284" w:firstLine="284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Introduction of new technologies, quality standards, process standards</w:t>
      </w:r>
      <w:r w:rsidR="00537EF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,</w:t>
      </w:r>
    </w:p>
    <w:p w14:paraId="59B33843" w14:textId="77777777" w:rsidR="00BE573B" w:rsidRPr="001627C7" w:rsidRDefault="00BE573B" w:rsidP="001627C7">
      <w:pPr>
        <w:pStyle w:val="ListParagraph"/>
        <w:numPr>
          <w:ilvl w:val="1"/>
          <w:numId w:val="29"/>
        </w:numPr>
        <w:tabs>
          <w:tab w:val="left" w:pos="709"/>
        </w:tabs>
        <w:ind w:left="284" w:firstLine="284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Reach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ing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out to new markets</w:t>
      </w:r>
      <w:r w:rsidR="00537EF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,</w:t>
      </w:r>
    </w:p>
    <w:p w14:paraId="4B824000" w14:textId="77777777" w:rsidR="000C39FF" w:rsidRPr="001627C7" w:rsidRDefault="00FB74AC" w:rsidP="001627C7">
      <w:pPr>
        <w:pStyle w:val="ListParagraph"/>
        <w:numPr>
          <w:ilvl w:val="1"/>
          <w:numId w:val="29"/>
        </w:numPr>
        <w:tabs>
          <w:tab w:val="left" w:pos="709"/>
        </w:tabs>
        <w:ind w:left="284" w:firstLine="284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Increasing their share in the local market</w:t>
      </w:r>
      <w:r w:rsidR="00537EF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.</w:t>
      </w:r>
    </w:p>
    <w:p w14:paraId="5EDE1BC9" w14:textId="77777777" w:rsidR="00244CBE" w:rsidRPr="001627C7" w:rsidRDefault="00244CBE" w:rsidP="001627C7">
      <w:pPr>
        <w:pStyle w:val="ListParagraph"/>
        <w:numPr>
          <w:ilvl w:val="0"/>
          <w:numId w:val="28"/>
        </w:numPr>
        <w:ind w:left="0" w:firstLine="284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Encourag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ing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DF1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creation of new SME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s</w:t>
      </w:r>
      <w:r w:rsidR="00537EF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;</w:t>
      </w:r>
    </w:p>
    <w:p w14:paraId="09DCDB6B" w14:textId="77777777" w:rsidR="00837AE6" w:rsidRPr="001627C7" w:rsidRDefault="00837AE6" w:rsidP="001627C7">
      <w:pPr>
        <w:pStyle w:val="ListParagraph"/>
        <w:numPr>
          <w:ilvl w:val="0"/>
          <w:numId w:val="28"/>
        </w:numPr>
        <w:ind w:left="0" w:firstLine="284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Attract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ing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domestic</w:t>
      </w:r>
      <w:r w:rsidR="00D67BC2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and foreign investment in all regions of the country</w:t>
      </w:r>
      <w:r w:rsidR="0054173E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, mostly in tradable sectors</w:t>
      </w:r>
      <w:r w:rsidR="00537EF0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;</w:t>
      </w:r>
    </w:p>
    <w:p w14:paraId="78DA52D6" w14:textId="63A67C04" w:rsidR="0019541F" w:rsidRPr="001627C7" w:rsidRDefault="0054173E" w:rsidP="001627C7">
      <w:pPr>
        <w:pStyle w:val="ListParagraph"/>
        <w:numPr>
          <w:ilvl w:val="0"/>
          <w:numId w:val="28"/>
        </w:numPr>
        <w:ind w:left="0"/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F</w:t>
      </w:r>
      <w:r w:rsidR="00D67BC2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ully harness</w:t>
      </w:r>
      <w:r w:rsidR="00EF5014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ing</w:t>
      </w:r>
      <w:r w:rsidR="00D67BC2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9FF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opportunities 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offered by the </w:t>
      </w:r>
      <w:r w:rsidR="0019541F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DCFTA </w:t>
      </w:r>
      <w:r w:rsidR="00D67BC2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and other FTA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s</w:t>
      </w:r>
      <w:r w:rsidR="00D67BC2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.</w:t>
      </w:r>
    </w:p>
    <w:p w14:paraId="6AA8DA12" w14:textId="77777777" w:rsidR="00837AE6" w:rsidRPr="001627C7" w:rsidRDefault="00837AE6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0901DEAB" w14:textId="77777777" w:rsidR="001627C7" w:rsidRDefault="001627C7" w:rsidP="001627C7">
      <w:pPr>
        <w:tabs>
          <w:tab w:val="left" w:pos="1575"/>
        </w:tabs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27C7F0AF" w14:textId="77777777" w:rsidR="001627C7" w:rsidRDefault="001627C7" w:rsidP="001627C7">
      <w:pPr>
        <w:tabs>
          <w:tab w:val="left" w:pos="1575"/>
        </w:tabs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6AC2C7F7" w14:textId="77777777" w:rsidR="009E0527" w:rsidRDefault="009E0527" w:rsidP="001627C7">
      <w:pPr>
        <w:tabs>
          <w:tab w:val="left" w:pos="1575"/>
        </w:tabs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Target Groups</w:t>
      </w:r>
    </w:p>
    <w:p w14:paraId="0E0F3027" w14:textId="77777777" w:rsidR="001627C7" w:rsidRPr="001627C7" w:rsidRDefault="001627C7" w:rsidP="001627C7">
      <w:pPr>
        <w:tabs>
          <w:tab w:val="left" w:pos="1575"/>
        </w:tabs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14:paraId="4D7E505B" w14:textId="6EBE9DA3" w:rsidR="009E0527" w:rsidRPr="001627C7" w:rsidRDefault="009E0527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Citizens of the Republic of Moldova</w:t>
      </w:r>
      <w:r w:rsidR="0019541F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, with a special focus on those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who currently live in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region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s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outside Chisinau, or 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want to move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back from abroad</w:t>
      </w:r>
      <w:r w:rsidR="0036327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to their home town/village.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Both SME owners and employees will </w:t>
      </w:r>
      <w:r w:rsidR="0054173E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benefit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from higher competitiveness which is a pre-condition for </w:t>
      </w:r>
      <w:r w:rsidR="0086464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new</w:t>
      </w:r>
      <w:r w:rsidR="000C39FF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BE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job creation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, job security and </w:t>
      </w:r>
      <w:r w:rsidR="00864649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higher</w:t>
      </w:r>
      <w:r w:rsidR="000C39FF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salaries.</w:t>
      </w:r>
    </w:p>
    <w:p w14:paraId="01DD960B" w14:textId="77777777" w:rsidR="001A58DD" w:rsidRPr="001627C7" w:rsidRDefault="001A58DD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2CD1D573" w14:textId="77777777" w:rsidR="008A2AA2" w:rsidRPr="001627C7" w:rsidRDefault="008A2AA2" w:rsidP="001627C7">
      <w:pPr>
        <w:jc w:val="center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Expected Results</w:t>
      </w:r>
    </w:p>
    <w:p w14:paraId="08F67220" w14:textId="77777777" w:rsidR="008A2AA2" w:rsidRPr="001627C7" w:rsidRDefault="008A2AA2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7184FBD5" w14:textId="77777777" w:rsidR="001A58DD" w:rsidRPr="001627C7" w:rsidRDefault="008A2AA2" w:rsidP="001627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The expected results are to be cumulatively reached by 2023. The underlying assumption is that 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the 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development assistance from the programming period 2017–2019 </w:t>
      </w:r>
      <w:r w:rsidR="00023BED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could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 actually be </w:t>
      </w:r>
      <w:proofErr w:type="spellStart"/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mobilised</w:t>
      </w:r>
      <w:proofErr w:type="spellEnd"/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 only as early as late 2018. </w:t>
      </w:r>
    </w:p>
    <w:p w14:paraId="15BDFBCA" w14:textId="77777777" w:rsidR="001A58DD" w:rsidRPr="001627C7" w:rsidRDefault="001A58DD" w:rsidP="001627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</w:p>
    <w:p w14:paraId="34712CF4" w14:textId="53C3D7A8" w:rsidR="008A2AA2" w:rsidRPr="001627C7" w:rsidRDefault="008A2AA2" w:rsidP="001627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It is further assumed that on 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the 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average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, one job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 can be created by technical and financial assistance 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with a 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combined worth of 1250 EUR. This figure is a result of an estimation based on previous experience in Moldova and on international figures for job creation incentives.</w:t>
      </w:r>
    </w:p>
    <w:p w14:paraId="74D66BCC" w14:textId="77777777" w:rsidR="001A58DD" w:rsidRPr="001627C7" w:rsidRDefault="001A58DD" w:rsidP="001627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</w:p>
    <w:p w14:paraId="60F2652C" w14:textId="1B352000" w:rsidR="001A58DD" w:rsidRPr="001627C7" w:rsidRDefault="001A58DD" w:rsidP="001627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Expected results are defined for additional jobs created, increase in GDP and exports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:</w:t>
      </w:r>
    </w:p>
    <w:p w14:paraId="4E2030C2" w14:textId="77777777" w:rsidR="008A2AA2" w:rsidRPr="001627C7" w:rsidRDefault="008A2AA2" w:rsidP="001627C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FB7245" w14:textId="60195CEA" w:rsidR="008A2AA2" w:rsidRPr="001627C7" w:rsidRDefault="001A58DD" w:rsidP="001627C7">
      <w:pPr>
        <w:pStyle w:val="ListParagraph"/>
        <w:numPr>
          <w:ilvl w:val="0"/>
          <w:numId w:val="27"/>
        </w:numPr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T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he 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proposed 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measures will 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create 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80,000 additional jobs. This number 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is in addition to 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what the economy in general will create without additional intervention. </w:t>
      </w:r>
    </w:p>
    <w:p w14:paraId="205B9B35" w14:textId="480E70B2" w:rsidR="008A2AA2" w:rsidRPr="001627C7" w:rsidRDefault="001A58DD" w:rsidP="001627C7">
      <w:pPr>
        <w:pStyle w:val="ListParagraph"/>
        <w:numPr>
          <w:ilvl w:val="0"/>
          <w:numId w:val="27"/>
        </w:numPr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T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he yearly GDP of Moldova </w:t>
      </w: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will increase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 gradually by 400 million EUR compared to the baseline (which equals 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the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 GDP development without additional intervention).</w:t>
      </w:r>
    </w:p>
    <w:p w14:paraId="755E076F" w14:textId="2500A689" w:rsidR="008A2AA2" w:rsidRPr="001627C7" w:rsidRDefault="001A58DD" w:rsidP="001627C7">
      <w:pPr>
        <w:pStyle w:val="ListParagraph"/>
        <w:numPr>
          <w:ilvl w:val="0"/>
          <w:numId w:val="27"/>
        </w:numPr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</w:pPr>
      <w:r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E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xports of Moldova will have increased by 200 million EUR p</w:t>
      </w:r>
      <w:r w:rsidR="00363279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>er annum,</w:t>
      </w:r>
      <w:r w:rsidR="008A2AA2" w:rsidRPr="001627C7">
        <w:rPr>
          <w:rFonts w:ascii="Times New Roman" w:hAnsi="Times New Roman" w:cs="Times New Roman"/>
          <w:color w:val="000000"/>
          <w:sz w:val="24"/>
          <w:szCs w:val="24"/>
          <w:lang w:val="en-US" w:eastAsia="de-DE"/>
        </w:rPr>
        <w:t xml:space="preserve"> compared to the baseline (provided that the additional jobs created have an above-average export propensity). </w:t>
      </w:r>
    </w:p>
    <w:p w14:paraId="33501C98" w14:textId="77777777" w:rsidR="004C39AA" w:rsidRPr="001627C7" w:rsidRDefault="004C39AA" w:rsidP="001627C7">
      <w:pPr>
        <w:ind w:firstLine="426"/>
        <w:jc w:val="both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365C305" w14:textId="77777777" w:rsidR="004C39AA" w:rsidRPr="001627C7" w:rsidRDefault="004C39AA" w:rsidP="001627C7">
      <w:pPr>
        <w:jc w:val="both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sectPr w:rsidR="004C39AA" w:rsidRPr="001627C7" w:rsidSect="001627C7">
          <w:headerReference w:type="default" r:id="rId9"/>
          <w:pgSz w:w="11906" w:h="16838" w:code="9"/>
          <w:pgMar w:top="-568" w:right="1418" w:bottom="567" w:left="1418" w:header="425" w:footer="567" w:gutter="0"/>
          <w:cols w:space="708"/>
          <w:docGrid w:linePitch="360"/>
        </w:sectPr>
      </w:pPr>
    </w:p>
    <w:p w14:paraId="11F75B74" w14:textId="77777777" w:rsidR="002E5FF7" w:rsidRPr="001627C7" w:rsidRDefault="002E5FF7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4237"/>
        <w:gridCol w:w="6873"/>
        <w:gridCol w:w="1190"/>
      </w:tblGrid>
      <w:tr w:rsidR="005E03B8" w:rsidRPr="001627C7" w14:paraId="674EAA03" w14:textId="77777777" w:rsidTr="001627C7">
        <w:tc>
          <w:tcPr>
            <w:tcW w:w="2060" w:type="dxa"/>
          </w:tcPr>
          <w:p w14:paraId="597C334D" w14:textId="77777777" w:rsidR="005E03B8" w:rsidRPr="001627C7" w:rsidRDefault="00864649" w:rsidP="001627C7">
            <w:pPr>
              <w:jc w:val="center"/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t>Level</w:t>
            </w:r>
          </w:p>
        </w:tc>
        <w:tc>
          <w:tcPr>
            <w:tcW w:w="4237" w:type="dxa"/>
          </w:tcPr>
          <w:p w14:paraId="0CC8F9BA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t>Measures</w:t>
            </w:r>
          </w:p>
        </w:tc>
        <w:tc>
          <w:tcPr>
            <w:tcW w:w="6873" w:type="dxa"/>
          </w:tcPr>
          <w:p w14:paraId="15210580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190" w:type="dxa"/>
          </w:tcPr>
          <w:p w14:paraId="2EDCCA6E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t>Tentative budget</w:t>
            </w:r>
          </w:p>
        </w:tc>
      </w:tr>
      <w:tr w:rsidR="001627C7" w:rsidRPr="001627C7" w14:paraId="410C9301" w14:textId="77777777" w:rsidTr="00840C18">
        <w:tc>
          <w:tcPr>
            <w:tcW w:w="14360" w:type="dxa"/>
            <w:gridSpan w:val="4"/>
          </w:tcPr>
          <w:p w14:paraId="6AA09BD8" w14:textId="77777777" w:rsidR="001627C7" w:rsidRPr="001627C7" w:rsidRDefault="001627C7" w:rsidP="001627C7">
            <w:pPr>
              <w:jc w:val="both"/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t>Macro</w:t>
            </w:r>
          </w:p>
          <w:p w14:paraId="78110C2A" w14:textId="37F91B7F" w:rsidR="001627C7" w:rsidRPr="001627C7" w:rsidRDefault="001627C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Mio. EUR</w:t>
            </w:r>
          </w:p>
        </w:tc>
      </w:tr>
      <w:tr w:rsidR="005E03B8" w:rsidRPr="001627C7" w14:paraId="65A07967" w14:textId="77777777" w:rsidTr="001627C7">
        <w:tc>
          <w:tcPr>
            <w:tcW w:w="2060" w:type="dxa"/>
          </w:tcPr>
          <w:p w14:paraId="1A706EFF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Trade</w:t>
            </w:r>
          </w:p>
          <w:p w14:paraId="665EFA1C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4ADFD54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DC74B5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0175FA88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Implementation of DCFTA </w:t>
            </w:r>
            <w:r w:rsidR="00BB00B4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and other FTA</w:t>
            </w:r>
            <w:r w:rsidR="00363279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14:paraId="2618DE6B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3198363" w14:textId="77777777" w:rsidR="005E03B8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Relaunch of trade relations with the Russian Federation - traditional market for RM</w:t>
            </w:r>
          </w:p>
          <w:p w14:paraId="24D22F77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73B6CB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Implementation of the WTO Trade Facilitation Agreement</w:t>
            </w:r>
          </w:p>
          <w:p w14:paraId="283861AD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607F677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86EF6F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9C605C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Develop Integrated Diplomacy </w:t>
            </w:r>
          </w:p>
          <w:p w14:paraId="4B298249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73" w:type="dxa"/>
          </w:tcPr>
          <w:p w14:paraId="127814B2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Adopt legislation and promote implementation with focus on exports in priority sectors/sub-sectors</w:t>
            </w:r>
          </w:p>
          <w:p w14:paraId="23BEB2E7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Involve Business support organizations to facilitate implementation</w:t>
            </w:r>
          </w:p>
          <w:p w14:paraId="65E21145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BD7D9A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88483F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Establish a coordination structure with participation of private sector; In cooperation with Customs and other relevant agencies promote simplification of procedures on and behind the border</w:t>
            </w:r>
          </w:p>
          <w:p w14:paraId="134887C9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08DD6E6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C7A2E31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Establish permanent coordination </w:t>
            </w:r>
            <w:r w:rsidR="00BB00B4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between </w:t>
            </w:r>
            <w:proofErr w:type="spellStart"/>
            <w:r w:rsidR="00BB00B4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MoE</w:t>
            </w:r>
            <w:proofErr w:type="spellEnd"/>
            <w:r w:rsidR="00BB00B4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MFA</w:t>
            </w:r>
          </w:p>
          <w:p w14:paraId="364AD236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Ensure training of diplomats and introduce information exchange MIEPO-embassies</w:t>
            </w:r>
          </w:p>
        </w:tc>
        <w:tc>
          <w:tcPr>
            <w:tcW w:w="1190" w:type="dxa"/>
          </w:tcPr>
          <w:p w14:paraId="6F6F353C" w14:textId="14A47966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185A33EA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78647E3" w14:textId="04D2011F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5580ABED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50827B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AA8B4A" w14:textId="13AAA1EB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CAE7139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3A5B4B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8CD1FF1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4F3646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1C71C" w14:textId="1F97337C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5E03B8" w:rsidRPr="001627C7" w14:paraId="21F3EE98" w14:textId="77777777" w:rsidTr="001627C7">
        <w:tc>
          <w:tcPr>
            <w:tcW w:w="2060" w:type="dxa"/>
          </w:tcPr>
          <w:p w14:paraId="585E52C9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Quality Infrastructure</w:t>
            </w:r>
          </w:p>
          <w:p w14:paraId="359AD837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657EBD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20BBDA73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Complete institutional and legal framework</w:t>
            </w:r>
          </w:p>
          <w:p w14:paraId="61B833AF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2A3AC78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C1C6704" w14:textId="77777777" w:rsidR="005E03B8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Ensure implementation</w:t>
            </w:r>
          </w:p>
        </w:tc>
        <w:tc>
          <w:tcPr>
            <w:tcW w:w="6873" w:type="dxa"/>
          </w:tcPr>
          <w:p w14:paraId="38A8BBD3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Adopt legislation, develop institutional capacity and equip laboratories most relevant to exports in priority sectors/sub-sectors</w:t>
            </w:r>
          </w:p>
          <w:p w14:paraId="3C3A7069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F72F0F" w14:textId="54E4FB9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Build capacity of B</w:t>
            </w:r>
            <w:r w:rsidR="00440C3C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usiness Support Organizations (BSO)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SOs to facilitate adoption of standards and certification</w:t>
            </w:r>
          </w:p>
          <w:p w14:paraId="2DD50DCB" w14:textId="77777777" w:rsidR="000D5E99" w:rsidRPr="001627C7" w:rsidRDefault="000D5E99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14:paraId="617EF930" w14:textId="069ECC74" w:rsidR="005E03B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5F2A9B79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9B6686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4B8D5EE" w14:textId="15163EA8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  <w:tr w:rsidR="005E03B8" w:rsidRPr="001627C7" w14:paraId="4C0AD332" w14:textId="77777777" w:rsidTr="001627C7">
        <w:tc>
          <w:tcPr>
            <w:tcW w:w="2060" w:type="dxa"/>
          </w:tcPr>
          <w:p w14:paraId="26150813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Business climate</w:t>
            </w:r>
          </w:p>
          <w:p w14:paraId="0FE385FD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980085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3058BE57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Combat red-tape </w:t>
            </w:r>
          </w:p>
          <w:p w14:paraId="578AE925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1F0C9B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3359D2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6099A04" w14:textId="77777777" w:rsidR="005E03B8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Ensure consumer protection</w:t>
            </w:r>
          </w:p>
        </w:tc>
        <w:tc>
          <w:tcPr>
            <w:tcW w:w="6873" w:type="dxa"/>
          </w:tcPr>
          <w:p w14:paraId="7966654A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Continue with regulatory reform and one-stop-shop agenda in permanent consultation with private sector</w:t>
            </w:r>
          </w:p>
          <w:p w14:paraId="6848BFEA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9F773E9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268DCF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Build capacity with focus of market surveillance on product safety and consumer protection</w:t>
            </w:r>
          </w:p>
        </w:tc>
        <w:tc>
          <w:tcPr>
            <w:tcW w:w="1190" w:type="dxa"/>
          </w:tcPr>
          <w:p w14:paraId="231B01B6" w14:textId="116E7592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5E1D6FD8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588B4F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1E52760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F2440E6" w14:textId="55A120E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5CDAAC24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27C7" w:rsidRPr="001627C7" w14:paraId="7CB64252" w14:textId="77777777" w:rsidTr="009013CB">
        <w:tc>
          <w:tcPr>
            <w:tcW w:w="14360" w:type="dxa"/>
            <w:gridSpan w:val="4"/>
          </w:tcPr>
          <w:p w14:paraId="44BC091C" w14:textId="195DB0D6" w:rsidR="001627C7" w:rsidRPr="001627C7" w:rsidRDefault="001627C7" w:rsidP="001627C7">
            <w:pP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Meso</w:t>
            </w:r>
            <w:proofErr w:type="spellEnd"/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463A1" w:rsidRPr="001627C7" w14:paraId="5199D0E6" w14:textId="77777777" w:rsidTr="001627C7">
        <w:tc>
          <w:tcPr>
            <w:tcW w:w="2060" w:type="dxa"/>
          </w:tcPr>
          <w:p w14:paraId="771B4B1B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Entrepreneurial Infrastructure</w:t>
            </w:r>
          </w:p>
        </w:tc>
        <w:tc>
          <w:tcPr>
            <w:tcW w:w="4237" w:type="dxa"/>
          </w:tcPr>
          <w:p w14:paraId="448C1578" w14:textId="77777777" w:rsidR="00A463A1" w:rsidRDefault="00BB00B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Develop</w:t>
            </w:r>
            <w:r w:rsidR="00A463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2783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Entrepreneurial Infrastructure </w:t>
            </w:r>
            <w:r w:rsidR="00A463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to support economic development in all regions</w:t>
            </w:r>
          </w:p>
          <w:p w14:paraId="4D206CFE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002224A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CEA5ECE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43CA4B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1B487B2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C69973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F985D3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8FE092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A710B0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380D00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578367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A7BDA6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58EE6C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1D4CCF" w14:textId="6EBF5D34" w:rsidR="00067ED6" w:rsidRPr="001627C7" w:rsidRDefault="00067ED6" w:rsidP="001627C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Improve the investment readiness and </w:t>
            </w: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training of SMEs in financial management</w:t>
            </w:r>
          </w:p>
        </w:tc>
        <w:tc>
          <w:tcPr>
            <w:tcW w:w="6873" w:type="dxa"/>
          </w:tcPr>
          <w:p w14:paraId="181880BC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Assess existing </w:t>
            </w:r>
            <w:r w:rsidR="00022783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Entrepreneurial Infrastructure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2783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(including business support institutions)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against economic potential of respective regions, taking into account knowledge and physical infrastructure, </w:t>
            </w:r>
            <w:proofErr w:type="spellStart"/>
            <w:r w:rsidR="00FB26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labour</w:t>
            </w:r>
            <w:proofErr w:type="spellEnd"/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availability and migration trends; Define optimal </w:t>
            </w:r>
            <w:r w:rsidR="00022783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Entrepreneurial Infrastructure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in coordination with regional development strategies</w:t>
            </w:r>
          </w:p>
          <w:p w14:paraId="7F0F768C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F43D94A" w14:textId="77777777" w:rsidR="00A463A1" w:rsidRPr="001627C7" w:rsidRDefault="006D17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Regionalize</w:t>
            </w:r>
            <w:r w:rsidR="00A463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SME development support structures </w:t>
            </w:r>
          </w:p>
          <w:p w14:paraId="38F3AC3F" w14:textId="77777777" w:rsidR="00A463A1" w:rsidRPr="001627C7" w:rsidRDefault="00A463A1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723C7D9" w14:textId="77777777" w:rsidR="00A463A1" w:rsidRPr="001627C7" w:rsidRDefault="00BB00B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Enhance</w:t>
            </w:r>
            <w:r w:rsidR="00A463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capacity of </w:t>
            </w:r>
            <w:r w:rsidR="00022783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Entrepreneurial Infrastructure</w:t>
            </w:r>
            <w:r w:rsidR="00A463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to support business</w:t>
            </w:r>
            <w:r w:rsidR="00022783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(especially high-value adding Business Development Services with potential for cost </w:t>
            </w:r>
            <w:r w:rsidR="00EA6F92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reduction and efficiency gains)</w:t>
            </w:r>
          </w:p>
          <w:p w14:paraId="32B6BD4E" w14:textId="475CC329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-Mapping of existing Entrepreneurial Infrastructure (including business support institutions)</w:t>
            </w:r>
          </w:p>
          <w:p w14:paraId="6B44DA7D" w14:textId="77777777" w:rsidR="00FC0C56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-Elaborating a feasibility study of economic potential of </w:t>
            </w:r>
            <w:r w:rsidR="00440C3C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regions</w:t>
            </w:r>
            <w:r w:rsidR="00067ED6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C8E92E3" w14:textId="77777777" w:rsidR="00067ED6" w:rsidRDefault="00067ED6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7EDA6E" w14:textId="77777777" w:rsidR="00067ED6" w:rsidRPr="001627C7" w:rsidRDefault="00067ED6" w:rsidP="00067ED6">
            <w:pPr>
              <w:widowControl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</w:pPr>
            <w:r w:rsidRPr="001627C7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>Develop and implement programs to enhance financial literacy of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r w:rsidRPr="001627C7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 xml:space="preserve">SMEs </w:t>
            </w:r>
          </w:p>
          <w:p w14:paraId="51EB0025" w14:textId="058A4EAE" w:rsidR="00067ED6" w:rsidRPr="001627C7" w:rsidRDefault="00067ED6" w:rsidP="001627C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14:paraId="3F716AFA" w14:textId="197BC4E6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D21C2FF" w14:textId="77777777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42AA19" w14:textId="77777777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84457D" w14:textId="77777777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6AC666" w14:textId="77777777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B49DF70" w14:textId="77777777" w:rsidR="00EA6F92" w:rsidRPr="001627C7" w:rsidRDefault="00EA6F92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C0DC839" w14:textId="1A7EDB8E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07C6E1FE" w14:textId="77777777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3D871FC" w14:textId="0FB989FD" w:rsidR="00A463A1" w:rsidRPr="001627C7" w:rsidRDefault="00A463A1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  <w:tr w:rsidR="005E03B8" w:rsidRPr="001627C7" w14:paraId="46D09069" w14:textId="77777777" w:rsidTr="001627C7">
        <w:tc>
          <w:tcPr>
            <w:tcW w:w="2060" w:type="dxa"/>
          </w:tcPr>
          <w:p w14:paraId="14EFE73E" w14:textId="64A60201" w:rsidR="005E03B8" w:rsidRPr="001627C7" w:rsidRDefault="006D17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</w:p>
          <w:p w14:paraId="5286E746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C6359A6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72FA64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37" w:type="dxa"/>
          </w:tcPr>
          <w:p w14:paraId="17FC93F0" w14:textId="77777777" w:rsidR="005E03B8" w:rsidRPr="001627C7" w:rsidRDefault="006D17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Develop vocational education</w:t>
            </w:r>
          </w:p>
          <w:p w14:paraId="4FC42E36" w14:textId="77777777" w:rsidR="006D1758" w:rsidRPr="001627C7" w:rsidRDefault="006D17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42DA728" w14:textId="77777777" w:rsidR="006D1758" w:rsidRDefault="006D17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4D9454" w14:textId="77777777" w:rsidR="004A5642" w:rsidRDefault="004A5642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D40667C" w14:textId="77777777" w:rsidR="004A5642" w:rsidRDefault="004A5642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5619A9" w14:textId="77777777" w:rsidR="004A5642" w:rsidRDefault="004A5642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233C76" w14:textId="77777777" w:rsidR="004A5642" w:rsidRDefault="004A5642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CC902E" w14:textId="77777777" w:rsidR="004A5642" w:rsidRPr="001627C7" w:rsidRDefault="004A5642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67285B1" w14:textId="77777777" w:rsidR="006D1758" w:rsidRPr="001627C7" w:rsidRDefault="006D17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Adjust tertiary education to the need of priority sectors</w:t>
            </w:r>
          </w:p>
        </w:tc>
        <w:tc>
          <w:tcPr>
            <w:tcW w:w="6873" w:type="dxa"/>
          </w:tcPr>
          <w:p w14:paraId="027FC12E" w14:textId="6A484F04" w:rsidR="006D1758" w:rsidRDefault="000F69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Update</w:t>
            </w:r>
            <w:r w:rsidR="006D1758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occupational standards and corresponding curricula in permanent inter-ministerial coordination economy-</w:t>
            </w:r>
            <w:proofErr w:type="spellStart"/>
            <w:r w:rsidR="00FB26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labour</w:t>
            </w:r>
            <w:proofErr w:type="spellEnd"/>
            <w:r w:rsidR="00067ED6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-education and organization of advanced trainings of lifelong learning (LLL) for unemployed people.</w:t>
            </w:r>
          </w:p>
          <w:p w14:paraId="7AA86235" w14:textId="77777777" w:rsidR="004A5642" w:rsidRDefault="004A5642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C3F107" w14:textId="421F2708" w:rsidR="004A5642" w:rsidRPr="001627C7" w:rsidRDefault="004A5642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Development of manuals and instructions as well as partnerships between educational institutions and business for student internships.</w:t>
            </w:r>
          </w:p>
          <w:p w14:paraId="7A22A812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E96BABF" w14:textId="77777777" w:rsidR="006D1758" w:rsidRPr="001627C7" w:rsidRDefault="006D17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Prioritize implementation aiming at priority sectors</w:t>
            </w:r>
          </w:p>
          <w:p w14:paraId="1786F3B3" w14:textId="77777777" w:rsidR="0071638B" w:rsidRPr="001627C7" w:rsidRDefault="0071638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F3FEA5A" w14:textId="77777777" w:rsidR="0071638B" w:rsidRPr="001627C7" w:rsidRDefault="0071638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Organization of training courses for SMEs on specific management systems standards: Quality management system, Food safety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management, Risk management, Energy management system, Information security management system in order to promote the implementation of these standards.</w:t>
            </w:r>
          </w:p>
        </w:tc>
        <w:tc>
          <w:tcPr>
            <w:tcW w:w="1190" w:type="dxa"/>
          </w:tcPr>
          <w:p w14:paraId="420E4DBF" w14:textId="5BEF799D" w:rsidR="005E03B8" w:rsidRPr="001627C7" w:rsidRDefault="006D175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39C96411" w14:textId="77777777" w:rsidR="006D1758" w:rsidRPr="001627C7" w:rsidRDefault="006D175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10A52E" w14:textId="77777777" w:rsidR="006D1758" w:rsidRPr="001627C7" w:rsidRDefault="006D175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DE113" w14:textId="0D19598D" w:rsidR="006D175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  <w:tr w:rsidR="005E03B8" w:rsidRPr="001627C7" w14:paraId="5367EB90" w14:textId="77777777" w:rsidTr="001627C7">
        <w:tc>
          <w:tcPr>
            <w:tcW w:w="2060" w:type="dxa"/>
          </w:tcPr>
          <w:p w14:paraId="4A40E54F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Innovation</w:t>
            </w:r>
          </w:p>
        </w:tc>
        <w:tc>
          <w:tcPr>
            <w:tcW w:w="4237" w:type="dxa"/>
          </w:tcPr>
          <w:p w14:paraId="36A9E762" w14:textId="77777777" w:rsidR="005E03B8" w:rsidRPr="001627C7" w:rsidRDefault="00C4183C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Promote innovation and technology transfer</w:t>
            </w:r>
          </w:p>
        </w:tc>
        <w:tc>
          <w:tcPr>
            <w:tcW w:w="6873" w:type="dxa"/>
          </w:tcPr>
          <w:p w14:paraId="2F1E72B8" w14:textId="77777777" w:rsidR="00C4183C" w:rsidRPr="001627C7" w:rsidRDefault="00C4183C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Implement new legal and institutional set up of R&amp;D and Innovation; Assess commercialization potential of existing capacities; Assess needs/potential of private sector, including FDIs</w:t>
            </w:r>
          </w:p>
          <w:p w14:paraId="3E23C7B3" w14:textId="77777777" w:rsidR="00C4183C" w:rsidRPr="001627C7" w:rsidRDefault="00C4183C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B0E31C" w14:textId="77777777" w:rsidR="005E03B8" w:rsidRPr="001627C7" w:rsidRDefault="00C4183C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Develop and implement schemes promoting cooperation of R&amp;D with private sector</w:t>
            </w:r>
          </w:p>
        </w:tc>
        <w:tc>
          <w:tcPr>
            <w:tcW w:w="1190" w:type="dxa"/>
          </w:tcPr>
          <w:p w14:paraId="06059526" w14:textId="208D1DB6" w:rsidR="005E03B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1F377C8B" w14:textId="77777777" w:rsidR="00C4183C" w:rsidRPr="001627C7" w:rsidRDefault="00C4183C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B19AA4" w14:textId="77777777" w:rsidR="00C4183C" w:rsidRPr="001627C7" w:rsidRDefault="00C4183C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E865D9E" w14:textId="77777777" w:rsidR="00C4183C" w:rsidRPr="001627C7" w:rsidRDefault="00C4183C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3C260A6" w14:textId="60B99E64" w:rsidR="00C4183C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430289A9" w14:textId="77777777" w:rsidR="00C4183C" w:rsidRPr="001627C7" w:rsidRDefault="00C4183C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35B3B" w:rsidRPr="001627C7" w14:paraId="31B4C952" w14:textId="77777777" w:rsidTr="000466D4">
        <w:trPr>
          <w:trHeight w:val="1976"/>
        </w:trPr>
        <w:tc>
          <w:tcPr>
            <w:tcW w:w="2060" w:type="dxa"/>
          </w:tcPr>
          <w:p w14:paraId="54C4E4FA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Access to finance for SMEs</w:t>
            </w:r>
          </w:p>
          <w:p w14:paraId="209139B7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5FF4B9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3C55D7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FB60408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4C5621A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435145F4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Adjust legal and regulatory framework</w:t>
            </w:r>
          </w:p>
          <w:p w14:paraId="1FF5788F" w14:textId="5F77E6C3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1ED467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64C72DB6" w14:textId="692E4EEF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Diversify the sources and types of external</w:t>
            </w:r>
            <w:r w:rsidR="00440C3C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financing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available</w:t>
            </w:r>
          </w:p>
          <w:p w14:paraId="48318518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CBCBBA" w14:textId="77777777" w:rsidR="00F35B3B" w:rsidRPr="001627C7" w:rsidRDefault="00F35B3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536886" w14:textId="52F60E36" w:rsidR="00F35B3B" w:rsidRPr="001627C7" w:rsidRDefault="00F35B3B" w:rsidP="00067ED6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73" w:type="dxa"/>
          </w:tcPr>
          <w:p w14:paraId="29DDC13C" w14:textId="77777777" w:rsidR="00F35B3B" w:rsidRPr="001627C7" w:rsidRDefault="00F35B3B" w:rsidP="001627C7">
            <w:pPr>
              <w:widowControl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</w:pPr>
            <w:r w:rsidRPr="001627C7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>Approval and implementation of relevant legislation (non-bank financial institutions, credit history bureau, consumer protection)</w:t>
            </w:r>
          </w:p>
          <w:p w14:paraId="3B4AEB7F" w14:textId="77777777" w:rsidR="00F35B3B" w:rsidRPr="001627C7" w:rsidRDefault="00F35B3B" w:rsidP="001627C7">
            <w:pPr>
              <w:widowControl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</w:pPr>
            <w:r w:rsidRPr="001627C7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>Design specific initiatives encouraging banks to offer tailored services to SMEs</w:t>
            </w:r>
          </w:p>
          <w:p w14:paraId="443932AA" w14:textId="77777777" w:rsidR="00F35B3B" w:rsidRPr="001627C7" w:rsidRDefault="00F35B3B" w:rsidP="001627C7">
            <w:pPr>
              <w:widowControl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</w:pPr>
            <w:r w:rsidRPr="001627C7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 xml:space="preserve">Decentralization of bank services in rural areas </w:t>
            </w:r>
          </w:p>
          <w:p w14:paraId="362CF9C1" w14:textId="76712AAB" w:rsidR="00F35B3B" w:rsidRPr="00067ED6" w:rsidRDefault="00F35B3B" w:rsidP="00067ED6">
            <w:pPr>
              <w:widowControl w:val="0"/>
              <w:jc w:val="both"/>
              <w:rPr>
                <w:rStyle w:val="PageNumber"/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</w:pPr>
            <w:r w:rsidRPr="001627C7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>Improve the governance, internal controls and risk management of the credit guarantee fund</w:t>
            </w:r>
            <w:r w:rsidR="00067ED6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1190" w:type="dxa"/>
          </w:tcPr>
          <w:p w14:paraId="76764151" w14:textId="77777777" w:rsidR="00F35B3B" w:rsidRPr="001627C7" w:rsidRDefault="00F35B3B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A2F4B" w:rsidRPr="001627C7" w14:paraId="1F1A825B" w14:textId="77777777" w:rsidTr="00B11D20">
        <w:tc>
          <w:tcPr>
            <w:tcW w:w="14360" w:type="dxa"/>
            <w:gridSpan w:val="4"/>
          </w:tcPr>
          <w:p w14:paraId="6F39FFE2" w14:textId="1A39AA2F" w:rsidR="002A2F4B" w:rsidRPr="001627C7" w:rsidRDefault="002A2F4B" w:rsidP="002A2F4B">
            <w:pPr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  <w:t>Micro</w:t>
            </w:r>
          </w:p>
        </w:tc>
      </w:tr>
      <w:tr w:rsidR="005E03B8" w:rsidRPr="001627C7" w14:paraId="5BF04866" w14:textId="77777777" w:rsidTr="001627C7">
        <w:tc>
          <w:tcPr>
            <w:tcW w:w="2060" w:type="dxa"/>
          </w:tcPr>
          <w:p w14:paraId="57079D45" w14:textId="77777777" w:rsidR="00023BED" w:rsidRPr="001627C7" w:rsidRDefault="00C4183C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="00023BE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grading and </w:t>
            </w:r>
          </w:p>
          <w:p w14:paraId="5A295374" w14:textId="77777777" w:rsidR="005E03B8" w:rsidRPr="001627C7" w:rsidRDefault="00023BED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up-scaling</w:t>
            </w:r>
            <w:r w:rsidR="005E03B8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SME</w:t>
            </w:r>
          </w:p>
          <w:p w14:paraId="7E737ED9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FD658BF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17726D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8D8DAD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80E3AA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7AAC4FA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D538AF5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9068E34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B8A3961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C82BF0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4A46AB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85D59B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606539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182FF6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F4AFE9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0D3251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D5041DD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Market development for Business Development Services</w:t>
            </w:r>
          </w:p>
        </w:tc>
        <w:tc>
          <w:tcPr>
            <w:tcW w:w="4237" w:type="dxa"/>
          </w:tcPr>
          <w:p w14:paraId="6AFB9F76" w14:textId="77777777" w:rsidR="00E11847" w:rsidRPr="001627C7" w:rsidRDefault="000F69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Assess the needs</w:t>
            </w:r>
            <w:r w:rsidRPr="001627C7">
              <w:rPr>
                <w:rStyle w:val="PageNumber"/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of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SME</w:t>
            </w:r>
          </w:p>
          <w:p w14:paraId="52216C73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74A57E9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1B6135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76D06BE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Working with SME</w:t>
            </w:r>
          </w:p>
          <w:p w14:paraId="2CA894B8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A5E2DAF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0B806B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64A6DA6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5D5EE9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0ECFD0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4716C2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410187" w14:textId="77777777" w:rsidR="001456CF" w:rsidRPr="001627C7" w:rsidRDefault="001456CF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E4570E" w14:textId="77777777" w:rsidR="001456CF" w:rsidRPr="001627C7" w:rsidRDefault="001456CF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4ECAB13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6BBC77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29DC6D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FA081A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15CAB9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C0F1005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Working with Business Development Service</w:t>
            </w:r>
            <w:r w:rsidR="00A37B80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(BDS)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providers</w:t>
            </w:r>
          </w:p>
          <w:p w14:paraId="18E6708D" w14:textId="77777777" w:rsidR="00C77EC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7897E1" w14:textId="77777777" w:rsidR="00C77EC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C677798" w14:textId="77777777" w:rsidR="00C77EC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0289545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Information to companies</w:t>
            </w:r>
          </w:p>
          <w:p w14:paraId="1FF33968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EE0D3E" w14:textId="77777777" w:rsidR="005C695D" w:rsidRPr="001627C7" w:rsidRDefault="005C695D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77EE1C8" w14:textId="77777777" w:rsidR="00C77EC8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Support to regional outreach</w:t>
            </w:r>
          </w:p>
          <w:p w14:paraId="39A8A2D4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7B6B72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D5B261" w14:textId="77777777" w:rsidR="005C695D" w:rsidRPr="001627C7" w:rsidRDefault="005C695D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3291565" w14:textId="77777777" w:rsidR="00997BBA" w:rsidRPr="001627C7" w:rsidRDefault="000F69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Strengthening</w:t>
            </w:r>
            <w:r w:rsidR="00997BBA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of BDS demand</w:t>
            </w:r>
          </w:p>
        </w:tc>
        <w:tc>
          <w:tcPr>
            <w:tcW w:w="6873" w:type="dxa"/>
          </w:tcPr>
          <w:p w14:paraId="4A269B95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Analysis of up</w:t>
            </w:r>
            <w:r w:rsidR="00023BE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scaling potential (in terms of jobs, turnover, salaries, taxes) of various subsectors</w:t>
            </w:r>
            <w:r w:rsidR="00E97326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(based on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sectors</w:t>
            </w:r>
            <w:r w:rsidR="00E97326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in SME segmentation study)</w:t>
            </w:r>
          </w:p>
          <w:p w14:paraId="462B7F71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DC4E380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Analysis of firm-level development obstacles in short</w:t>
            </w:r>
            <w:r w:rsidR="005C695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listed sectors</w:t>
            </w:r>
          </w:p>
          <w:p w14:paraId="555869FC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E6C323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Consulting</w:t>
            </w:r>
            <w:r w:rsidR="00BB00B4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/coaching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to companies (business model, proposition to clients, leadership</w:t>
            </w:r>
            <w:r w:rsidR="00BB00B4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 export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etc.)</w:t>
            </w:r>
          </w:p>
          <w:p w14:paraId="1ED8E059" w14:textId="77777777" w:rsidR="005E03B8" w:rsidRPr="001627C7" w:rsidRDefault="005E03B8" w:rsidP="001627C7">
            <w:pPr>
              <w:pStyle w:val="ListParagraph"/>
              <w:ind w:left="0"/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236684" w14:textId="1125A883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Transition to/certification of new production and quality standards</w:t>
            </w:r>
            <w:r w:rsidR="00D9521B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 including training of person</w:t>
            </w:r>
            <w:r w:rsidR="005C695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ne</w:t>
            </w:r>
            <w:r w:rsidR="00D9521B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  <w:p w14:paraId="46208190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174036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Matching grants (top-up by 100%) for technological upgr</w:t>
            </w:r>
            <w:r w:rsidR="00BB00B4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ading (machines, software, etc.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5F07472F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42C1AC" w14:textId="6CBE5160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Adopting a coaching program for export</w:t>
            </w:r>
            <w:r w:rsidR="005C695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focused SM</w:t>
            </w:r>
            <w:r w:rsidR="00982BF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Es. The program must be focused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="00982BF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the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identified priority sectors. The coaches shall be the international experts with particular sectorial experience and sales background on the target markets.</w:t>
            </w:r>
          </w:p>
          <w:p w14:paraId="5D0CB707" w14:textId="77777777" w:rsidR="00534D44" w:rsidRPr="001627C7" w:rsidRDefault="00534D44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D675B0" w14:textId="77777777" w:rsidR="001456CF" w:rsidRPr="001627C7" w:rsidRDefault="001456CF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Support for company R&amp;D initiatives and private-public R&amp;D </w:t>
            </w:r>
            <w:r w:rsidR="00FB26A1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cooperation</w:t>
            </w:r>
          </w:p>
          <w:p w14:paraId="7D6DBB39" w14:textId="77777777" w:rsidR="001456CF" w:rsidRPr="001627C7" w:rsidRDefault="001456CF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B47530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Consulting to subsectors (via associations, BDS providers) on sourcing and distribution channels, business linkages</w:t>
            </w:r>
          </w:p>
          <w:p w14:paraId="27009977" w14:textId="77777777" w:rsidR="0071638B" w:rsidRPr="001627C7" w:rsidRDefault="0071638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D0C3AC7" w14:textId="4C413935" w:rsidR="00E11847" w:rsidRPr="001627C7" w:rsidRDefault="0071638B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Organization of information campaigns for different interested parties to promote the implementation of standards.</w:t>
            </w:r>
          </w:p>
          <w:p w14:paraId="3937C840" w14:textId="77777777" w:rsidR="00E11847" w:rsidRPr="001627C7" w:rsidRDefault="00E11847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09FE91" w14:textId="77777777" w:rsidR="00C77EC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677C6D0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C12CDA4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Free accessible database on BDS service provision for potential companies</w:t>
            </w:r>
          </w:p>
          <w:p w14:paraId="4867C945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Based on mapping, supporting BDS providers to increase their outreach (for example</w:t>
            </w:r>
            <w:r w:rsidR="005C695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by using existing business incubators)</w:t>
            </w:r>
          </w:p>
          <w:p w14:paraId="50A13ADA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5B8E6B" w14:textId="77777777" w:rsidR="00997BBA" w:rsidRPr="001627C7" w:rsidRDefault="00997BBA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Vouchers for high-value BDS services, consulting to BDS providers</w:t>
            </w:r>
          </w:p>
        </w:tc>
        <w:tc>
          <w:tcPr>
            <w:tcW w:w="1190" w:type="dxa"/>
          </w:tcPr>
          <w:p w14:paraId="577374D0" w14:textId="7459C3A7" w:rsidR="005E03B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03553685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7192F74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C3E7C9E" w14:textId="356B32C4" w:rsidR="005E03B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14:paraId="243F6D2D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04C1E88" w14:textId="6C8751E2" w:rsidR="005E03B8" w:rsidRPr="001627C7" w:rsidRDefault="00BB00B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733C104F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4A9CC9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36DAF0C" w14:textId="1E5D2C49" w:rsidR="00E97326" w:rsidRPr="001627C7" w:rsidRDefault="00BB00B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01E14C02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2DAABD" w14:textId="77777777" w:rsidR="00D9521B" w:rsidRPr="001627C7" w:rsidRDefault="00D9521B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FBEF79" w14:textId="7778B69F" w:rsidR="00E97326" w:rsidRPr="001627C7" w:rsidRDefault="00BB00B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191EEB7F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3D2840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F3DF32C" w14:textId="77777777" w:rsidR="00534D44" w:rsidRPr="001627C7" w:rsidRDefault="00534D4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6A6A33E" w14:textId="77777777" w:rsidR="00534D44" w:rsidRPr="001627C7" w:rsidRDefault="00534D4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1D16D92" w14:textId="77777777" w:rsidR="00534D44" w:rsidRPr="001627C7" w:rsidRDefault="00534D4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655107" w14:textId="77777777" w:rsidR="00534D44" w:rsidRPr="001627C7" w:rsidRDefault="00534D4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E27553" w14:textId="77777777" w:rsidR="00534D44" w:rsidRPr="001627C7" w:rsidRDefault="00534D4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9BBCDB0" w14:textId="6D02E440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44CEBF4A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8D585E" w14:textId="22FB5A12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2B83E9DD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AF8358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4ED2C9" w14:textId="1FBB30E5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20F940C3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364738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E56E2AB" w14:textId="6B4F7830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4642A438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5A2D9FB" w14:textId="61DBD712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5391194C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844B69" w14:textId="7777777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E4DA39A" w14:textId="77777777" w:rsidR="00534D44" w:rsidRPr="001627C7" w:rsidRDefault="00534D44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38A4E72" w14:textId="49D6B457" w:rsidR="00E97326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  <w:tr w:rsidR="005E03B8" w:rsidRPr="001627C7" w14:paraId="17C3AB45" w14:textId="77777777" w:rsidTr="001627C7">
        <w:tc>
          <w:tcPr>
            <w:tcW w:w="2060" w:type="dxa"/>
          </w:tcPr>
          <w:p w14:paraId="2C165ADB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Physical economic infrastructure in the regions</w:t>
            </w:r>
          </w:p>
        </w:tc>
        <w:tc>
          <w:tcPr>
            <w:tcW w:w="4237" w:type="dxa"/>
          </w:tcPr>
          <w:p w14:paraId="70A84950" w14:textId="77777777" w:rsidR="005E03B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Provision of building connections for new companies</w:t>
            </w:r>
          </w:p>
          <w:p w14:paraId="03118664" w14:textId="77777777" w:rsidR="00C77EC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5D5569" w14:textId="77777777" w:rsidR="00C77EC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A287FE" w14:textId="77777777" w:rsidR="00C77EC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Provision of production space</w:t>
            </w:r>
          </w:p>
        </w:tc>
        <w:tc>
          <w:tcPr>
            <w:tcW w:w="6873" w:type="dxa"/>
          </w:tcPr>
          <w:p w14:paraId="33480CDE" w14:textId="5C44BB05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Fast-track procedure for connection of companies with water</w:t>
            </w:r>
            <w:r w:rsidR="005C695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electricity etc. at their demand, managed by </w:t>
            </w:r>
            <w:proofErr w:type="spellStart"/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MoE</w:t>
            </w:r>
            <w:proofErr w:type="spellEnd"/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 implemented by Regional Development Agencies</w:t>
            </w:r>
            <w:r w:rsidR="00036626" w:rsidRPr="001627C7">
              <w:rPr>
                <w:rStyle w:val="FootnoteReference"/>
                <w:rFonts w:ascii="Times New Roman" w:hAnsi="Times New Roman"/>
                <w:sz w:val="24"/>
                <w:szCs w:val="24"/>
                <w:lang w:val="en-US"/>
              </w:rPr>
              <w:footnoteReference w:id="3"/>
            </w:r>
            <w:r w:rsidR="00122BF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6E226235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81E88FC" w14:textId="77777777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Provision of ready-to-go production spaces at competitive rental prices based on Letters of Interest. Manage</w:t>
            </w:r>
            <w:r w:rsidR="00036626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d by RDAs or Local </w:t>
            </w:r>
            <w:r w:rsidR="00036626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Authorities.</w:t>
            </w:r>
            <w:r w:rsidR="00036626" w:rsidRPr="001627C7">
              <w:rPr>
                <w:rStyle w:val="FootnoteReference"/>
                <w:rFonts w:ascii="Times New Roman" w:hAnsi="Times New Roman"/>
                <w:sz w:val="24"/>
                <w:szCs w:val="24"/>
                <w:lang w:val="en-US"/>
              </w:rPr>
              <w:footnoteReference w:id="4"/>
            </w:r>
          </w:p>
        </w:tc>
        <w:tc>
          <w:tcPr>
            <w:tcW w:w="1190" w:type="dxa"/>
          </w:tcPr>
          <w:p w14:paraId="0679FD99" w14:textId="4CD14F89" w:rsidR="005E03B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11028617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DED9FA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5D1973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A60B25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067763" w14:textId="35A77B93" w:rsidR="005E03B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14:paraId="221EEF01" w14:textId="77777777" w:rsidR="005E03B8" w:rsidRPr="001627C7" w:rsidRDefault="005E03B8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E03B8" w:rsidRPr="001627C7" w14:paraId="312F5F2A" w14:textId="77777777" w:rsidTr="001627C7">
        <w:tc>
          <w:tcPr>
            <w:tcW w:w="2060" w:type="dxa"/>
          </w:tcPr>
          <w:p w14:paraId="488E287E" w14:textId="77777777" w:rsidR="005E03B8" w:rsidRPr="001627C7" w:rsidRDefault="00C77EC8" w:rsidP="001627C7">
            <w:pPr>
              <w:jc w:val="both"/>
              <w:rPr>
                <w:rStyle w:val="PageNumber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lastRenderedPageBreak/>
              <w:t>Support to job creation</w:t>
            </w:r>
          </w:p>
        </w:tc>
        <w:tc>
          <w:tcPr>
            <w:tcW w:w="4237" w:type="dxa"/>
          </w:tcPr>
          <w:p w14:paraId="10B44CFB" w14:textId="77777777" w:rsidR="005E03B8" w:rsidRPr="001627C7" w:rsidRDefault="000F695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Introduce</w:t>
            </w:r>
            <w:r w:rsidR="00C77EC8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 job creation incentives</w:t>
            </w:r>
          </w:p>
        </w:tc>
        <w:tc>
          <w:tcPr>
            <w:tcW w:w="6873" w:type="dxa"/>
          </w:tcPr>
          <w:p w14:paraId="6FF9FF8A" w14:textId="5688FE38" w:rsidR="005E03B8" w:rsidRPr="001627C7" w:rsidRDefault="005E03B8" w:rsidP="001627C7">
            <w:pPr>
              <w:jc w:val="both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Government of Moldova currently plans to introduce an incentive scheme for the creation of additional (export-related) jobs based on international practice (s</w:t>
            </w:r>
            <w:r w:rsidR="000F6958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tate budget allocation is already foreseen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). The measure shall top-up Government budget contributions by </w:t>
            </w:r>
            <w:r w:rsidR="00122BF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factor </w:t>
            </w:r>
            <w:r w:rsidR="00122BFD"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 xml:space="preserve">of </w:t>
            </w: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036626" w:rsidRPr="001627C7">
              <w:rPr>
                <w:rStyle w:val="FootnoteReference"/>
                <w:rFonts w:ascii="Times New Roman" w:hAnsi="Times New Roman"/>
                <w:sz w:val="24"/>
                <w:szCs w:val="24"/>
                <w:lang w:val="en-US"/>
              </w:rPr>
              <w:footnoteReference w:id="5"/>
            </w:r>
          </w:p>
        </w:tc>
        <w:tc>
          <w:tcPr>
            <w:tcW w:w="1190" w:type="dxa"/>
          </w:tcPr>
          <w:p w14:paraId="64CD4079" w14:textId="753C86B9" w:rsidR="005E03B8" w:rsidRPr="001627C7" w:rsidRDefault="00E97326" w:rsidP="001627C7">
            <w:pPr>
              <w:jc w:val="center"/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</w:pPr>
            <w:r w:rsidRP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627C7">
              <w:rPr>
                <w:rStyle w:val="PageNumber"/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</w:tbl>
    <w:p w14:paraId="016295BE" w14:textId="77777777" w:rsidR="000A0358" w:rsidRPr="001627C7" w:rsidRDefault="000A0358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14:paraId="3E175870" w14:textId="77777777" w:rsidR="00837AE6" w:rsidRPr="001627C7" w:rsidRDefault="00036626" w:rsidP="001627C7">
      <w:pPr>
        <w:jc w:val="both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Selected </w:t>
      </w:r>
      <w:r w:rsidR="000A0358"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Key </w:t>
      </w:r>
      <w:r w:rsidR="002C27AB" w:rsidRPr="001627C7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20A8A64B" w14:textId="77777777" w:rsidR="00036626" w:rsidRPr="001627C7" w:rsidRDefault="00036626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National Development Strategy “Moldova 2020”</w:t>
      </w:r>
    </w:p>
    <w:p w14:paraId="010055E1" w14:textId="77777777" w:rsidR="002C27AB" w:rsidRPr="001627C7" w:rsidRDefault="000A0358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National Strategy for Investment Attraction and Export Promotion 2016-2020</w:t>
      </w:r>
    </w:p>
    <w:p w14:paraId="04EB48EC" w14:textId="77777777" w:rsidR="000C39FF" w:rsidRPr="001627C7" w:rsidRDefault="000C39FF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SME Strategy 2012-2020 of the Republic of Moldova</w:t>
      </w:r>
    </w:p>
    <w:p w14:paraId="51593158" w14:textId="77777777" w:rsidR="000C39FF" w:rsidRPr="001627C7" w:rsidRDefault="000C39FF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European Joint Analysis – Programming in Moldova to 2020, 2016</w:t>
      </w:r>
    </w:p>
    <w:p w14:paraId="65C6D75D" w14:textId="77777777" w:rsidR="000C39FF" w:rsidRPr="001627C7" w:rsidRDefault="000C39FF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Fostering SME Development in the Republic of Moldova: Business Development Services, OECD, 2013 (informed by the national SME development strategy)</w:t>
      </w:r>
    </w:p>
    <w:p w14:paraId="1840F5EF" w14:textId="77777777" w:rsidR="000C39FF" w:rsidRPr="001627C7" w:rsidRDefault="000C39FF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Moldova – SME Segmentation and Needs, CEP II, April 2015</w:t>
      </w:r>
    </w:p>
    <w:p w14:paraId="0F27A1ED" w14:textId="77777777" w:rsidR="000C39FF" w:rsidRPr="001627C7" w:rsidRDefault="000C39FF" w:rsidP="001627C7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Moldova Special Topic: Paths to Sustained Prosperity, World</w:t>
      </w:r>
      <w:r w:rsidR="006A67FD"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1627C7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ank, 2016</w:t>
      </w:r>
    </w:p>
    <w:p w14:paraId="7E7BBB3D" w14:textId="77777777" w:rsidR="000C39FF" w:rsidRPr="001627C7" w:rsidRDefault="000C39FF" w:rsidP="001627C7">
      <w:pPr>
        <w:jc w:val="both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sectPr w:rsidR="000C39FF" w:rsidRPr="001627C7" w:rsidSect="001627C7">
      <w:pgSz w:w="16838" w:h="11906" w:orient="landscape" w:code="9"/>
      <w:pgMar w:top="567" w:right="1276" w:bottom="1418" w:left="1418" w:header="425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53212E" w15:done="0"/>
  <w15:commentEx w15:paraId="612CA751" w15:done="0"/>
  <w15:commentEx w15:paraId="091BC4D1" w15:done="0"/>
  <w15:commentEx w15:paraId="095A391B" w15:done="0"/>
  <w15:commentEx w15:paraId="654D769B" w15:done="0"/>
  <w15:commentEx w15:paraId="75AD307A" w15:done="0"/>
  <w15:commentEx w15:paraId="67CC022E" w15:done="0"/>
  <w15:commentEx w15:paraId="187C91CE" w15:done="0"/>
  <w15:commentEx w15:paraId="382F1889" w15:done="0"/>
  <w15:commentEx w15:paraId="7DF23F4F" w15:done="0"/>
  <w15:commentEx w15:paraId="58044F38" w15:done="0"/>
  <w15:commentEx w15:paraId="5173B1BC" w15:done="0"/>
  <w15:commentEx w15:paraId="5D712C82" w15:done="0"/>
  <w15:commentEx w15:paraId="664BDC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70A47" w14:textId="77777777" w:rsidR="0010569A" w:rsidRDefault="0010569A" w:rsidP="00A637D0">
      <w:r>
        <w:separator/>
      </w:r>
    </w:p>
  </w:endnote>
  <w:endnote w:type="continuationSeparator" w:id="0">
    <w:p w14:paraId="0FAA5B95" w14:textId="77777777" w:rsidR="0010569A" w:rsidRDefault="0010569A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687D6" w14:textId="77777777" w:rsidR="0010569A" w:rsidRDefault="0010569A" w:rsidP="00A637D0">
      <w:r>
        <w:separator/>
      </w:r>
    </w:p>
  </w:footnote>
  <w:footnote w:type="continuationSeparator" w:id="0">
    <w:p w14:paraId="3B025D5A" w14:textId="77777777" w:rsidR="0010569A" w:rsidRDefault="0010569A" w:rsidP="00A637D0">
      <w:r>
        <w:continuationSeparator/>
      </w:r>
    </w:p>
  </w:footnote>
  <w:footnote w:id="1">
    <w:p w14:paraId="77D5EF94" w14:textId="31B7D46C" w:rsidR="000C39FF" w:rsidRPr="00784C2E" w:rsidRDefault="000C39FF" w:rsidP="00EF2198">
      <w:pPr>
        <w:jc w:val="both"/>
        <w:rPr>
          <w:rFonts w:asciiTheme="majorHAnsi" w:hAnsiTheme="majorHAnsi"/>
          <w:sz w:val="18"/>
          <w:szCs w:val="18"/>
          <w:lang w:val="en-US"/>
        </w:rPr>
      </w:pPr>
      <w:r w:rsidRPr="00784C2E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 </w:t>
      </w:r>
      <w:r w:rsidR="0051181D">
        <w:rPr>
          <w:rFonts w:asciiTheme="majorHAnsi" w:hAnsiTheme="majorHAnsi"/>
          <w:sz w:val="18"/>
          <w:szCs w:val="18"/>
          <w:lang w:val="en-US"/>
        </w:rPr>
        <w:t xml:space="preserve">If </w:t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such a process will not be started now, Moldova will continue to lose population and the gap </w:t>
      </w:r>
      <w:r w:rsidR="0051181D">
        <w:rPr>
          <w:rFonts w:asciiTheme="majorHAnsi" w:hAnsiTheme="majorHAnsi"/>
          <w:sz w:val="18"/>
          <w:szCs w:val="18"/>
          <w:lang w:val="en-US"/>
        </w:rPr>
        <w:t xml:space="preserve">compared </w:t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to the EU countries will widen in absolute terms. If Moldova continued to grow economically </w:t>
      </w:r>
      <w:r w:rsidR="0051181D">
        <w:rPr>
          <w:rFonts w:asciiTheme="majorHAnsi" w:hAnsiTheme="majorHAnsi"/>
          <w:sz w:val="18"/>
          <w:szCs w:val="18"/>
          <w:lang w:val="en-US"/>
        </w:rPr>
        <w:t xml:space="preserve">as it had </w:t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over the last five years on average, it will reach Bulgaria’s </w:t>
      </w:r>
      <w:r w:rsidR="0051181D">
        <w:rPr>
          <w:rFonts w:asciiTheme="majorHAnsi" w:hAnsiTheme="majorHAnsi"/>
          <w:sz w:val="18"/>
          <w:szCs w:val="18"/>
          <w:lang w:val="en-US"/>
        </w:rPr>
        <w:t xml:space="preserve">economic </w:t>
      </w:r>
      <w:r w:rsidRPr="00784C2E">
        <w:rPr>
          <w:rFonts w:asciiTheme="majorHAnsi" w:hAnsiTheme="majorHAnsi"/>
          <w:sz w:val="18"/>
          <w:szCs w:val="18"/>
          <w:lang w:val="en-US"/>
        </w:rPr>
        <w:t>levels of today (GDP per capita) only in approximately 33 years. I</w:t>
      </w:r>
      <w:r w:rsidR="0051181D">
        <w:rPr>
          <w:rFonts w:asciiTheme="majorHAnsi" w:hAnsiTheme="majorHAnsi"/>
          <w:sz w:val="18"/>
          <w:szCs w:val="18"/>
          <w:lang w:val="en-US"/>
        </w:rPr>
        <w:t>f Moldova’s</w:t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 economic growth could be doubled, this time </w:t>
      </w:r>
      <w:r w:rsidR="0051181D">
        <w:rPr>
          <w:rFonts w:asciiTheme="majorHAnsi" w:hAnsiTheme="majorHAnsi"/>
          <w:sz w:val="18"/>
          <w:szCs w:val="18"/>
          <w:lang w:val="en-US"/>
        </w:rPr>
        <w:t>period</w:t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 would </w:t>
      </w:r>
      <w:r w:rsidR="0051181D">
        <w:rPr>
          <w:rFonts w:asciiTheme="majorHAnsi" w:hAnsiTheme="majorHAnsi"/>
          <w:sz w:val="18"/>
          <w:szCs w:val="18"/>
          <w:lang w:val="en-US"/>
        </w:rPr>
        <w:t>reduce</w:t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 to 17 years.</w:t>
      </w:r>
    </w:p>
    <w:p w14:paraId="655503F7" w14:textId="77777777" w:rsidR="000C39FF" w:rsidRPr="00784C2E" w:rsidRDefault="000C39FF" w:rsidP="00EF2198">
      <w:pPr>
        <w:pStyle w:val="FootnoteText"/>
        <w:jc w:val="both"/>
        <w:rPr>
          <w:rFonts w:asciiTheme="majorHAnsi" w:hAnsiTheme="majorHAnsi"/>
          <w:sz w:val="18"/>
          <w:szCs w:val="18"/>
          <w:lang w:val="en-US"/>
        </w:rPr>
      </w:pPr>
    </w:p>
  </w:footnote>
  <w:footnote w:id="2">
    <w:p w14:paraId="0985F6AC" w14:textId="77777777" w:rsidR="000C39FF" w:rsidRPr="000C39FF" w:rsidRDefault="000C39FF" w:rsidP="00EF2198">
      <w:pPr>
        <w:pStyle w:val="FootnoteText"/>
        <w:jc w:val="both"/>
        <w:rPr>
          <w:lang w:val="en-US"/>
        </w:rPr>
      </w:pPr>
      <w:r w:rsidRPr="00784C2E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784C2E">
        <w:rPr>
          <w:rFonts w:asciiTheme="majorHAnsi" w:hAnsiTheme="majorHAnsi"/>
          <w:sz w:val="18"/>
          <w:szCs w:val="18"/>
          <w:lang w:val="en-US"/>
        </w:rPr>
        <w:t xml:space="preserve"> All data stem from official national and international statistics.</w:t>
      </w:r>
    </w:p>
  </w:footnote>
  <w:footnote w:id="3">
    <w:p w14:paraId="7354D316" w14:textId="0838AECD" w:rsidR="00036626" w:rsidRPr="00784C2E" w:rsidRDefault="00036626" w:rsidP="00036626">
      <w:pPr>
        <w:pStyle w:val="FootnoteText"/>
        <w:rPr>
          <w:rStyle w:val="PageNumber"/>
          <w:rFonts w:asciiTheme="majorHAnsi" w:hAnsiTheme="majorHAnsi"/>
          <w:lang w:val="en-US"/>
        </w:rPr>
      </w:pPr>
      <w:r w:rsidRPr="00784C2E">
        <w:rPr>
          <w:rStyle w:val="PageNumber"/>
          <w:rFonts w:asciiTheme="majorHAnsi" w:hAnsiTheme="majorHAnsi"/>
          <w:vertAlign w:val="superscript"/>
          <w:lang w:val="en-US"/>
        </w:rPr>
        <w:footnoteRef/>
      </w:r>
      <w:r w:rsidRPr="00784C2E">
        <w:rPr>
          <w:rStyle w:val="PageNumber"/>
          <w:rFonts w:asciiTheme="majorHAnsi" w:hAnsiTheme="majorHAnsi"/>
          <w:lang w:val="en-US"/>
        </w:rPr>
        <w:t xml:space="preserve"> Objective: To connect new production facilities to electricity/water/sewage/gas/internet within 3 months free of charge.</w:t>
      </w:r>
    </w:p>
    <w:p w14:paraId="1832F273" w14:textId="77777777" w:rsidR="00036626" w:rsidRPr="00036626" w:rsidRDefault="00036626">
      <w:pPr>
        <w:pStyle w:val="FootnoteText"/>
        <w:rPr>
          <w:lang w:val="en-US"/>
        </w:rPr>
      </w:pPr>
    </w:p>
  </w:footnote>
  <w:footnote w:id="4">
    <w:p w14:paraId="758BD833" w14:textId="77777777" w:rsidR="00036626" w:rsidRPr="00784C2E" w:rsidRDefault="00036626">
      <w:pPr>
        <w:pStyle w:val="FootnoteText"/>
        <w:rPr>
          <w:rFonts w:asciiTheme="majorHAnsi" w:hAnsiTheme="majorHAnsi"/>
          <w:lang w:val="en-US"/>
        </w:rPr>
      </w:pPr>
      <w:r w:rsidRPr="00784C2E">
        <w:rPr>
          <w:rStyle w:val="FootnoteReference"/>
          <w:rFonts w:asciiTheme="majorHAnsi" w:hAnsiTheme="majorHAnsi"/>
        </w:rPr>
        <w:footnoteRef/>
      </w:r>
      <w:r w:rsidRPr="00784C2E">
        <w:rPr>
          <w:rFonts w:asciiTheme="majorHAnsi" w:hAnsiTheme="majorHAnsi"/>
          <w:lang w:val="en-US"/>
        </w:rPr>
        <w:t xml:space="preserve"> </w:t>
      </w:r>
      <w:r w:rsidRPr="00784C2E">
        <w:rPr>
          <w:rStyle w:val="PageNumber"/>
          <w:rFonts w:asciiTheme="majorHAnsi" w:hAnsiTheme="majorHAnsi"/>
          <w:lang w:val="en-US"/>
        </w:rPr>
        <w:t>Objective: To reduce risks which are linked to investments in real estate – remedy for market failure based on high perceived country risk.</w:t>
      </w:r>
    </w:p>
  </w:footnote>
  <w:footnote w:id="5">
    <w:p w14:paraId="10F22619" w14:textId="77777777" w:rsidR="00036626" w:rsidRPr="00036626" w:rsidRDefault="00036626">
      <w:pPr>
        <w:pStyle w:val="FootnoteText"/>
        <w:rPr>
          <w:lang w:val="en-US"/>
        </w:rPr>
      </w:pPr>
      <w:r w:rsidRPr="00784C2E">
        <w:rPr>
          <w:rStyle w:val="FootnoteReference"/>
          <w:rFonts w:asciiTheme="majorHAnsi" w:hAnsiTheme="majorHAnsi"/>
        </w:rPr>
        <w:footnoteRef/>
      </w:r>
      <w:r w:rsidRPr="00784C2E">
        <w:rPr>
          <w:rFonts w:asciiTheme="majorHAnsi" w:hAnsiTheme="majorHAnsi"/>
          <w:lang w:val="en-US"/>
        </w:rPr>
        <w:t xml:space="preserve"> </w:t>
      </w:r>
      <w:r w:rsidRPr="00784C2E">
        <w:rPr>
          <w:rStyle w:val="PageNumber"/>
          <w:rFonts w:asciiTheme="majorHAnsi" w:hAnsiTheme="majorHAnsi"/>
          <w:lang w:val="en-US"/>
        </w:rPr>
        <w:t>Objective: Up</w:t>
      </w:r>
      <w:r w:rsidR="00023BED" w:rsidRPr="00784C2E">
        <w:rPr>
          <w:rStyle w:val="PageNumber"/>
          <w:rFonts w:asciiTheme="majorHAnsi" w:hAnsiTheme="majorHAnsi"/>
          <w:lang w:val="en-US"/>
        </w:rPr>
        <w:t>-</w:t>
      </w:r>
      <w:r w:rsidRPr="00784C2E">
        <w:rPr>
          <w:rStyle w:val="PageNumber"/>
          <w:rFonts w:asciiTheme="majorHAnsi" w:hAnsiTheme="majorHAnsi"/>
          <w:lang w:val="en-US"/>
        </w:rPr>
        <w:t>scaling of the incentive scheme, focus on specific target groups (for example disadvantaged regions).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4C076C" w14:paraId="373123D8" w14:textId="77777777" w:rsidTr="00625191">
      <w:tc>
        <w:tcPr>
          <w:tcW w:w="3497" w:type="pct"/>
        </w:tcPr>
        <w:p w14:paraId="35F49339" w14:textId="77777777" w:rsidR="004C076C" w:rsidRPr="003F6EC9" w:rsidRDefault="004C076C" w:rsidP="00112883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02C0BD77" w14:textId="77777777" w:rsidR="004C076C" w:rsidRDefault="004C076C" w:rsidP="00112883">
          <w:pPr>
            <w:pStyle w:val="Header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7338F65A" w14:textId="77777777" w:rsidR="004C076C" w:rsidRPr="00165E31" w:rsidRDefault="004C076C" w:rsidP="00165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572E8"/>
    <w:multiLevelType w:val="hybridMultilevel"/>
    <w:tmpl w:val="E578DE02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5D9042E"/>
    <w:multiLevelType w:val="hybridMultilevel"/>
    <w:tmpl w:val="87C4F6E4"/>
    <w:lvl w:ilvl="0" w:tplc="EFECB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625C18"/>
    <w:multiLevelType w:val="hybridMultilevel"/>
    <w:tmpl w:val="885A77E6"/>
    <w:lvl w:ilvl="0" w:tplc="6D748B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C0A81"/>
    <w:multiLevelType w:val="hybridMultilevel"/>
    <w:tmpl w:val="3CDAF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C016C"/>
    <w:multiLevelType w:val="hybridMultilevel"/>
    <w:tmpl w:val="67CA2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F12E8"/>
    <w:multiLevelType w:val="hybridMultilevel"/>
    <w:tmpl w:val="12581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009DD"/>
    <w:multiLevelType w:val="hybridMultilevel"/>
    <w:tmpl w:val="62E41F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36C39"/>
    <w:multiLevelType w:val="hybridMultilevel"/>
    <w:tmpl w:val="0E762B5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40E23"/>
    <w:multiLevelType w:val="hybridMultilevel"/>
    <w:tmpl w:val="205CC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97843"/>
    <w:multiLevelType w:val="hybridMultilevel"/>
    <w:tmpl w:val="CF044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24CDC"/>
    <w:multiLevelType w:val="hybridMultilevel"/>
    <w:tmpl w:val="D7FA1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E0333"/>
    <w:multiLevelType w:val="hybridMultilevel"/>
    <w:tmpl w:val="1B3E5C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B60B9"/>
    <w:multiLevelType w:val="hybridMultilevel"/>
    <w:tmpl w:val="69E28662"/>
    <w:lvl w:ilvl="0" w:tplc="24C850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370EFD"/>
    <w:multiLevelType w:val="hybridMultilevel"/>
    <w:tmpl w:val="6B52B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16AAE"/>
    <w:multiLevelType w:val="hybridMultilevel"/>
    <w:tmpl w:val="1D5A4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C17DC5"/>
    <w:multiLevelType w:val="hybridMultilevel"/>
    <w:tmpl w:val="6506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D4448"/>
    <w:multiLevelType w:val="hybridMultilevel"/>
    <w:tmpl w:val="62E41F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C1BE1"/>
    <w:multiLevelType w:val="hybridMultilevel"/>
    <w:tmpl w:val="AA7609D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12"/>
  </w:num>
  <w:num w:numId="14">
    <w:abstractNumId w:val="20"/>
  </w:num>
  <w:num w:numId="15">
    <w:abstractNumId w:val="15"/>
  </w:num>
  <w:num w:numId="16">
    <w:abstractNumId w:val="14"/>
  </w:num>
  <w:num w:numId="17">
    <w:abstractNumId w:val="27"/>
  </w:num>
  <w:num w:numId="18">
    <w:abstractNumId w:val="24"/>
  </w:num>
  <w:num w:numId="19">
    <w:abstractNumId w:val="10"/>
  </w:num>
  <w:num w:numId="20">
    <w:abstractNumId w:val="16"/>
  </w:num>
  <w:num w:numId="21">
    <w:abstractNumId w:val="26"/>
  </w:num>
  <w:num w:numId="22">
    <w:abstractNumId w:val="23"/>
  </w:num>
  <w:num w:numId="23">
    <w:abstractNumId w:val="21"/>
  </w:num>
  <w:num w:numId="24">
    <w:abstractNumId w:val="1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A9"/>
    <w:rsid w:val="00013F61"/>
    <w:rsid w:val="000224E6"/>
    <w:rsid w:val="00022783"/>
    <w:rsid w:val="00023BED"/>
    <w:rsid w:val="000304BC"/>
    <w:rsid w:val="00036626"/>
    <w:rsid w:val="000466D4"/>
    <w:rsid w:val="0006686B"/>
    <w:rsid w:val="00067ED6"/>
    <w:rsid w:val="0007510D"/>
    <w:rsid w:val="000842AA"/>
    <w:rsid w:val="000849D6"/>
    <w:rsid w:val="00085B29"/>
    <w:rsid w:val="000942FB"/>
    <w:rsid w:val="0009574D"/>
    <w:rsid w:val="000A0358"/>
    <w:rsid w:val="000A042D"/>
    <w:rsid w:val="000A4F17"/>
    <w:rsid w:val="000A5C66"/>
    <w:rsid w:val="000C39FF"/>
    <w:rsid w:val="000D2DF1"/>
    <w:rsid w:val="000D423B"/>
    <w:rsid w:val="000D5E99"/>
    <w:rsid w:val="000F1C7E"/>
    <w:rsid w:val="000F6958"/>
    <w:rsid w:val="0010569A"/>
    <w:rsid w:val="00112883"/>
    <w:rsid w:val="001130BA"/>
    <w:rsid w:val="001216F7"/>
    <w:rsid w:val="00122BFD"/>
    <w:rsid w:val="00133AB5"/>
    <w:rsid w:val="001456CF"/>
    <w:rsid w:val="001627C7"/>
    <w:rsid w:val="00165E31"/>
    <w:rsid w:val="00181830"/>
    <w:rsid w:val="00190868"/>
    <w:rsid w:val="00190F5F"/>
    <w:rsid w:val="0019541F"/>
    <w:rsid w:val="001A58DD"/>
    <w:rsid w:val="001C07C7"/>
    <w:rsid w:val="001E0922"/>
    <w:rsid w:val="001E7EC3"/>
    <w:rsid w:val="001F0B09"/>
    <w:rsid w:val="00205815"/>
    <w:rsid w:val="002231B5"/>
    <w:rsid w:val="0022766A"/>
    <w:rsid w:val="00244CBE"/>
    <w:rsid w:val="0025123F"/>
    <w:rsid w:val="002532B6"/>
    <w:rsid w:val="00277847"/>
    <w:rsid w:val="002802F4"/>
    <w:rsid w:val="00283779"/>
    <w:rsid w:val="002A2F4B"/>
    <w:rsid w:val="002A73C7"/>
    <w:rsid w:val="002C27AB"/>
    <w:rsid w:val="002C318A"/>
    <w:rsid w:val="002D722E"/>
    <w:rsid w:val="002E5FF7"/>
    <w:rsid w:val="003033F5"/>
    <w:rsid w:val="0030379B"/>
    <w:rsid w:val="00327506"/>
    <w:rsid w:val="003306FA"/>
    <w:rsid w:val="00333EFE"/>
    <w:rsid w:val="003355A9"/>
    <w:rsid w:val="00363279"/>
    <w:rsid w:val="003C4606"/>
    <w:rsid w:val="003D380D"/>
    <w:rsid w:val="003D4C74"/>
    <w:rsid w:val="003D6A37"/>
    <w:rsid w:val="003F32BD"/>
    <w:rsid w:val="003F6EC9"/>
    <w:rsid w:val="004102B4"/>
    <w:rsid w:val="00421CB1"/>
    <w:rsid w:val="00435EE1"/>
    <w:rsid w:val="0044071C"/>
    <w:rsid w:val="00440C3C"/>
    <w:rsid w:val="004435ED"/>
    <w:rsid w:val="00463EC1"/>
    <w:rsid w:val="00466305"/>
    <w:rsid w:val="004666E2"/>
    <w:rsid w:val="00475A15"/>
    <w:rsid w:val="0049307C"/>
    <w:rsid w:val="00493215"/>
    <w:rsid w:val="004A5642"/>
    <w:rsid w:val="004C076C"/>
    <w:rsid w:val="004C39AA"/>
    <w:rsid w:val="004D301F"/>
    <w:rsid w:val="004D34B7"/>
    <w:rsid w:val="004E11DA"/>
    <w:rsid w:val="004E6535"/>
    <w:rsid w:val="004E76A9"/>
    <w:rsid w:val="0051181D"/>
    <w:rsid w:val="0051684E"/>
    <w:rsid w:val="00531B5F"/>
    <w:rsid w:val="00534D44"/>
    <w:rsid w:val="00537EF0"/>
    <w:rsid w:val="0054173E"/>
    <w:rsid w:val="00544830"/>
    <w:rsid w:val="00582181"/>
    <w:rsid w:val="005B58EE"/>
    <w:rsid w:val="005C695D"/>
    <w:rsid w:val="005D500F"/>
    <w:rsid w:val="005E01CC"/>
    <w:rsid w:val="005E03B8"/>
    <w:rsid w:val="005E0A64"/>
    <w:rsid w:val="00613B92"/>
    <w:rsid w:val="00625191"/>
    <w:rsid w:val="0066441C"/>
    <w:rsid w:val="006A6569"/>
    <w:rsid w:val="006A67FD"/>
    <w:rsid w:val="006B51BA"/>
    <w:rsid w:val="006C2E43"/>
    <w:rsid w:val="006D1758"/>
    <w:rsid w:val="006E2E2F"/>
    <w:rsid w:val="006F53AB"/>
    <w:rsid w:val="006F643B"/>
    <w:rsid w:val="0070140F"/>
    <w:rsid w:val="00706A72"/>
    <w:rsid w:val="0071638B"/>
    <w:rsid w:val="00722877"/>
    <w:rsid w:val="00722E16"/>
    <w:rsid w:val="007410EA"/>
    <w:rsid w:val="00746D98"/>
    <w:rsid w:val="0075101C"/>
    <w:rsid w:val="00752AC5"/>
    <w:rsid w:val="00755F7E"/>
    <w:rsid w:val="00775024"/>
    <w:rsid w:val="00784C2E"/>
    <w:rsid w:val="00790A15"/>
    <w:rsid w:val="007B14B5"/>
    <w:rsid w:val="007C6F3E"/>
    <w:rsid w:val="007D626A"/>
    <w:rsid w:val="007F56E4"/>
    <w:rsid w:val="00801A8D"/>
    <w:rsid w:val="0081013E"/>
    <w:rsid w:val="00813A58"/>
    <w:rsid w:val="00824179"/>
    <w:rsid w:val="00837AE6"/>
    <w:rsid w:val="00847F0B"/>
    <w:rsid w:val="00850E6E"/>
    <w:rsid w:val="00856CFA"/>
    <w:rsid w:val="00861239"/>
    <w:rsid w:val="00864649"/>
    <w:rsid w:val="00880B21"/>
    <w:rsid w:val="008973E7"/>
    <w:rsid w:val="008A2AA2"/>
    <w:rsid w:val="008A56C1"/>
    <w:rsid w:val="008A7EDA"/>
    <w:rsid w:val="008B7B1D"/>
    <w:rsid w:val="008C00BE"/>
    <w:rsid w:val="008C726F"/>
    <w:rsid w:val="008F6DCA"/>
    <w:rsid w:val="009103C9"/>
    <w:rsid w:val="00923E6F"/>
    <w:rsid w:val="00931B1E"/>
    <w:rsid w:val="00982BF1"/>
    <w:rsid w:val="00997BBA"/>
    <w:rsid w:val="009A034B"/>
    <w:rsid w:val="009A13D5"/>
    <w:rsid w:val="009A4C74"/>
    <w:rsid w:val="009B0BA2"/>
    <w:rsid w:val="009C0311"/>
    <w:rsid w:val="009C22E3"/>
    <w:rsid w:val="009D4C43"/>
    <w:rsid w:val="009E0527"/>
    <w:rsid w:val="009E4E08"/>
    <w:rsid w:val="009E7E71"/>
    <w:rsid w:val="009F1C0F"/>
    <w:rsid w:val="009F3325"/>
    <w:rsid w:val="009F3FE8"/>
    <w:rsid w:val="00A13972"/>
    <w:rsid w:val="00A37B80"/>
    <w:rsid w:val="00A43C44"/>
    <w:rsid w:val="00A463A1"/>
    <w:rsid w:val="00A51BB4"/>
    <w:rsid w:val="00A5325D"/>
    <w:rsid w:val="00A637D0"/>
    <w:rsid w:val="00A82C84"/>
    <w:rsid w:val="00A921EB"/>
    <w:rsid w:val="00A92DC2"/>
    <w:rsid w:val="00AA0BB3"/>
    <w:rsid w:val="00AB324A"/>
    <w:rsid w:val="00AC0E75"/>
    <w:rsid w:val="00AC35BB"/>
    <w:rsid w:val="00AD1118"/>
    <w:rsid w:val="00AD534E"/>
    <w:rsid w:val="00AE6941"/>
    <w:rsid w:val="00AF2BE6"/>
    <w:rsid w:val="00AF753A"/>
    <w:rsid w:val="00B02F2F"/>
    <w:rsid w:val="00B17264"/>
    <w:rsid w:val="00B2175D"/>
    <w:rsid w:val="00B279EE"/>
    <w:rsid w:val="00B360A8"/>
    <w:rsid w:val="00B449F9"/>
    <w:rsid w:val="00B45D06"/>
    <w:rsid w:val="00B54DF4"/>
    <w:rsid w:val="00B624AA"/>
    <w:rsid w:val="00B72444"/>
    <w:rsid w:val="00B73CED"/>
    <w:rsid w:val="00B82553"/>
    <w:rsid w:val="00B8594B"/>
    <w:rsid w:val="00B86CC5"/>
    <w:rsid w:val="00B969D6"/>
    <w:rsid w:val="00BA06E5"/>
    <w:rsid w:val="00BA45A9"/>
    <w:rsid w:val="00BB00B4"/>
    <w:rsid w:val="00BB6CC3"/>
    <w:rsid w:val="00BE09A4"/>
    <w:rsid w:val="00BE573B"/>
    <w:rsid w:val="00BE64A0"/>
    <w:rsid w:val="00BF22EE"/>
    <w:rsid w:val="00BF41B7"/>
    <w:rsid w:val="00C05238"/>
    <w:rsid w:val="00C1225D"/>
    <w:rsid w:val="00C1422E"/>
    <w:rsid w:val="00C33501"/>
    <w:rsid w:val="00C35BB8"/>
    <w:rsid w:val="00C4183C"/>
    <w:rsid w:val="00C46EE0"/>
    <w:rsid w:val="00C76E1E"/>
    <w:rsid w:val="00C77EC8"/>
    <w:rsid w:val="00C90E55"/>
    <w:rsid w:val="00CC2869"/>
    <w:rsid w:val="00CC41DD"/>
    <w:rsid w:val="00D1253B"/>
    <w:rsid w:val="00D170A3"/>
    <w:rsid w:val="00D20472"/>
    <w:rsid w:val="00D2054F"/>
    <w:rsid w:val="00D355E5"/>
    <w:rsid w:val="00D374B4"/>
    <w:rsid w:val="00D5119E"/>
    <w:rsid w:val="00D549B4"/>
    <w:rsid w:val="00D55E59"/>
    <w:rsid w:val="00D66184"/>
    <w:rsid w:val="00D67BC2"/>
    <w:rsid w:val="00D9521B"/>
    <w:rsid w:val="00DA4FA9"/>
    <w:rsid w:val="00DC54C3"/>
    <w:rsid w:val="00DD592E"/>
    <w:rsid w:val="00DE2CDD"/>
    <w:rsid w:val="00DE6D89"/>
    <w:rsid w:val="00DF3120"/>
    <w:rsid w:val="00DF3809"/>
    <w:rsid w:val="00DF54FC"/>
    <w:rsid w:val="00DF6E8E"/>
    <w:rsid w:val="00E00A39"/>
    <w:rsid w:val="00E11847"/>
    <w:rsid w:val="00E1412F"/>
    <w:rsid w:val="00E33A4B"/>
    <w:rsid w:val="00E45818"/>
    <w:rsid w:val="00E46413"/>
    <w:rsid w:val="00E534D5"/>
    <w:rsid w:val="00E62B79"/>
    <w:rsid w:val="00E82BD3"/>
    <w:rsid w:val="00E9115F"/>
    <w:rsid w:val="00E97326"/>
    <w:rsid w:val="00EA6F92"/>
    <w:rsid w:val="00EB30E7"/>
    <w:rsid w:val="00EC0D2D"/>
    <w:rsid w:val="00ED67E0"/>
    <w:rsid w:val="00EE593F"/>
    <w:rsid w:val="00EE5B48"/>
    <w:rsid w:val="00EF2198"/>
    <w:rsid w:val="00EF5014"/>
    <w:rsid w:val="00F35B3B"/>
    <w:rsid w:val="00F45449"/>
    <w:rsid w:val="00F52386"/>
    <w:rsid w:val="00F614F4"/>
    <w:rsid w:val="00F63E0D"/>
    <w:rsid w:val="00F80C5E"/>
    <w:rsid w:val="00FA20BC"/>
    <w:rsid w:val="00FA4AB7"/>
    <w:rsid w:val="00FB26A1"/>
    <w:rsid w:val="00FB74AC"/>
    <w:rsid w:val="00FC0C56"/>
    <w:rsid w:val="00FC5E93"/>
    <w:rsid w:val="00FD0CDF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89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uiPriority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4"/>
    <w:rsid w:val="00DE6D89"/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basedOn w:val="Normal"/>
    <w:uiPriority w:val="4"/>
    <w:semiHidden/>
    <w:unhideWhenUsed/>
    <w:rsid w:val="000F1C7E"/>
  </w:style>
  <w:style w:type="table" w:styleId="TableGrid">
    <w:name w:val="Table Grid"/>
    <w:basedOn w:val="Table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02F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1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0D"/>
    <w:rPr>
      <w:rFonts w:ascii="Arial" w:hAnsi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8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8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86B"/>
    <w:rPr>
      <w:vertAlign w:val="superscript"/>
    </w:rPr>
  </w:style>
  <w:style w:type="character" w:customStyle="1" w:styleId="a">
    <w:name w:val="Основной текст_"/>
    <w:basedOn w:val="DefaultParagraphFont"/>
    <w:link w:val="2"/>
    <w:rsid w:val="00BB00B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BB00B4"/>
    <w:pPr>
      <w:widowControl w:val="0"/>
      <w:shd w:val="clear" w:color="auto" w:fill="FFFFFF"/>
      <w:spacing w:before="300" w:after="300" w:line="379" w:lineRule="exact"/>
      <w:ind w:hanging="360"/>
      <w:jc w:val="both"/>
    </w:pPr>
    <w:rPr>
      <w:rFonts w:eastAsia="Arial" w:cs="Arial"/>
      <w:sz w:val="20"/>
      <w:szCs w:val="20"/>
    </w:rPr>
  </w:style>
  <w:style w:type="character" w:customStyle="1" w:styleId="20">
    <w:name w:val="Основной текст (2)_"/>
    <w:basedOn w:val="DefaultParagraphFont"/>
    <w:link w:val="21"/>
    <w:rsid w:val="000F695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"/>
    <w:rsid w:val="000F69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21">
    <w:name w:val="Основной текст (2)"/>
    <w:basedOn w:val="Normal"/>
    <w:link w:val="20"/>
    <w:rsid w:val="000F6958"/>
    <w:pPr>
      <w:widowControl w:val="0"/>
      <w:shd w:val="clear" w:color="auto" w:fill="FFFFFF"/>
      <w:spacing w:before="180" w:after="180" w:line="0" w:lineRule="atLeast"/>
      <w:jc w:val="both"/>
    </w:pPr>
    <w:rPr>
      <w:rFonts w:eastAsia="Arial" w:cs="Arial"/>
      <w:b/>
      <w:bCs/>
      <w:sz w:val="21"/>
      <w:szCs w:val="21"/>
    </w:rPr>
  </w:style>
  <w:style w:type="paragraph" w:styleId="Revision">
    <w:name w:val="Revision"/>
    <w:hidden/>
    <w:uiPriority w:val="99"/>
    <w:semiHidden/>
    <w:rsid w:val="00363279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uiPriority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4"/>
    <w:rsid w:val="00DE6D89"/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basedOn w:val="Normal"/>
    <w:uiPriority w:val="4"/>
    <w:semiHidden/>
    <w:unhideWhenUsed/>
    <w:rsid w:val="000F1C7E"/>
  </w:style>
  <w:style w:type="table" w:styleId="TableGrid">
    <w:name w:val="Table Grid"/>
    <w:basedOn w:val="Table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02F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1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0D"/>
    <w:rPr>
      <w:rFonts w:ascii="Arial" w:hAnsi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8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8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86B"/>
    <w:rPr>
      <w:vertAlign w:val="superscript"/>
    </w:rPr>
  </w:style>
  <w:style w:type="character" w:customStyle="1" w:styleId="a">
    <w:name w:val="Основной текст_"/>
    <w:basedOn w:val="DefaultParagraphFont"/>
    <w:link w:val="2"/>
    <w:rsid w:val="00BB00B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BB00B4"/>
    <w:pPr>
      <w:widowControl w:val="0"/>
      <w:shd w:val="clear" w:color="auto" w:fill="FFFFFF"/>
      <w:spacing w:before="300" w:after="300" w:line="379" w:lineRule="exact"/>
      <w:ind w:hanging="360"/>
      <w:jc w:val="both"/>
    </w:pPr>
    <w:rPr>
      <w:rFonts w:eastAsia="Arial" w:cs="Arial"/>
      <w:sz w:val="20"/>
      <w:szCs w:val="20"/>
    </w:rPr>
  </w:style>
  <w:style w:type="character" w:customStyle="1" w:styleId="20">
    <w:name w:val="Основной текст (2)_"/>
    <w:basedOn w:val="DefaultParagraphFont"/>
    <w:link w:val="21"/>
    <w:rsid w:val="000F695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"/>
    <w:rsid w:val="000F69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21">
    <w:name w:val="Основной текст (2)"/>
    <w:basedOn w:val="Normal"/>
    <w:link w:val="20"/>
    <w:rsid w:val="000F6958"/>
    <w:pPr>
      <w:widowControl w:val="0"/>
      <w:shd w:val="clear" w:color="auto" w:fill="FFFFFF"/>
      <w:spacing w:before="180" w:after="180" w:line="0" w:lineRule="atLeast"/>
      <w:jc w:val="both"/>
    </w:pPr>
    <w:rPr>
      <w:rFonts w:eastAsia="Arial" w:cs="Arial"/>
      <w:b/>
      <w:bCs/>
      <w:sz w:val="21"/>
      <w:szCs w:val="21"/>
    </w:rPr>
  </w:style>
  <w:style w:type="paragraph" w:styleId="Revision">
    <w:name w:val="Revision"/>
    <w:hidden/>
    <w:uiPriority w:val="99"/>
    <w:semiHidden/>
    <w:rsid w:val="0036327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7BCA-CD42-4863-BABD-F0251418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2080</Words>
  <Characters>11857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2016-12-21T09:49:00Z</dcterms:created>
  <dcterms:modified xsi:type="dcterms:W3CDTF">2017-01-26T12:23:00Z</dcterms:modified>
</cp:coreProperties>
</file>