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3A3" w:rsidRPr="00233077" w:rsidRDefault="004373A3" w:rsidP="00437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NOTĂ INFORMATIVĂ</w:t>
      </w:r>
    </w:p>
    <w:p w:rsidR="004373A3" w:rsidRPr="00233077" w:rsidRDefault="004373A3" w:rsidP="00437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privind </w:t>
      </w:r>
      <w:r w:rsidR="00A018EF"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relațiile</w:t>
      </w:r>
      <w:r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comercial-economice</w:t>
      </w:r>
    </w:p>
    <w:p w:rsidR="004373A3" w:rsidRPr="00233077" w:rsidRDefault="004373A3" w:rsidP="00437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între Republica Moldova şi Republica Estonia pentru anul 2015</w:t>
      </w:r>
    </w:p>
    <w:p w:rsidR="004373A3" w:rsidRPr="00233077" w:rsidRDefault="004373A3" w:rsidP="00437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494D59" w:rsidRPr="00233077" w:rsidRDefault="004373A3" w:rsidP="00494D5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24"/>
          <w:u w:val="single"/>
          <w:lang w:val="ro-RO" w:eastAsia="ru-RU"/>
        </w:rPr>
      </w:pPr>
      <w:r w:rsidRPr="00233077"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24"/>
          <w:u w:val="single"/>
          <w:lang w:val="ro-RO" w:eastAsia="ru-RU"/>
        </w:rPr>
        <w:t>CADRUL JURIDIC</w:t>
      </w:r>
      <w:r w:rsidR="00015518" w:rsidRPr="00233077"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24"/>
          <w:u w:val="single"/>
          <w:lang w:val="ro-RO" w:eastAsia="ru-RU"/>
        </w:rPr>
        <w:t xml:space="preserve"> </w:t>
      </w:r>
    </w:p>
    <w:p w:rsidR="004373A3" w:rsidRPr="00233077" w:rsidRDefault="00015518" w:rsidP="00843D0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noProof/>
          <w:kern w:val="32"/>
          <w:sz w:val="24"/>
          <w:szCs w:val="24"/>
          <w:lang w:val="ro-RO" w:eastAsia="ru-RU"/>
        </w:rPr>
      </w:pPr>
      <w:r w:rsidRPr="00233077">
        <w:rPr>
          <w:rFonts w:ascii="Times New Roman" w:eastAsia="Times New Roman" w:hAnsi="Times New Roman" w:cs="Times New Roman"/>
          <w:b/>
          <w:bCs/>
          <w:i/>
          <w:noProof/>
          <w:kern w:val="32"/>
          <w:sz w:val="24"/>
          <w:szCs w:val="24"/>
          <w:lang w:val="ro-RO" w:eastAsia="ru-RU"/>
        </w:rPr>
        <w:t>în domeniul economic</w:t>
      </w:r>
    </w:p>
    <w:p w:rsidR="002E5911" w:rsidRPr="00233077" w:rsidRDefault="00843D0E" w:rsidP="002475DD">
      <w:pPr>
        <w:pStyle w:val="a4"/>
        <w:numPr>
          <w:ilvl w:val="0"/>
          <w:numId w:val="8"/>
        </w:numPr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</w:pPr>
      <w:r w:rsidRPr="00233077">
        <w:rPr>
          <w:rFonts w:ascii="Times New Roman" w:hAnsi="Times New Roman" w:cs="Times New Roman"/>
          <w:sz w:val="24"/>
          <w:szCs w:val="24"/>
          <w:lang w:val="ro-RO"/>
        </w:rPr>
        <w:t>Acord între Guvernul Republicii Moldova şi Guvernul Republicii Estonia privind colaborarea</w:t>
      </w:r>
      <w:r w:rsidR="00872250" w:rsidRPr="002330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077">
        <w:rPr>
          <w:rFonts w:ascii="Times New Roman" w:hAnsi="Times New Roman" w:cs="Times New Roman"/>
          <w:sz w:val="24"/>
          <w:szCs w:val="24"/>
          <w:lang w:val="ro-RO"/>
        </w:rPr>
        <w:t>economică şi comercială (semnat  la Tallinn la 20.07.1995; în vigoare din 31.10.1995</w:t>
      </w:r>
      <w:r w:rsidR="00015518" w:rsidRPr="00233077">
        <w:rPr>
          <w:rFonts w:ascii="Times New Roman" w:hAnsi="Times New Roman" w:cs="Times New Roman"/>
          <w:sz w:val="24"/>
          <w:szCs w:val="24"/>
          <w:lang w:val="ro-RO"/>
        </w:rPr>
        <w:t>);</w:t>
      </w:r>
      <w:r w:rsidR="002E5911" w:rsidRPr="00233077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 xml:space="preserve"> </w:t>
      </w:r>
    </w:p>
    <w:p w:rsidR="002E5911" w:rsidRPr="00233077" w:rsidRDefault="002E5911" w:rsidP="002475DD">
      <w:pPr>
        <w:pStyle w:val="a4"/>
        <w:numPr>
          <w:ilvl w:val="0"/>
          <w:numId w:val="8"/>
        </w:numPr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</w:pPr>
      <w:r w:rsidRPr="00233077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>Acordul adiţional la Acordul între Guvernul Republicii Moldova şi Guvernul Republicii Estonia privind cooperarea comercială şi economică (semnat la Tallinn la 20.07.95; în vigoare din 1.05.2004);</w:t>
      </w:r>
    </w:p>
    <w:p w:rsidR="003A1281" w:rsidRPr="00233077" w:rsidRDefault="003A1281" w:rsidP="002475DD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077">
        <w:rPr>
          <w:rFonts w:ascii="Times New Roman" w:hAnsi="Times New Roman" w:cs="Times New Roman"/>
          <w:sz w:val="24"/>
          <w:szCs w:val="24"/>
          <w:lang w:val="ro-RO"/>
        </w:rPr>
        <w:t>Acord între Guvernul Republicii Moldova şi Guvernul Republicii Estonia pentru evitarea dublei</w:t>
      </w:r>
      <w:r w:rsidR="002E5911" w:rsidRPr="002330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077">
        <w:rPr>
          <w:rFonts w:ascii="Times New Roman" w:hAnsi="Times New Roman" w:cs="Times New Roman"/>
          <w:sz w:val="24"/>
          <w:szCs w:val="24"/>
          <w:lang w:val="ro-RO"/>
        </w:rPr>
        <w:t>impuneri şi prevenirea evaziunii fiscale cu privire la impozitele pe venit şi pe capital (semnat la Tallinn la 23.02.1998; în vigoare din 21.07.1998)</w:t>
      </w:r>
      <w:r w:rsidR="00015518" w:rsidRPr="0023307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A1281" w:rsidRPr="00233077" w:rsidRDefault="00A7050D" w:rsidP="002475DD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val="ro-RO" w:eastAsia="ru-RU"/>
        </w:rPr>
      </w:pPr>
      <w:r w:rsidRPr="00233077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val="ro-RO" w:eastAsia="ru-RU"/>
        </w:rPr>
        <w:t>Acord între Guvernul Republicii Moldova şi Guvernul Republicii Estonia privind promovarea şi protejarea reciprocă a investiţiilor (semnat la Tallinn la 18.06.2010; în vigoare din 21.04.2011)</w:t>
      </w:r>
      <w:r w:rsidR="00015518" w:rsidRPr="00233077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val="ro-RO" w:eastAsia="ru-RU"/>
        </w:rPr>
        <w:t>.</w:t>
      </w:r>
    </w:p>
    <w:p w:rsidR="004373A3" w:rsidRPr="00233077" w:rsidRDefault="004373A3" w:rsidP="004373A3">
      <w:pPr>
        <w:spacing w:after="0" w:line="24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</w:pPr>
    </w:p>
    <w:p w:rsidR="004373A3" w:rsidRPr="00233077" w:rsidRDefault="004373A3" w:rsidP="00843D0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  <w:r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23307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COMERŢUL BILATERAL</w:t>
      </w:r>
      <w:r w:rsidR="00263534" w:rsidRPr="0023307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 xml:space="preserve"> în anul 2015</w:t>
      </w:r>
    </w:p>
    <w:p w:rsidR="00B96C17" w:rsidRPr="00233077" w:rsidRDefault="00B96C17" w:rsidP="00B96C1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3307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Volumul comerţului exterior (fără a se ţine cont de activitatea comercială a agenţilor economici din </w:t>
      </w:r>
      <w:r w:rsidRPr="0023307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raioanele de est</w:t>
      </w:r>
      <w:r w:rsidRPr="0023307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al Republicii Moldova cu Republica </w:t>
      </w:r>
      <w:r w:rsidR="00C40727" w:rsidRPr="0023307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Estonia</w:t>
      </w:r>
      <w:r w:rsidRPr="0023307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anul 2015, a înregistrat suma de </w:t>
      </w:r>
      <w:r w:rsidR="004A5734" w:rsidRPr="0023307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10375,2 </w:t>
      </w:r>
      <w:r w:rsidR="002E6ADB"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mii</w:t>
      </w:r>
      <w:r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 USD</w:t>
      </w:r>
      <w:r w:rsidRPr="0023307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Comparativ cu anul precedent, volumul comerţului exterior </w:t>
      </w:r>
      <w:r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s-a mic</w:t>
      </w:r>
      <w:r w:rsidRPr="00233077">
        <w:rPr>
          <w:rFonts w:ascii="Cambria Math" w:eastAsia="Times New Roman" w:hAnsi="Cambria Math" w:cs="Cambria Math"/>
          <w:b/>
          <w:sz w:val="24"/>
          <w:szCs w:val="24"/>
          <w:lang w:val="ro-RO" w:eastAsia="ru-RU"/>
        </w:rPr>
        <w:t>ș</w:t>
      </w:r>
      <w:r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orat cu</w:t>
      </w:r>
      <w:r w:rsidRPr="0023307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9B5259"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0</w:t>
      </w:r>
      <w:r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="009B5259"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3</w:t>
      </w:r>
      <w:r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%</w:t>
      </w:r>
      <w:r w:rsidR="009B5259"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sau cu 31,7 mii. USD</w:t>
      </w:r>
      <w:r w:rsidRPr="0023307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Ponderea comerţului constituie </w:t>
      </w:r>
      <w:r w:rsidR="008436CE"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0</w:t>
      </w:r>
      <w:r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="008436CE"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17</w:t>
      </w:r>
      <w:r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% </w:t>
      </w:r>
      <w:r w:rsidRPr="0023307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volumul comerţului total al RM.</w:t>
      </w:r>
    </w:p>
    <w:p w:rsidR="00B96C17" w:rsidRPr="00233077" w:rsidRDefault="00B96C17" w:rsidP="00B96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B96C17" w:rsidRPr="00233077" w:rsidRDefault="00B96C17" w:rsidP="00B96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23307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Evoluţia schimburilor comerciale </w:t>
      </w:r>
    </w:p>
    <w:p w:rsidR="00B96C17" w:rsidRPr="00233077" w:rsidRDefault="00B96C17" w:rsidP="00B96C17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23307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="002E6ADB" w:rsidRPr="00233077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mii</w:t>
      </w:r>
      <w:r w:rsidRPr="00233077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. USD  </w:t>
      </w:r>
      <w:r w:rsidRPr="0023307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</w:p>
    <w:tbl>
      <w:tblPr>
        <w:tblW w:w="92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8"/>
        <w:gridCol w:w="2693"/>
        <w:gridCol w:w="2552"/>
        <w:gridCol w:w="2344"/>
      </w:tblGrid>
      <w:tr w:rsidR="00B96C17" w:rsidRPr="00233077" w:rsidTr="008A19CF">
        <w:trPr>
          <w:trHeight w:hRule="exact" w:val="567"/>
          <w:jc w:val="center"/>
        </w:trPr>
        <w:tc>
          <w:tcPr>
            <w:tcW w:w="1638" w:type="dxa"/>
            <w:vAlign w:val="center"/>
          </w:tcPr>
          <w:p w:rsidR="00B96C17" w:rsidRPr="00233077" w:rsidRDefault="00B96C17" w:rsidP="008A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2693" w:type="dxa"/>
            <w:vAlign w:val="center"/>
          </w:tcPr>
          <w:p w:rsidR="00B96C17" w:rsidRPr="00233077" w:rsidRDefault="00B96C17" w:rsidP="008A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233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2014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B96C17" w:rsidRPr="00233077" w:rsidRDefault="00B96C17" w:rsidP="008A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233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2015</w:t>
            </w:r>
          </w:p>
        </w:tc>
        <w:tc>
          <w:tcPr>
            <w:tcW w:w="2344" w:type="dxa"/>
            <w:vAlign w:val="center"/>
          </w:tcPr>
          <w:p w:rsidR="00B96C17" w:rsidRPr="00233077" w:rsidRDefault="00B96C17" w:rsidP="008A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233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Dinamica </w:t>
            </w:r>
          </w:p>
          <w:p w:rsidR="00B96C17" w:rsidRPr="00233077" w:rsidRDefault="00B96C17" w:rsidP="008A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233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2014/2015%</w:t>
            </w:r>
          </w:p>
          <w:p w:rsidR="00B96C17" w:rsidRPr="00233077" w:rsidRDefault="00B96C17" w:rsidP="008A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4A5734" w:rsidRPr="00233077" w:rsidTr="008A19CF">
        <w:trPr>
          <w:trHeight w:hRule="exact" w:val="397"/>
          <w:jc w:val="center"/>
        </w:trPr>
        <w:tc>
          <w:tcPr>
            <w:tcW w:w="1638" w:type="dxa"/>
          </w:tcPr>
          <w:p w:rsidR="004A5734" w:rsidRPr="00233077" w:rsidRDefault="004A5734" w:rsidP="008A1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233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Total</w:t>
            </w:r>
          </w:p>
        </w:tc>
        <w:tc>
          <w:tcPr>
            <w:tcW w:w="2693" w:type="dxa"/>
            <w:vAlign w:val="bottom"/>
          </w:tcPr>
          <w:p w:rsidR="004A5734" w:rsidRPr="00233077" w:rsidRDefault="004A5734" w:rsidP="004A57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3307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10406,9</w:t>
            </w:r>
          </w:p>
        </w:tc>
        <w:tc>
          <w:tcPr>
            <w:tcW w:w="2552" w:type="dxa"/>
            <w:shd w:val="clear" w:color="auto" w:fill="E0E0E0"/>
            <w:vAlign w:val="bottom"/>
          </w:tcPr>
          <w:p w:rsidR="004A5734" w:rsidRPr="00233077" w:rsidRDefault="004A5734" w:rsidP="004A57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2330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10375,2</w:t>
            </w:r>
          </w:p>
        </w:tc>
        <w:tc>
          <w:tcPr>
            <w:tcW w:w="2344" w:type="dxa"/>
            <w:vAlign w:val="bottom"/>
          </w:tcPr>
          <w:p w:rsidR="004A5734" w:rsidRPr="00233077" w:rsidRDefault="004A5734" w:rsidP="004A57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3307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-0,30</w:t>
            </w:r>
          </w:p>
        </w:tc>
      </w:tr>
      <w:tr w:rsidR="004A5734" w:rsidRPr="00233077" w:rsidTr="008A19CF">
        <w:trPr>
          <w:trHeight w:hRule="exact" w:val="397"/>
          <w:jc w:val="center"/>
        </w:trPr>
        <w:tc>
          <w:tcPr>
            <w:tcW w:w="1638" w:type="dxa"/>
          </w:tcPr>
          <w:p w:rsidR="004A5734" w:rsidRPr="00233077" w:rsidRDefault="004A5734" w:rsidP="008A1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233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Export </w:t>
            </w:r>
          </w:p>
        </w:tc>
        <w:tc>
          <w:tcPr>
            <w:tcW w:w="2693" w:type="dxa"/>
            <w:vAlign w:val="center"/>
          </w:tcPr>
          <w:p w:rsidR="004A5734" w:rsidRPr="00233077" w:rsidRDefault="004A5734" w:rsidP="004A57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3307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4417,4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4A5734" w:rsidRPr="00233077" w:rsidRDefault="004A5734" w:rsidP="004A57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330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4271,9</w:t>
            </w:r>
          </w:p>
        </w:tc>
        <w:tc>
          <w:tcPr>
            <w:tcW w:w="2344" w:type="dxa"/>
            <w:vAlign w:val="bottom"/>
          </w:tcPr>
          <w:p w:rsidR="004A5734" w:rsidRPr="00233077" w:rsidRDefault="004A5734" w:rsidP="004A57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3307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-3,29</w:t>
            </w:r>
          </w:p>
        </w:tc>
      </w:tr>
      <w:tr w:rsidR="004A5734" w:rsidRPr="00233077" w:rsidTr="008A19CF">
        <w:trPr>
          <w:trHeight w:hRule="exact" w:val="397"/>
          <w:jc w:val="center"/>
        </w:trPr>
        <w:tc>
          <w:tcPr>
            <w:tcW w:w="1638" w:type="dxa"/>
          </w:tcPr>
          <w:p w:rsidR="004A5734" w:rsidRPr="00233077" w:rsidRDefault="004A5734" w:rsidP="008A1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233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Import</w:t>
            </w:r>
          </w:p>
        </w:tc>
        <w:tc>
          <w:tcPr>
            <w:tcW w:w="2693" w:type="dxa"/>
            <w:vAlign w:val="center"/>
          </w:tcPr>
          <w:p w:rsidR="004A5734" w:rsidRPr="00233077" w:rsidRDefault="004A5734" w:rsidP="004A57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3307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5989,5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4A5734" w:rsidRPr="00233077" w:rsidRDefault="004A5734" w:rsidP="004A57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330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6103,3</w:t>
            </w:r>
          </w:p>
        </w:tc>
        <w:tc>
          <w:tcPr>
            <w:tcW w:w="2344" w:type="dxa"/>
            <w:vAlign w:val="bottom"/>
          </w:tcPr>
          <w:p w:rsidR="004A5734" w:rsidRPr="00233077" w:rsidRDefault="004A5734" w:rsidP="004A57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3307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+1,90</w:t>
            </w:r>
          </w:p>
        </w:tc>
      </w:tr>
      <w:tr w:rsidR="004A5734" w:rsidRPr="00233077" w:rsidTr="008A19CF">
        <w:trPr>
          <w:trHeight w:hRule="exact" w:val="397"/>
          <w:jc w:val="center"/>
        </w:trPr>
        <w:tc>
          <w:tcPr>
            <w:tcW w:w="1638" w:type="dxa"/>
          </w:tcPr>
          <w:p w:rsidR="004A5734" w:rsidRPr="00233077" w:rsidRDefault="004A5734" w:rsidP="008A1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233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Sold </w:t>
            </w:r>
          </w:p>
        </w:tc>
        <w:tc>
          <w:tcPr>
            <w:tcW w:w="2693" w:type="dxa"/>
            <w:vAlign w:val="bottom"/>
          </w:tcPr>
          <w:p w:rsidR="004A5734" w:rsidRPr="00233077" w:rsidRDefault="004A5734" w:rsidP="004A57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3307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-1572,1</w:t>
            </w:r>
          </w:p>
        </w:tc>
        <w:tc>
          <w:tcPr>
            <w:tcW w:w="2552" w:type="dxa"/>
            <w:shd w:val="clear" w:color="auto" w:fill="E0E0E0"/>
            <w:vAlign w:val="bottom"/>
          </w:tcPr>
          <w:p w:rsidR="004A5734" w:rsidRPr="00233077" w:rsidRDefault="004A5734" w:rsidP="004A57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2330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-1831,4</w:t>
            </w:r>
          </w:p>
        </w:tc>
        <w:tc>
          <w:tcPr>
            <w:tcW w:w="2344" w:type="dxa"/>
            <w:vAlign w:val="bottom"/>
          </w:tcPr>
          <w:p w:rsidR="004A5734" w:rsidRPr="00233077" w:rsidRDefault="004A5734" w:rsidP="004A57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B96C17" w:rsidRPr="00233077" w:rsidRDefault="00B96C17" w:rsidP="00B96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B96C17" w:rsidRPr="00233077" w:rsidRDefault="00B96C17" w:rsidP="00B96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2330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ru-RU"/>
        </w:rPr>
        <w:t>Soldul balanţei comerciale</w:t>
      </w:r>
      <w:r w:rsidRPr="002330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 </w:t>
      </w:r>
      <w:r w:rsidRPr="0023307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înregistrat în anul 2015 a fost în favoarea Republicii </w:t>
      </w:r>
      <w:r w:rsidR="00C40727" w:rsidRPr="0023307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Estonia </w:t>
      </w:r>
      <w:r w:rsidRPr="0023307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şi a constituit </w:t>
      </w:r>
      <w:r w:rsidRPr="0023307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-</w:t>
      </w:r>
      <w:r w:rsidR="000A5B45" w:rsidRPr="0023307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1831</w:t>
      </w:r>
      <w:r w:rsidRPr="0023307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2E6ADB" w:rsidRPr="002330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mii</w:t>
      </w:r>
      <w:r w:rsidRPr="002330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. USD</w:t>
      </w:r>
      <w:r w:rsidRPr="0023307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. </w:t>
      </w:r>
    </w:p>
    <w:p w:rsidR="00B96C17" w:rsidRPr="00233077" w:rsidRDefault="00B96C17" w:rsidP="00B9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96C17" w:rsidRPr="00233077" w:rsidRDefault="00B96C17" w:rsidP="00B9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3307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Exportul</w:t>
      </w:r>
      <w:r w:rsidRPr="0023307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mărfuri efectuat în anul de referinţă din Republica Moldova în Republica </w:t>
      </w:r>
      <w:r w:rsidR="00C40727" w:rsidRPr="0023307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Estonia</w:t>
      </w:r>
      <w:r w:rsidRPr="0023307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însumat </w:t>
      </w:r>
      <w:r w:rsidR="000A5B45" w:rsidRPr="0023307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4271,9 </w:t>
      </w:r>
      <w:r w:rsidR="002E6ADB"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mii</w:t>
      </w:r>
      <w:r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 USD</w:t>
      </w:r>
      <w:r w:rsidRPr="0023307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şi a înregistrat o descreştere de </w:t>
      </w:r>
      <w:r w:rsidR="000A5B45"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3</w:t>
      </w:r>
      <w:r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="000A5B45"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29</w:t>
      </w:r>
      <w:r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%, </w:t>
      </w:r>
      <w:r w:rsidRPr="0023307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comparativ cu anul 2014</w:t>
      </w:r>
      <w:r w:rsidRPr="002330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  <w:r w:rsidRPr="0023307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B96C17" w:rsidRPr="00233077" w:rsidRDefault="00B96C17" w:rsidP="00B96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96C17" w:rsidRPr="00233077" w:rsidRDefault="00B96C17" w:rsidP="00B96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30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Principale mărfuri exportate </w:t>
      </w:r>
    </w:p>
    <w:p w:rsidR="00B96C17" w:rsidRPr="00233077" w:rsidRDefault="002E6ADB" w:rsidP="00B96C1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</w:pPr>
      <w:r w:rsidRPr="0023307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>mii</w:t>
      </w:r>
      <w:r w:rsidR="00B96C17" w:rsidRPr="0023307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>. USD</w:t>
      </w:r>
    </w:p>
    <w:tbl>
      <w:tblPr>
        <w:tblW w:w="9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071"/>
        <w:gridCol w:w="718"/>
        <w:gridCol w:w="719"/>
        <w:gridCol w:w="1438"/>
        <w:gridCol w:w="1150"/>
      </w:tblGrid>
      <w:tr w:rsidR="00B96C17" w:rsidRPr="00FF7C00" w:rsidTr="008A19CF">
        <w:trPr>
          <w:trHeight w:val="435"/>
          <w:jc w:val="center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B96C17" w:rsidRPr="00FF7C00" w:rsidRDefault="00B96C17" w:rsidP="008A1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</w:tc>
        <w:tc>
          <w:tcPr>
            <w:tcW w:w="507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6C17" w:rsidRPr="00FF7C00" w:rsidRDefault="00B96C17" w:rsidP="008A1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</w:tc>
        <w:tc>
          <w:tcPr>
            <w:tcW w:w="718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6C17" w:rsidRPr="00FF7C00" w:rsidRDefault="00B96C17" w:rsidP="008A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FF7C00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2014</w:t>
            </w:r>
          </w:p>
        </w:tc>
        <w:tc>
          <w:tcPr>
            <w:tcW w:w="71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6C17" w:rsidRPr="00FF7C00" w:rsidRDefault="00B96C17" w:rsidP="008A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FF7C00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2015</w:t>
            </w:r>
          </w:p>
        </w:tc>
        <w:tc>
          <w:tcPr>
            <w:tcW w:w="1438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6C17" w:rsidRPr="00FF7C00" w:rsidRDefault="00B96C17" w:rsidP="008A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FF7C00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Dinamica</w:t>
            </w:r>
          </w:p>
          <w:p w:rsidR="00B96C17" w:rsidRPr="00FF7C00" w:rsidRDefault="00B96C17" w:rsidP="008A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FF7C00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2015/2014</w:t>
            </w:r>
          </w:p>
        </w:tc>
        <w:tc>
          <w:tcPr>
            <w:tcW w:w="115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6C17" w:rsidRPr="00FF7C00" w:rsidRDefault="00B96C17" w:rsidP="008A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FF7C00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Ponderea în total export</w:t>
            </w:r>
          </w:p>
        </w:tc>
      </w:tr>
      <w:tr w:rsidR="00005D3C" w:rsidRPr="00FF7C00" w:rsidTr="00005D3C">
        <w:trPr>
          <w:trHeight w:val="324"/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2208</w:t>
            </w:r>
          </w:p>
        </w:tc>
        <w:tc>
          <w:tcPr>
            <w:tcW w:w="5071" w:type="dxa"/>
          </w:tcPr>
          <w:p w:rsidR="00005D3C" w:rsidRPr="00FF7C00" w:rsidRDefault="00005D3C" w:rsidP="000933F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Alcool etilic nedenaturat cu tarie alcoolica sub 80% vol; distilate, rachiuri, lichioruri si alte bauturi spirtoase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963,9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957,3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-0,68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22,41</w:t>
            </w:r>
          </w:p>
        </w:tc>
      </w:tr>
      <w:tr w:rsidR="00005D3C" w:rsidRPr="00FF7C00" w:rsidTr="00005D3C">
        <w:trPr>
          <w:trHeight w:val="342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9028</w:t>
            </w:r>
          </w:p>
        </w:tc>
        <w:tc>
          <w:tcPr>
            <w:tcW w:w="5071" w:type="dxa"/>
          </w:tcPr>
          <w:p w:rsidR="00005D3C" w:rsidRPr="00FF7C00" w:rsidRDefault="00005D3C" w:rsidP="000933F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Contoare de gaze, de lichide sau de electricitate, inclusiv contoare pentru etalonarea lor</w:t>
            </w:r>
          </w:p>
        </w:tc>
        <w:tc>
          <w:tcPr>
            <w:tcW w:w="718" w:type="dxa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934,1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677,7</w:t>
            </w:r>
          </w:p>
        </w:tc>
        <w:tc>
          <w:tcPr>
            <w:tcW w:w="1438" w:type="dxa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-27,45</w:t>
            </w:r>
          </w:p>
        </w:tc>
        <w:tc>
          <w:tcPr>
            <w:tcW w:w="1150" w:type="dxa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15,86</w:t>
            </w:r>
          </w:p>
        </w:tc>
      </w:tr>
      <w:tr w:rsidR="00005D3C" w:rsidRPr="00FF7C00" w:rsidTr="00005D3C">
        <w:trPr>
          <w:trHeight w:val="342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lastRenderedPageBreak/>
              <w:t>2204</w:t>
            </w:r>
          </w:p>
        </w:tc>
        <w:tc>
          <w:tcPr>
            <w:tcW w:w="5071" w:type="dxa"/>
          </w:tcPr>
          <w:p w:rsidR="00005D3C" w:rsidRPr="00FF7C00" w:rsidRDefault="00005D3C" w:rsidP="000933F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Vinuri din struguri proaspeti, inclusiv vinurile imbogatite cu alcool; musturi de struguri, altele decit de la pozitia 2009</w:t>
            </w:r>
          </w:p>
        </w:tc>
        <w:tc>
          <w:tcPr>
            <w:tcW w:w="718" w:type="dxa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300,2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508,8</w:t>
            </w:r>
          </w:p>
        </w:tc>
        <w:tc>
          <w:tcPr>
            <w:tcW w:w="1438" w:type="dxa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+69,49</w:t>
            </w:r>
          </w:p>
        </w:tc>
        <w:tc>
          <w:tcPr>
            <w:tcW w:w="1150" w:type="dxa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11,91</w:t>
            </w:r>
          </w:p>
        </w:tc>
      </w:tr>
      <w:tr w:rsidR="00005D3C" w:rsidRPr="00FF7C00" w:rsidTr="00005D3C">
        <w:trPr>
          <w:trHeight w:val="342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1206</w:t>
            </w:r>
          </w:p>
        </w:tc>
        <w:tc>
          <w:tcPr>
            <w:tcW w:w="5071" w:type="dxa"/>
          </w:tcPr>
          <w:p w:rsidR="00005D3C" w:rsidRPr="00FF7C00" w:rsidRDefault="00005D3C" w:rsidP="000933F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Seminte de floarea-soarelui, chiar sfarimate:</w:t>
            </w:r>
          </w:p>
        </w:tc>
        <w:tc>
          <w:tcPr>
            <w:tcW w:w="718" w:type="dxa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723,8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352,6</w:t>
            </w:r>
          </w:p>
        </w:tc>
        <w:tc>
          <w:tcPr>
            <w:tcW w:w="1438" w:type="dxa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-51,28</w:t>
            </w:r>
          </w:p>
        </w:tc>
        <w:tc>
          <w:tcPr>
            <w:tcW w:w="1150" w:type="dxa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8,25</w:t>
            </w:r>
          </w:p>
        </w:tc>
      </w:tr>
      <w:tr w:rsidR="00005D3C" w:rsidRPr="00FF7C00" w:rsidTr="00005D3C">
        <w:trPr>
          <w:trHeight w:val="342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2202</w:t>
            </w:r>
          </w:p>
        </w:tc>
        <w:tc>
          <w:tcPr>
            <w:tcW w:w="5071" w:type="dxa"/>
          </w:tcPr>
          <w:p w:rsidR="00005D3C" w:rsidRPr="00FF7C00" w:rsidRDefault="00005D3C" w:rsidP="000933F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Ape, inclusiv ape minerale si ape gazeificate, care contin zahar sau alti indulcitori sau aromatizate si alte bauturi nealcoolice, cu exceptia sucurilor de fructe sau de legume de la pozitia 2009</w:t>
            </w:r>
          </w:p>
        </w:tc>
        <w:tc>
          <w:tcPr>
            <w:tcW w:w="718" w:type="dxa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47,6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317,3</w:t>
            </w:r>
          </w:p>
        </w:tc>
        <w:tc>
          <w:tcPr>
            <w:tcW w:w="1438" w:type="dxa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+ de 6 ori</w:t>
            </w:r>
          </w:p>
        </w:tc>
        <w:tc>
          <w:tcPr>
            <w:tcW w:w="1150" w:type="dxa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7,43</w:t>
            </w:r>
          </w:p>
        </w:tc>
      </w:tr>
      <w:tr w:rsidR="00005D3C" w:rsidRPr="00FF7C00" w:rsidTr="00005D3C">
        <w:trPr>
          <w:trHeight w:val="342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9102</w:t>
            </w:r>
          </w:p>
        </w:tc>
        <w:tc>
          <w:tcPr>
            <w:tcW w:w="5071" w:type="dxa"/>
          </w:tcPr>
          <w:p w:rsidR="00005D3C" w:rsidRPr="00FF7C00" w:rsidRDefault="00005D3C" w:rsidP="000933F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Ceasuri de mina, ceasuri de buzunar si alte ceasuri similare (inclusiv cronometrele de acelasi tip), altele decit cele de la pozitia 9101</w:t>
            </w:r>
          </w:p>
        </w:tc>
        <w:tc>
          <w:tcPr>
            <w:tcW w:w="718" w:type="dxa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-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305,0</w:t>
            </w:r>
          </w:p>
        </w:tc>
        <w:tc>
          <w:tcPr>
            <w:tcW w:w="1438" w:type="dxa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-</w:t>
            </w:r>
          </w:p>
        </w:tc>
        <w:tc>
          <w:tcPr>
            <w:tcW w:w="1150" w:type="dxa"/>
            <w:vAlign w:val="center"/>
          </w:tcPr>
          <w:p w:rsidR="00005D3C" w:rsidRPr="00FF7C00" w:rsidRDefault="00005D3C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7,14</w:t>
            </w:r>
          </w:p>
        </w:tc>
      </w:tr>
    </w:tbl>
    <w:p w:rsidR="00B96C17" w:rsidRPr="00233077" w:rsidRDefault="00B96C17" w:rsidP="00B96C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96C17" w:rsidRPr="00233077" w:rsidRDefault="00B96C17" w:rsidP="00B96C1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3307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Importul</w:t>
      </w:r>
      <w:r w:rsidRPr="00233077">
        <w:rPr>
          <w:rFonts w:ascii="Times New Roman" w:hAnsi="Times New Roman" w:cs="Times New Roman"/>
          <w:sz w:val="24"/>
          <w:szCs w:val="24"/>
          <w:lang w:val="ro-RO"/>
        </w:rPr>
        <w:t xml:space="preserve"> de mărfuri efectuat în anul 2015 în Moldova din </w:t>
      </w:r>
      <w:r w:rsidR="00C40727" w:rsidRPr="0023307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Estonia </w:t>
      </w:r>
      <w:r w:rsidRPr="00233077">
        <w:rPr>
          <w:rFonts w:ascii="Times New Roman" w:hAnsi="Times New Roman" w:cs="Times New Roman"/>
          <w:sz w:val="24"/>
          <w:szCs w:val="24"/>
          <w:lang w:val="ro-RO"/>
        </w:rPr>
        <w:t xml:space="preserve">a însumat </w:t>
      </w:r>
      <w:r w:rsidR="000A5B45" w:rsidRPr="0023307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6103,3 </w:t>
      </w:r>
      <w:r w:rsidR="002E6ADB" w:rsidRPr="00233077">
        <w:rPr>
          <w:rFonts w:ascii="Times New Roman" w:hAnsi="Times New Roman" w:cs="Times New Roman"/>
          <w:b/>
          <w:sz w:val="24"/>
          <w:szCs w:val="24"/>
          <w:lang w:val="ro-RO"/>
        </w:rPr>
        <w:t>mii</w:t>
      </w:r>
      <w:r w:rsidRPr="00233077">
        <w:rPr>
          <w:rFonts w:ascii="Times New Roman" w:hAnsi="Times New Roman" w:cs="Times New Roman"/>
          <w:b/>
          <w:sz w:val="24"/>
          <w:szCs w:val="24"/>
          <w:lang w:val="ro-RO"/>
        </w:rPr>
        <w:t>. USD</w:t>
      </w:r>
      <w:r w:rsidRPr="00233077">
        <w:rPr>
          <w:rFonts w:ascii="Times New Roman" w:hAnsi="Times New Roman" w:cs="Times New Roman"/>
          <w:sz w:val="24"/>
          <w:szCs w:val="24"/>
          <w:lang w:val="ro-RO"/>
        </w:rPr>
        <w:t xml:space="preserve"> şi a înregistrat o creştere în raport cu anul 2014 cu </w:t>
      </w:r>
      <w:r w:rsidR="000A5B45" w:rsidRPr="00233077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233077">
        <w:rPr>
          <w:rFonts w:ascii="Times New Roman" w:hAnsi="Times New Roman" w:cs="Times New Roman"/>
          <w:b/>
          <w:sz w:val="24"/>
          <w:szCs w:val="24"/>
          <w:lang w:val="ro-RO"/>
        </w:rPr>
        <w:t>,9%.</w:t>
      </w:r>
      <w:r w:rsidRPr="002330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96C17" w:rsidRPr="00233077" w:rsidRDefault="00B96C17" w:rsidP="00B96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30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Principale mărfuri importate </w:t>
      </w:r>
    </w:p>
    <w:p w:rsidR="00B96C17" w:rsidRPr="00233077" w:rsidRDefault="002E6ADB" w:rsidP="00B96C17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</w:pPr>
      <w:r w:rsidRPr="0023307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>mii</w:t>
      </w:r>
      <w:r w:rsidR="00B96C17" w:rsidRPr="0023307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>. USD</w:t>
      </w:r>
    </w:p>
    <w:tbl>
      <w:tblPr>
        <w:tblW w:w="95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72"/>
        <w:gridCol w:w="993"/>
        <w:gridCol w:w="850"/>
        <w:gridCol w:w="1459"/>
        <w:gridCol w:w="1134"/>
      </w:tblGrid>
      <w:tr w:rsidR="00B96C17" w:rsidRPr="00FF7C00" w:rsidTr="008A19CF">
        <w:trPr>
          <w:jc w:val="center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B96C17" w:rsidRPr="00FF7C00" w:rsidRDefault="00B96C17" w:rsidP="008A1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</w:tc>
        <w:tc>
          <w:tcPr>
            <w:tcW w:w="4372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6C17" w:rsidRPr="00FF7C00" w:rsidRDefault="00B96C17" w:rsidP="008A1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6C17" w:rsidRPr="00FF7C00" w:rsidRDefault="00B96C17" w:rsidP="008A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FF7C00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2014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6C17" w:rsidRPr="00FF7C00" w:rsidRDefault="00B96C17" w:rsidP="008A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FF7C00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2015</w:t>
            </w:r>
          </w:p>
        </w:tc>
        <w:tc>
          <w:tcPr>
            <w:tcW w:w="145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6C17" w:rsidRPr="00FF7C00" w:rsidRDefault="00B96C17" w:rsidP="008A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FF7C00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Dinamica</w:t>
            </w:r>
          </w:p>
          <w:p w:rsidR="00B96C17" w:rsidRPr="00FF7C00" w:rsidRDefault="00B96C17" w:rsidP="008A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FF7C00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2015/2014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6C17" w:rsidRPr="00FF7C00" w:rsidRDefault="00B96C17" w:rsidP="008A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FF7C00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Ponderea în total import</w:t>
            </w:r>
          </w:p>
        </w:tc>
      </w:tr>
      <w:tr w:rsidR="006D7274" w:rsidRPr="00FF7C00" w:rsidTr="006D7274">
        <w:trPr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8517</w:t>
            </w:r>
          </w:p>
        </w:tc>
        <w:tc>
          <w:tcPr>
            <w:tcW w:w="4372" w:type="dxa"/>
          </w:tcPr>
          <w:p w:rsidR="006D7274" w:rsidRPr="00FF7C00" w:rsidRDefault="006D7274" w:rsidP="000933F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Aparate telefonice pentru beneficiari, inclusiv telefoanele pentru reteaua de telefonie mobila si pentru alte retele fara fir; alte aparate pentru transmisia sau pentru receptia vocii, a imaginii sau a altor date, inclusiv aparatele pentru comunicati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1582,9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color w:val="000000"/>
                <w:lang w:val="ro-RO"/>
              </w:rPr>
              <w:t>1842,1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+16,37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30,18</w:t>
            </w:r>
          </w:p>
        </w:tc>
      </w:tr>
      <w:tr w:rsidR="006D7274" w:rsidRPr="00FF7C00" w:rsidTr="006D7274">
        <w:trPr>
          <w:trHeight w:val="600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3005</w:t>
            </w:r>
          </w:p>
        </w:tc>
        <w:tc>
          <w:tcPr>
            <w:tcW w:w="4372" w:type="dxa"/>
          </w:tcPr>
          <w:p w:rsidR="006D7274" w:rsidRPr="00FF7C00" w:rsidRDefault="006D7274" w:rsidP="000933F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Vata, tifoane, fese si articole similare (de exemplu, pansamente, plasturi adezivi, cataplasme)</w:t>
            </w:r>
          </w:p>
        </w:tc>
        <w:tc>
          <w:tcPr>
            <w:tcW w:w="993" w:type="dxa"/>
            <w:vAlign w:val="center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431,8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color w:val="000000"/>
                <w:lang w:val="ro-RO"/>
              </w:rPr>
              <w:t>446,3</w:t>
            </w:r>
          </w:p>
        </w:tc>
        <w:tc>
          <w:tcPr>
            <w:tcW w:w="1459" w:type="dxa"/>
            <w:vAlign w:val="center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+3,35</w:t>
            </w:r>
          </w:p>
        </w:tc>
        <w:tc>
          <w:tcPr>
            <w:tcW w:w="1134" w:type="dxa"/>
            <w:vAlign w:val="center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7,31</w:t>
            </w:r>
          </w:p>
        </w:tc>
      </w:tr>
      <w:tr w:rsidR="006D7274" w:rsidRPr="00FF7C00" w:rsidTr="006D7274">
        <w:trPr>
          <w:trHeight w:val="600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8528</w:t>
            </w:r>
          </w:p>
        </w:tc>
        <w:tc>
          <w:tcPr>
            <w:tcW w:w="4372" w:type="dxa"/>
          </w:tcPr>
          <w:p w:rsidR="006D7274" w:rsidRPr="00FF7C00" w:rsidRDefault="006D7274" w:rsidP="000933F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Monitoare si proiectoare, care nu incorporeaza un aparat de receptie de televiziune; aparate receptoare de televiziune chiar incorporind un aparat de receptie de radiodifuziune sau un aparat de inregistrare sau de reproducere a sunetului sau imaginil</w:t>
            </w:r>
          </w:p>
        </w:tc>
        <w:tc>
          <w:tcPr>
            <w:tcW w:w="993" w:type="dxa"/>
            <w:vAlign w:val="center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color w:val="000000"/>
                <w:lang w:val="ro-RO"/>
              </w:rPr>
              <w:t>442,2</w:t>
            </w:r>
          </w:p>
        </w:tc>
        <w:tc>
          <w:tcPr>
            <w:tcW w:w="1459" w:type="dxa"/>
            <w:vAlign w:val="center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-</w:t>
            </w:r>
          </w:p>
        </w:tc>
        <w:tc>
          <w:tcPr>
            <w:tcW w:w="1134" w:type="dxa"/>
            <w:vAlign w:val="center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7,24</w:t>
            </w:r>
          </w:p>
        </w:tc>
      </w:tr>
      <w:tr w:rsidR="006D7274" w:rsidRPr="00FF7C00" w:rsidTr="006D7274">
        <w:trPr>
          <w:trHeight w:val="600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0303</w:t>
            </w:r>
          </w:p>
        </w:tc>
        <w:tc>
          <w:tcPr>
            <w:tcW w:w="4372" w:type="dxa"/>
          </w:tcPr>
          <w:p w:rsidR="006D7274" w:rsidRPr="00FF7C00" w:rsidRDefault="006D7274" w:rsidP="000933F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Pesti congelati, cu exceptia fileurilor de peste si a carnii de peste de la pozitia 0304</w:t>
            </w:r>
          </w:p>
        </w:tc>
        <w:tc>
          <w:tcPr>
            <w:tcW w:w="993" w:type="dxa"/>
            <w:vAlign w:val="center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609,2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color w:val="000000"/>
                <w:lang w:val="ro-RO"/>
              </w:rPr>
              <w:t>416,3</w:t>
            </w:r>
          </w:p>
        </w:tc>
        <w:tc>
          <w:tcPr>
            <w:tcW w:w="1459" w:type="dxa"/>
            <w:vAlign w:val="center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-31,66</w:t>
            </w:r>
          </w:p>
        </w:tc>
        <w:tc>
          <w:tcPr>
            <w:tcW w:w="1134" w:type="dxa"/>
            <w:vAlign w:val="center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6,82</w:t>
            </w:r>
          </w:p>
        </w:tc>
      </w:tr>
      <w:tr w:rsidR="006D7274" w:rsidRPr="00FF7C00" w:rsidTr="006D7274">
        <w:trPr>
          <w:trHeight w:val="600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1604</w:t>
            </w:r>
          </w:p>
        </w:tc>
        <w:tc>
          <w:tcPr>
            <w:tcW w:w="4372" w:type="dxa"/>
          </w:tcPr>
          <w:p w:rsidR="006D7274" w:rsidRPr="00FF7C00" w:rsidRDefault="006D7274" w:rsidP="000933F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Preparate si conserve din peste; caviar si inlocuitorii acestuia preparati din icre de peste</w:t>
            </w:r>
          </w:p>
        </w:tc>
        <w:tc>
          <w:tcPr>
            <w:tcW w:w="993" w:type="dxa"/>
            <w:vAlign w:val="center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175,4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b/>
                <w:color w:val="000000"/>
                <w:lang w:val="ro-RO"/>
              </w:rPr>
              <w:t>328,7</w:t>
            </w:r>
          </w:p>
        </w:tc>
        <w:tc>
          <w:tcPr>
            <w:tcW w:w="1459" w:type="dxa"/>
            <w:vAlign w:val="center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87,40</w:t>
            </w:r>
          </w:p>
        </w:tc>
        <w:tc>
          <w:tcPr>
            <w:tcW w:w="1134" w:type="dxa"/>
            <w:vAlign w:val="center"/>
          </w:tcPr>
          <w:p w:rsidR="006D7274" w:rsidRPr="00FF7C00" w:rsidRDefault="006D7274" w:rsidP="000933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FF7C00">
              <w:rPr>
                <w:rFonts w:ascii="Times New Roman" w:hAnsi="Times New Roman" w:cs="Times New Roman"/>
                <w:color w:val="000000"/>
                <w:lang w:val="ro-RO"/>
              </w:rPr>
              <w:t>5,38</w:t>
            </w:r>
          </w:p>
        </w:tc>
      </w:tr>
    </w:tbl>
    <w:p w:rsidR="00B96C17" w:rsidRDefault="00B96C17" w:rsidP="00B96C17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2330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ro-RO" w:eastAsia="ru-RU"/>
        </w:rPr>
        <w:t>COMISIA INTERGUVERNAMENTALĂ</w:t>
      </w:r>
      <w:r w:rsidRPr="002330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u-RU"/>
        </w:rPr>
        <w:t xml:space="preserve"> </w:t>
      </w:r>
      <w:r w:rsidRPr="002330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nu este formată.</w:t>
      </w:r>
    </w:p>
    <w:p w:rsidR="00E35CA3" w:rsidRDefault="00E35CA3" w:rsidP="00B96C17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</w:p>
    <w:p w:rsidR="00E35CA3" w:rsidRPr="00F138D6" w:rsidRDefault="00E35CA3" w:rsidP="00E35CA3">
      <w:pPr>
        <w:pStyle w:val="a4"/>
        <w:ind w:left="-851" w:right="-426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Ministerul Economiei </w:t>
      </w:r>
    </w:p>
    <w:p w:rsidR="00E35CA3" w:rsidRPr="00F138D6" w:rsidRDefault="00E35CA3" w:rsidP="00E35CA3">
      <w:pPr>
        <w:pStyle w:val="a4"/>
        <w:ind w:left="-851" w:right="-426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Direcţia relaţii economice bilaterale </w:t>
      </w:r>
    </w:p>
    <w:p w:rsidR="00E35CA3" w:rsidRPr="00F138D6" w:rsidRDefault="00E35CA3" w:rsidP="00E35CA3">
      <w:pPr>
        <w:pStyle w:val="a4"/>
        <w:ind w:left="-851" w:right="-426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şi cooperare cu organizaţiile </w:t>
      </w:r>
    </w:p>
    <w:p w:rsidR="00E35CA3" w:rsidRPr="00E35CA3" w:rsidRDefault="00E35CA3" w:rsidP="00E35CA3">
      <w:pPr>
        <w:pStyle w:val="a4"/>
        <w:ind w:left="-851" w:right="-426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>internaţionale financiare</w:t>
      </w:r>
      <w:bookmarkStart w:id="0" w:name="_GoBack"/>
      <w:bookmarkEnd w:id="0"/>
    </w:p>
    <w:sectPr w:rsidR="00E35CA3" w:rsidRPr="00E35CA3" w:rsidSect="00494D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5199"/>
    <w:multiLevelType w:val="multilevel"/>
    <w:tmpl w:val="3A88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81940"/>
    <w:multiLevelType w:val="hybridMultilevel"/>
    <w:tmpl w:val="C8AC0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B6B70"/>
    <w:multiLevelType w:val="hybridMultilevel"/>
    <w:tmpl w:val="F82E9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D3D63"/>
    <w:multiLevelType w:val="hybridMultilevel"/>
    <w:tmpl w:val="7F426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F25F3"/>
    <w:multiLevelType w:val="hybridMultilevel"/>
    <w:tmpl w:val="1B469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3058E"/>
    <w:multiLevelType w:val="hybridMultilevel"/>
    <w:tmpl w:val="72825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A13FC6"/>
    <w:multiLevelType w:val="multilevel"/>
    <w:tmpl w:val="8488B3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62120A6D"/>
    <w:multiLevelType w:val="hybridMultilevel"/>
    <w:tmpl w:val="769A72C0"/>
    <w:lvl w:ilvl="0" w:tplc="4CF4930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433DC"/>
    <w:multiLevelType w:val="hybridMultilevel"/>
    <w:tmpl w:val="781E9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F765C"/>
    <w:multiLevelType w:val="hybridMultilevel"/>
    <w:tmpl w:val="11BA5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BA75A3"/>
    <w:multiLevelType w:val="hybridMultilevel"/>
    <w:tmpl w:val="5E7C2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F60D14"/>
    <w:multiLevelType w:val="hybridMultilevel"/>
    <w:tmpl w:val="EAF0AD7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6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A3"/>
    <w:rsid w:val="00005D3C"/>
    <w:rsid w:val="00015518"/>
    <w:rsid w:val="000160F6"/>
    <w:rsid w:val="0003148C"/>
    <w:rsid w:val="00055388"/>
    <w:rsid w:val="00070E8F"/>
    <w:rsid w:val="0007212F"/>
    <w:rsid w:val="000751D6"/>
    <w:rsid w:val="00084EF4"/>
    <w:rsid w:val="00091097"/>
    <w:rsid w:val="000933F7"/>
    <w:rsid w:val="000A5B45"/>
    <w:rsid w:val="000A7AB3"/>
    <w:rsid w:val="000D01D7"/>
    <w:rsid w:val="000D2127"/>
    <w:rsid w:val="000E089F"/>
    <w:rsid w:val="000E2345"/>
    <w:rsid w:val="000E666D"/>
    <w:rsid w:val="000E7D3E"/>
    <w:rsid w:val="00110C11"/>
    <w:rsid w:val="00132EB6"/>
    <w:rsid w:val="00143DB0"/>
    <w:rsid w:val="00186C44"/>
    <w:rsid w:val="0019182A"/>
    <w:rsid w:val="001C16F1"/>
    <w:rsid w:val="001C5CF5"/>
    <w:rsid w:val="001D4A5F"/>
    <w:rsid w:val="001E21E1"/>
    <w:rsid w:val="001F0960"/>
    <w:rsid w:val="001F0B58"/>
    <w:rsid w:val="001F6FEF"/>
    <w:rsid w:val="00213878"/>
    <w:rsid w:val="00233077"/>
    <w:rsid w:val="00243EC3"/>
    <w:rsid w:val="002475DD"/>
    <w:rsid w:val="00250532"/>
    <w:rsid w:val="00253C04"/>
    <w:rsid w:val="0025584C"/>
    <w:rsid w:val="00263534"/>
    <w:rsid w:val="00273038"/>
    <w:rsid w:val="00282402"/>
    <w:rsid w:val="00286149"/>
    <w:rsid w:val="002A4EB4"/>
    <w:rsid w:val="002B044C"/>
    <w:rsid w:val="002B57CF"/>
    <w:rsid w:val="002C133B"/>
    <w:rsid w:val="002C44C9"/>
    <w:rsid w:val="002E23CC"/>
    <w:rsid w:val="002E5911"/>
    <w:rsid w:val="002E6ADB"/>
    <w:rsid w:val="002E708D"/>
    <w:rsid w:val="002F4A98"/>
    <w:rsid w:val="00300963"/>
    <w:rsid w:val="003502A4"/>
    <w:rsid w:val="00363D10"/>
    <w:rsid w:val="00367C16"/>
    <w:rsid w:val="003759EF"/>
    <w:rsid w:val="0038144B"/>
    <w:rsid w:val="003A1281"/>
    <w:rsid w:val="003A267B"/>
    <w:rsid w:val="003C33D8"/>
    <w:rsid w:val="003C3A0E"/>
    <w:rsid w:val="00414FA8"/>
    <w:rsid w:val="004373A3"/>
    <w:rsid w:val="00452385"/>
    <w:rsid w:val="00483D89"/>
    <w:rsid w:val="00487C0A"/>
    <w:rsid w:val="00492DA3"/>
    <w:rsid w:val="00494D59"/>
    <w:rsid w:val="00495D0F"/>
    <w:rsid w:val="004A3EA3"/>
    <w:rsid w:val="004A5734"/>
    <w:rsid w:val="004B06FE"/>
    <w:rsid w:val="004C16BA"/>
    <w:rsid w:val="004C7550"/>
    <w:rsid w:val="004E337D"/>
    <w:rsid w:val="004F6F1D"/>
    <w:rsid w:val="004F756D"/>
    <w:rsid w:val="00503463"/>
    <w:rsid w:val="00504760"/>
    <w:rsid w:val="00504AF0"/>
    <w:rsid w:val="005243EE"/>
    <w:rsid w:val="00542D0B"/>
    <w:rsid w:val="00543B72"/>
    <w:rsid w:val="00551A99"/>
    <w:rsid w:val="005742B3"/>
    <w:rsid w:val="005779AB"/>
    <w:rsid w:val="005A024C"/>
    <w:rsid w:val="005A1FA8"/>
    <w:rsid w:val="005C30FF"/>
    <w:rsid w:val="005D0E02"/>
    <w:rsid w:val="005D3D06"/>
    <w:rsid w:val="005D774B"/>
    <w:rsid w:val="005F41EC"/>
    <w:rsid w:val="00606F09"/>
    <w:rsid w:val="00613B34"/>
    <w:rsid w:val="006A23DF"/>
    <w:rsid w:val="006A5C8F"/>
    <w:rsid w:val="006B7C89"/>
    <w:rsid w:val="006C2A0C"/>
    <w:rsid w:val="006C4652"/>
    <w:rsid w:val="006D7274"/>
    <w:rsid w:val="006E4AA1"/>
    <w:rsid w:val="006E5175"/>
    <w:rsid w:val="006F42EC"/>
    <w:rsid w:val="0071660C"/>
    <w:rsid w:val="00725020"/>
    <w:rsid w:val="0074093B"/>
    <w:rsid w:val="00755F9E"/>
    <w:rsid w:val="007652DA"/>
    <w:rsid w:val="007926C8"/>
    <w:rsid w:val="00795BDC"/>
    <w:rsid w:val="00797231"/>
    <w:rsid w:val="007A3D7E"/>
    <w:rsid w:val="007A59E8"/>
    <w:rsid w:val="007B2A2B"/>
    <w:rsid w:val="007D051F"/>
    <w:rsid w:val="007D7AF3"/>
    <w:rsid w:val="007F01B2"/>
    <w:rsid w:val="007F3221"/>
    <w:rsid w:val="007F6F13"/>
    <w:rsid w:val="00805C3D"/>
    <w:rsid w:val="00812929"/>
    <w:rsid w:val="008240DD"/>
    <w:rsid w:val="008436CE"/>
    <w:rsid w:val="00843D0E"/>
    <w:rsid w:val="00872250"/>
    <w:rsid w:val="00886246"/>
    <w:rsid w:val="00887589"/>
    <w:rsid w:val="008951CB"/>
    <w:rsid w:val="008A171D"/>
    <w:rsid w:val="008A5556"/>
    <w:rsid w:val="008A7277"/>
    <w:rsid w:val="008B1296"/>
    <w:rsid w:val="008C00FF"/>
    <w:rsid w:val="008C3EF8"/>
    <w:rsid w:val="008D02D0"/>
    <w:rsid w:val="008D0BDF"/>
    <w:rsid w:val="008D41AC"/>
    <w:rsid w:val="008E20FB"/>
    <w:rsid w:val="008E77C5"/>
    <w:rsid w:val="008F09E9"/>
    <w:rsid w:val="008F46B6"/>
    <w:rsid w:val="009004EB"/>
    <w:rsid w:val="009237B5"/>
    <w:rsid w:val="00926C10"/>
    <w:rsid w:val="00946370"/>
    <w:rsid w:val="009B5259"/>
    <w:rsid w:val="009C3C8B"/>
    <w:rsid w:val="009C4D38"/>
    <w:rsid w:val="009D06C7"/>
    <w:rsid w:val="009D26A4"/>
    <w:rsid w:val="009D7788"/>
    <w:rsid w:val="009E1F56"/>
    <w:rsid w:val="009E625A"/>
    <w:rsid w:val="009F327B"/>
    <w:rsid w:val="00A018EF"/>
    <w:rsid w:val="00A40F4D"/>
    <w:rsid w:val="00A527E0"/>
    <w:rsid w:val="00A5317E"/>
    <w:rsid w:val="00A558F8"/>
    <w:rsid w:val="00A63082"/>
    <w:rsid w:val="00A67C51"/>
    <w:rsid w:val="00A7050D"/>
    <w:rsid w:val="00A7293E"/>
    <w:rsid w:val="00A80E78"/>
    <w:rsid w:val="00A8120C"/>
    <w:rsid w:val="00A86E0A"/>
    <w:rsid w:val="00A94613"/>
    <w:rsid w:val="00A94C0B"/>
    <w:rsid w:val="00AA518D"/>
    <w:rsid w:val="00AB4655"/>
    <w:rsid w:val="00AB70C3"/>
    <w:rsid w:val="00AC4D52"/>
    <w:rsid w:val="00AD633C"/>
    <w:rsid w:val="00B04E23"/>
    <w:rsid w:val="00B06B8B"/>
    <w:rsid w:val="00B10A85"/>
    <w:rsid w:val="00B1398F"/>
    <w:rsid w:val="00B14F83"/>
    <w:rsid w:val="00B36724"/>
    <w:rsid w:val="00B75D1E"/>
    <w:rsid w:val="00B862F1"/>
    <w:rsid w:val="00B96C17"/>
    <w:rsid w:val="00BC060D"/>
    <w:rsid w:val="00BC61FF"/>
    <w:rsid w:val="00BD1B5C"/>
    <w:rsid w:val="00BD2B35"/>
    <w:rsid w:val="00BD40FA"/>
    <w:rsid w:val="00C0637E"/>
    <w:rsid w:val="00C35A0C"/>
    <w:rsid w:val="00C40727"/>
    <w:rsid w:val="00C6651F"/>
    <w:rsid w:val="00C91F51"/>
    <w:rsid w:val="00CA3642"/>
    <w:rsid w:val="00CB0247"/>
    <w:rsid w:val="00CB43AA"/>
    <w:rsid w:val="00CB79B5"/>
    <w:rsid w:val="00CD127B"/>
    <w:rsid w:val="00CD3952"/>
    <w:rsid w:val="00D06D78"/>
    <w:rsid w:val="00D11609"/>
    <w:rsid w:val="00D52431"/>
    <w:rsid w:val="00D53A46"/>
    <w:rsid w:val="00D676FE"/>
    <w:rsid w:val="00DC0C8E"/>
    <w:rsid w:val="00DD3C3D"/>
    <w:rsid w:val="00DE4C71"/>
    <w:rsid w:val="00DF2139"/>
    <w:rsid w:val="00E028CA"/>
    <w:rsid w:val="00E3450A"/>
    <w:rsid w:val="00E35CA3"/>
    <w:rsid w:val="00E44722"/>
    <w:rsid w:val="00E52373"/>
    <w:rsid w:val="00E64268"/>
    <w:rsid w:val="00E722D6"/>
    <w:rsid w:val="00E846E4"/>
    <w:rsid w:val="00E85AC0"/>
    <w:rsid w:val="00ED4D9C"/>
    <w:rsid w:val="00EF18A1"/>
    <w:rsid w:val="00EF3122"/>
    <w:rsid w:val="00F35F75"/>
    <w:rsid w:val="00F476AB"/>
    <w:rsid w:val="00F702B4"/>
    <w:rsid w:val="00F8286E"/>
    <w:rsid w:val="00F905DC"/>
    <w:rsid w:val="00FC47B1"/>
    <w:rsid w:val="00FC5F61"/>
    <w:rsid w:val="00FC6661"/>
    <w:rsid w:val="00FD05B9"/>
    <w:rsid w:val="00FF1CB3"/>
    <w:rsid w:val="00FF5E39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3DE07-3A73-4A76-97ED-D21BF4D2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3A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Scriptoria bullet points,List Paragraph 1"/>
    <w:basedOn w:val="a"/>
    <w:link w:val="a5"/>
    <w:uiPriority w:val="34"/>
    <w:qFormat/>
    <w:rsid w:val="004373A3"/>
    <w:pPr>
      <w:ind w:left="720"/>
      <w:contextualSpacing/>
    </w:pPr>
  </w:style>
  <w:style w:type="paragraph" w:customStyle="1" w:styleId="1">
    <w:name w:val="Абзац списка1"/>
    <w:basedOn w:val="a"/>
    <w:rsid w:val="004373A3"/>
    <w:pPr>
      <w:spacing w:line="240" w:lineRule="auto"/>
      <w:ind w:left="720"/>
      <w:jc w:val="both"/>
    </w:pPr>
    <w:rPr>
      <w:rFonts w:ascii="Calibri" w:eastAsia="Times New Roman" w:hAnsi="Calibri" w:cs="Times New Roman"/>
      <w:lang w:val="fr-FR"/>
    </w:rPr>
  </w:style>
  <w:style w:type="paragraph" w:styleId="a6">
    <w:name w:val="Body Text Indent"/>
    <w:basedOn w:val="a"/>
    <w:link w:val="a7"/>
    <w:uiPriority w:val="99"/>
    <w:unhideWhenUsed/>
    <w:rsid w:val="004373A3"/>
    <w:pPr>
      <w:spacing w:after="120" w:line="240" w:lineRule="auto"/>
      <w:ind w:left="360"/>
      <w:jc w:val="both"/>
    </w:pPr>
    <w:rPr>
      <w:rFonts w:ascii="Calibri" w:eastAsia="Times New Roman" w:hAnsi="Calibri" w:cs="Times New Roman"/>
      <w:lang w:val="fr-FR"/>
    </w:rPr>
  </w:style>
  <w:style w:type="character" w:customStyle="1" w:styleId="a7">
    <w:name w:val="Основной текст с отступом Знак"/>
    <w:basedOn w:val="a0"/>
    <w:link w:val="a6"/>
    <w:uiPriority w:val="99"/>
    <w:rsid w:val="004373A3"/>
    <w:rPr>
      <w:rFonts w:ascii="Calibri" w:eastAsia="Times New Roman" w:hAnsi="Calibri" w:cs="Times New Roman"/>
      <w:lang w:val="fr-FR"/>
    </w:rPr>
  </w:style>
  <w:style w:type="character" w:customStyle="1" w:styleId="a5">
    <w:name w:val="Абзац списка Знак"/>
    <w:aliases w:val="Scriptoria bullet points Знак,List Paragraph 1 Знак"/>
    <w:basedOn w:val="a0"/>
    <w:link w:val="a4"/>
    <w:uiPriority w:val="34"/>
    <w:locked/>
    <w:rsid w:val="004373A3"/>
    <w:rPr>
      <w:lang w:val="en-US"/>
    </w:rPr>
  </w:style>
  <w:style w:type="character" w:customStyle="1" w:styleId="apple-converted-space">
    <w:name w:val="apple-converted-space"/>
    <w:basedOn w:val="a0"/>
    <w:rsid w:val="00494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1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6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6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1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619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</dc:creator>
  <cp:keywords/>
  <dc:description/>
  <cp:lastModifiedBy>Liudmila</cp:lastModifiedBy>
  <cp:revision>78</cp:revision>
  <cp:lastPrinted>2016-04-01T11:37:00Z</cp:lastPrinted>
  <dcterms:created xsi:type="dcterms:W3CDTF">2016-04-01T06:51:00Z</dcterms:created>
  <dcterms:modified xsi:type="dcterms:W3CDTF">2016-11-10T12:05:00Z</dcterms:modified>
</cp:coreProperties>
</file>