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E9D" w:rsidRPr="00AA78DA" w:rsidRDefault="00EB4E9D">
      <w:pPr>
        <w:spacing w:before="12" w:line="220" w:lineRule="exact"/>
        <w:rPr>
          <w:rFonts w:ascii="Times New Roman" w:hAnsi="Times New Roman" w:cs="Times New Roman"/>
          <w:lang w:val="ro-RO"/>
        </w:rPr>
      </w:pPr>
      <w:bookmarkStart w:id="0" w:name="_GoBack"/>
      <w:bookmarkEnd w:id="0"/>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pPr>
        <w:spacing w:before="12" w:line="220" w:lineRule="exact"/>
        <w:rPr>
          <w:rFonts w:ascii="Times New Roman" w:hAnsi="Times New Roman" w:cs="Times New Roman"/>
          <w:lang w:val="ro-RO"/>
        </w:rPr>
      </w:pPr>
    </w:p>
    <w:p w:rsidR="00747EA3" w:rsidRPr="00AA78DA" w:rsidRDefault="00747EA3" w:rsidP="002455C3">
      <w:pPr>
        <w:spacing w:before="75" w:line="257" w:lineRule="auto"/>
        <w:ind w:right="-7"/>
        <w:jc w:val="center"/>
        <w:rPr>
          <w:rFonts w:ascii="Times New Roman" w:eastAsia="Times New Roman" w:hAnsi="Times New Roman" w:cs="Times New Roman"/>
          <w:b/>
          <w:w w:val="105"/>
          <w:sz w:val="48"/>
          <w:szCs w:val="48"/>
          <w:lang w:val="ro-RO"/>
        </w:rPr>
      </w:pPr>
      <w:r w:rsidRPr="00AA78DA">
        <w:rPr>
          <w:rFonts w:ascii="Times New Roman" w:eastAsia="Times New Roman" w:hAnsi="Times New Roman" w:cs="Times New Roman"/>
          <w:b/>
          <w:w w:val="105"/>
          <w:sz w:val="48"/>
          <w:szCs w:val="48"/>
          <w:lang w:val="ro-RO"/>
        </w:rPr>
        <w:t>GHID</w:t>
      </w:r>
    </w:p>
    <w:p w:rsidR="00EB4E9D" w:rsidRPr="00AA78DA" w:rsidRDefault="00E6700A" w:rsidP="00747EA3">
      <w:pPr>
        <w:spacing w:before="75" w:line="257" w:lineRule="auto"/>
        <w:ind w:right="-7"/>
        <w:jc w:val="center"/>
        <w:rPr>
          <w:rFonts w:ascii="Times New Roman" w:hAnsi="Times New Roman" w:cs="Times New Roman"/>
          <w:sz w:val="32"/>
          <w:szCs w:val="32"/>
          <w:lang w:val="ro-RO"/>
        </w:rPr>
      </w:pPr>
      <w:r>
        <w:rPr>
          <w:rFonts w:ascii="Times New Roman" w:eastAsia="Times New Roman" w:hAnsi="Times New Roman" w:cs="Times New Roman"/>
          <w:b/>
          <w:w w:val="105"/>
          <w:sz w:val="32"/>
          <w:szCs w:val="32"/>
          <w:lang w:val="ro-RO"/>
        </w:rPr>
        <w:t>privind</w:t>
      </w:r>
      <w:r w:rsidR="00747EA3" w:rsidRPr="00AA78DA">
        <w:rPr>
          <w:rFonts w:ascii="Times New Roman" w:eastAsia="Times New Roman" w:hAnsi="Times New Roman" w:cs="Times New Roman"/>
          <w:b/>
          <w:w w:val="105"/>
          <w:sz w:val="32"/>
          <w:szCs w:val="32"/>
          <w:lang w:val="ro-RO"/>
        </w:rPr>
        <w:t xml:space="preserve"> relația </w:t>
      </w:r>
      <w:r w:rsidR="00747EA3" w:rsidRPr="00AA78DA">
        <w:rPr>
          <w:rFonts w:ascii="Times New Roman" w:hAnsi="Times New Roman" w:cs="Times New Roman"/>
          <w:b/>
          <w:bCs/>
          <w:sz w:val="32"/>
          <w:szCs w:val="32"/>
          <w:lang w:val="ro-RO"/>
        </w:rPr>
        <w:t>dintre Directiva 2001/95/CE privind siguranța generală a produselor și dispozițiile privind supravegherea pieței din Regulamentul (CE) nr. 765/2008</w:t>
      </w:r>
    </w:p>
    <w:p w:rsidR="00EB4E9D" w:rsidRPr="00AA78DA" w:rsidRDefault="00EB4E9D" w:rsidP="0043469D">
      <w:pPr>
        <w:spacing w:before="8" w:line="260" w:lineRule="exact"/>
        <w:rPr>
          <w:rFonts w:ascii="Times New Roman" w:hAnsi="Times New Roman" w:cs="Times New Roman"/>
          <w:sz w:val="32"/>
          <w:szCs w:val="32"/>
          <w:lang w:val="ro-RO"/>
        </w:rPr>
      </w:pPr>
    </w:p>
    <w:p w:rsidR="00747EA3" w:rsidRPr="00AA78DA" w:rsidRDefault="00747EA3" w:rsidP="0043469D">
      <w:pPr>
        <w:spacing w:before="8" w:line="260" w:lineRule="exact"/>
        <w:rPr>
          <w:rFonts w:ascii="Times New Roman" w:hAnsi="Times New Roman" w:cs="Times New Roman"/>
          <w:sz w:val="32"/>
          <w:szCs w:val="32"/>
          <w:lang w:val="ro-RO"/>
        </w:rPr>
      </w:pPr>
    </w:p>
    <w:p w:rsidR="00747EA3" w:rsidRPr="00AA78DA" w:rsidRDefault="00747EA3" w:rsidP="0043469D">
      <w:pPr>
        <w:spacing w:before="8" w:line="260" w:lineRule="exact"/>
        <w:rPr>
          <w:rFonts w:ascii="Times New Roman" w:hAnsi="Times New Roman" w:cs="Times New Roman"/>
          <w:sz w:val="32"/>
          <w:szCs w:val="32"/>
          <w:lang w:val="ro-RO"/>
        </w:rPr>
      </w:pPr>
    </w:p>
    <w:p w:rsidR="00747EA3" w:rsidRPr="00AA78DA" w:rsidRDefault="00747EA3" w:rsidP="0043469D">
      <w:pPr>
        <w:spacing w:before="8" w:line="260" w:lineRule="exact"/>
        <w:rPr>
          <w:rFonts w:ascii="Times New Roman" w:hAnsi="Times New Roman" w:cs="Times New Roman"/>
          <w:sz w:val="32"/>
          <w:szCs w:val="32"/>
          <w:lang w:val="ro-RO"/>
        </w:rPr>
      </w:pPr>
    </w:p>
    <w:p w:rsidR="00747EA3" w:rsidRPr="00AA78DA" w:rsidRDefault="00747EA3" w:rsidP="0043469D">
      <w:pPr>
        <w:spacing w:before="8" w:line="260" w:lineRule="exact"/>
        <w:rPr>
          <w:rFonts w:ascii="Times New Roman" w:hAnsi="Times New Roman" w:cs="Times New Roman"/>
          <w:sz w:val="32"/>
          <w:szCs w:val="32"/>
          <w:lang w:val="ro-RO"/>
        </w:rPr>
      </w:pPr>
    </w:p>
    <w:p w:rsidR="00747EA3" w:rsidRPr="00AA78DA" w:rsidRDefault="00747EA3" w:rsidP="0043469D">
      <w:pPr>
        <w:spacing w:before="8" w:line="260" w:lineRule="exact"/>
        <w:rPr>
          <w:rFonts w:ascii="Times New Roman" w:hAnsi="Times New Roman" w:cs="Times New Roman"/>
          <w:sz w:val="32"/>
          <w:szCs w:val="32"/>
          <w:lang w:val="ro-RO"/>
        </w:rPr>
      </w:pPr>
    </w:p>
    <w:p w:rsidR="00747EA3" w:rsidRPr="00AA78DA" w:rsidRDefault="00747EA3" w:rsidP="0043469D">
      <w:pPr>
        <w:spacing w:before="8" w:line="260" w:lineRule="exact"/>
        <w:rPr>
          <w:rFonts w:ascii="Times New Roman" w:hAnsi="Times New Roman" w:cs="Times New Roman"/>
          <w:sz w:val="32"/>
          <w:szCs w:val="32"/>
          <w:lang w:val="ro-RO"/>
        </w:rPr>
      </w:pPr>
    </w:p>
    <w:p w:rsidR="00747EA3" w:rsidRPr="00AA78DA" w:rsidRDefault="00747EA3" w:rsidP="0043469D">
      <w:pPr>
        <w:spacing w:before="8" w:line="260" w:lineRule="exact"/>
        <w:rPr>
          <w:rFonts w:ascii="Times New Roman" w:hAnsi="Times New Roman" w:cs="Times New Roman"/>
          <w:sz w:val="32"/>
          <w:szCs w:val="32"/>
          <w:lang w:val="ro-RO"/>
        </w:rPr>
      </w:pPr>
    </w:p>
    <w:p w:rsidR="00747EA3" w:rsidRPr="00AA78DA" w:rsidRDefault="00747EA3" w:rsidP="0043469D">
      <w:pPr>
        <w:spacing w:before="8" w:line="260" w:lineRule="exact"/>
        <w:rPr>
          <w:rFonts w:ascii="Times New Roman" w:hAnsi="Times New Roman" w:cs="Times New Roman"/>
          <w:sz w:val="32"/>
          <w:szCs w:val="32"/>
          <w:lang w:val="ro-RO"/>
        </w:rPr>
      </w:pPr>
    </w:p>
    <w:p w:rsidR="00747EA3" w:rsidRPr="00AA78DA" w:rsidRDefault="00747EA3"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AA78DA" w:rsidRDefault="00C97FB1" w:rsidP="0043469D">
      <w:pPr>
        <w:spacing w:before="8" w:line="260" w:lineRule="exact"/>
        <w:rPr>
          <w:rFonts w:ascii="Times New Roman" w:hAnsi="Times New Roman" w:cs="Times New Roman"/>
          <w:sz w:val="32"/>
          <w:szCs w:val="32"/>
          <w:lang w:val="ro-RO"/>
        </w:rPr>
      </w:pPr>
    </w:p>
    <w:p w:rsidR="00C97FB1" w:rsidRPr="003E395D" w:rsidRDefault="00494AA9" w:rsidP="00494AA9">
      <w:pPr>
        <w:spacing w:before="8" w:line="260" w:lineRule="exact"/>
        <w:jc w:val="center"/>
        <w:rPr>
          <w:rFonts w:ascii="Times New Roman" w:hAnsi="Times New Roman" w:cs="Times New Roman"/>
          <w:b/>
          <w:sz w:val="24"/>
          <w:szCs w:val="24"/>
          <w:lang w:val="ro-RO"/>
        </w:rPr>
      </w:pPr>
      <w:r w:rsidRPr="003E395D">
        <w:rPr>
          <w:rFonts w:ascii="Times New Roman" w:hAnsi="Times New Roman" w:cs="Times New Roman"/>
          <w:b/>
          <w:sz w:val="24"/>
          <w:szCs w:val="24"/>
          <w:lang w:val="ro-RO"/>
        </w:rPr>
        <w:t>Decembrie 2018</w:t>
      </w:r>
    </w:p>
    <w:p w:rsidR="00494AA9" w:rsidRDefault="00494AA9" w:rsidP="00494AA9">
      <w:pPr>
        <w:spacing w:before="8" w:line="260" w:lineRule="exact"/>
        <w:rPr>
          <w:rFonts w:ascii="Times New Roman" w:hAnsi="Times New Roman" w:cs="Times New Roman"/>
          <w:b/>
          <w:sz w:val="32"/>
          <w:szCs w:val="32"/>
          <w:lang w:val="ro-RO"/>
        </w:rPr>
      </w:pPr>
    </w:p>
    <w:p w:rsidR="00B242B5" w:rsidRDefault="00B242B5" w:rsidP="00494AA9">
      <w:pPr>
        <w:spacing w:before="8" w:line="260" w:lineRule="exact"/>
        <w:rPr>
          <w:rFonts w:ascii="Times New Roman" w:hAnsi="Times New Roman" w:cs="Times New Roman"/>
          <w:b/>
          <w:sz w:val="32"/>
          <w:szCs w:val="32"/>
          <w:lang w:val="ro-RO"/>
        </w:rPr>
      </w:pPr>
    </w:p>
    <w:p w:rsidR="00B242B5" w:rsidRPr="00AA78DA" w:rsidRDefault="00B242B5" w:rsidP="00494AA9">
      <w:pPr>
        <w:spacing w:before="8" w:line="260" w:lineRule="exact"/>
        <w:rPr>
          <w:rFonts w:ascii="Times New Roman" w:hAnsi="Times New Roman" w:cs="Times New Roman"/>
          <w:b/>
          <w:sz w:val="32"/>
          <w:szCs w:val="32"/>
          <w:lang w:val="ro-RO"/>
        </w:rPr>
      </w:pPr>
    </w:p>
    <w:p w:rsidR="005D00DB" w:rsidRPr="00AA78DA" w:rsidRDefault="005D00DB" w:rsidP="00441764">
      <w:pPr>
        <w:pStyle w:val="Heading4"/>
        <w:spacing w:before="78"/>
        <w:ind w:left="2790" w:right="3644"/>
        <w:jc w:val="center"/>
        <w:rPr>
          <w:rFonts w:ascii="Times New Roman" w:eastAsia="Arial" w:hAnsi="Times New Roman" w:cs="Times New Roman"/>
          <w:b/>
          <w:i w:val="0"/>
          <w:color w:val="auto"/>
          <w:sz w:val="28"/>
          <w:szCs w:val="28"/>
          <w:lang w:val="ro-RO"/>
        </w:rPr>
      </w:pPr>
      <w:r w:rsidRPr="00AA78DA">
        <w:rPr>
          <w:rFonts w:ascii="Times New Roman" w:eastAsia="Arial" w:hAnsi="Times New Roman" w:cs="Times New Roman"/>
          <w:b/>
          <w:i w:val="0"/>
          <w:color w:val="auto"/>
          <w:sz w:val="28"/>
          <w:szCs w:val="28"/>
          <w:lang w:val="ro-RO"/>
        </w:rPr>
        <w:lastRenderedPageBreak/>
        <w:t>INTRODUCERE</w:t>
      </w:r>
    </w:p>
    <w:p w:rsidR="005D00DB" w:rsidRPr="00AA78DA" w:rsidRDefault="005D00DB" w:rsidP="00441764">
      <w:pPr>
        <w:rPr>
          <w:rFonts w:ascii="Times New Roman" w:hAnsi="Times New Roman" w:cs="Times New Roman"/>
          <w:sz w:val="20"/>
          <w:szCs w:val="20"/>
          <w:lang w:val="ro-RO"/>
        </w:rPr>
      </w:pPr>
    </w:p>
    <w:p w:rsidR="005D00DB" w:rsidRPr="00AA78DA" w:rsidRDefault="005D00DB" w:rsidP="00441764">
      <w:pPr>
        <w:spacing w:before="75"/>
        <w:ind w:right="-7"/>
        <w:jc w:val="both"/>
        <w:rPr>
          <w:rFonts w:ascii="Times New Roman" w:hAnsi="Times New Roman" w:cs="Times New Roman"/>
          <w:sz w:val="28"/>
          <w:szCs w:val="28"/>
          <w:lang w:val="ro-RO"/>
        </w:rPr>
      </w:pPr>
      <w:r w:rsidRPr="00AA78DA">
        <w:rPr>
          <w:rFonts w:ascii="Times New Roman" w:eastAsia="Times New Roman" w:hAnsi="Times New Roman" w:cs="Times New Roman"/>
          <w:b/>
          <w:w w:val="105"/>
          <w:sz w:val="28"/>
          <w:szCs w:val="28"/>
          <w:lang w:val="ro-RO"/>
        </w:rPr>
        <w:t>1.</w:t>
      </w:r>
      <w:r w:rsidRPr="00AA78DA">
        <w:rPr>
          <w:rFonts w:ascii="Times New Roman" w:eastAsia="Times New Roman" w:hAnsi="Times New Roman" w:cs="Times New Roman"/>
          <w:w w:val="105"/>
          <w:sz w:val="28"/>
          <w:szCs w:val="28"/>
          <w:lang w:val="ro-RO"/>
        </w:rPr>
        <w:t xml:space="preserve"> Ghidul descrie relația </w:t>
      </w:r>
      <w:r w:rsidRPr="00AA78DA">
        <w:rPr>
          <w:rFonts w:ascii="Times New Roman" w:hAnsi="Times New Roman" w:cs="Times New Roman"/>
          <w:bCs/>
          <w:sz w:val="28"/>
          <w:szCs w:val="28"/>
          <w:lang w:val="ro-RO"/>
        </w:rPr>
        <w:t xml:space="preserve">dintre Directiva 2001/95/CE privind siguranța generală a produselor și dispozițiile privind supravegherea pieței din Regulamentul (CE) nr. 765/2008 </w:t>
      </w:r>
      <w:r w:rsidRPr="00AA78DA">
        <w:rPr>
          <w:rFonts w:ascii="Times New Roman" w:eastAsia="Arial" w:hAnsi="Times New Roman" w:cs="Times New Roman"/>
          <w:spacing w:val="1"/>
          <w:sz w:val="28"/>
          <w:szCs w:val="28"/>
          <w:lang w:val="ro-RO"/>
        </w:rPr>
        <w:t>(Ghidul) este destinat a fi un manual pentru toate părțile afectate direct sau indirect de aceste docunente.</w:t>
      </w:r>
    </w:p>
    <w:p w:rsidR="005D00DB" w:rsidRPr="00AA78DA" w:rsidRDefault="005D00DB" w:rsidP="00441764">
      <w:pPr>
        <w:tabs>
          <w:tab w:val="left" w:pos="826"/>
        </w:tabs>
        <w:ind w:left="826" w:right="117"/>
        <w:jc w:val="both"/>
        <w:rPr>
          <w:rFonts w:ascii="Times New Roman" w:hAnsi="Times New Roman" w:cs="Times New Roman"/>
          <w:sz w:val="26"/>
          <w:szCs w:val="26"/>
          <w:lang w:val="ro-RO"/>
        </w:rPr>
      </w:pPr>
    </w:p>
    <w:p w:rsidR="005D00DB" w:rsidRPr="00AA78DA" w:rsidRDefault="005D00DB" w:rsidP="00441764">
      <w:pPr>
        <w:pStyle w:val="BodyText"/>
        <w:tabs>
          <w:tab w:val="left" w:pos="838"/>
        </w:tabs>
        <w:ind w:right="114"/>
        <w:jc w:val="both"/>
        <w:rPr>
          <w:rFonts w:cs="Times New Roman"/>
          <w:sz w:val="28"/>
          <w:szCs w:val="28"/>
          <w:lang w:val="ro-RO"/>
        </w:rPr>
      </w:pPr>
      <w:r w:rsidRPr="00AA78DA">
        <w:rPr>
          <w:rFonts w:cs="Times New Roman"/>
          <w:b/>
          <w:sz w:val="28"/>
          <w:szCs w:val="28"/>
          <w:lang w:val="ro-RO"/>
        </w:rPr>
        <w:t>2.</w:t>
      </w:r>
      <w:r w:rsidRPr="00AA78DA">
        <w:rPr>
          <w:rFonts w:cs="Times New Roman"/>
          <w:sz w:val="28"/>
          <w:szCs w:val="28"/>
          <w:lang w:val="ro-RO"/>
        </w:rPr>
        <w:t xml:space="preserve"> Se atrage atenția cititorilor asupra faptului că acest ghid este destinat numai să faciliteze aplicarea </w:t>
      </w:r>
      <w:r w:rsidR="006A46C7" w:rsidRPr="00AA78DA">
        <w:rPr>
          <w:rFonts w:cs="Times New Roman"/>
          <w:bCs/>
          <w:sz w:val="28"/>
          <w:szCs w:val="28"/>
          <w:lang w:val="ro-RO"/>
        </w:rPr>
        <w:t>Directivei 2001/95/CE</w:t>
      </w:r>
      <w:r w:rsidRPr="00AA78DA">
        <w:rPr>
          <w:rFonts w:cs="Times New Roman"/>
          <w:sz w:val="28"/>
          <w:szCs w:val="28"/>
          <w:lang w:val="ro-RO"/>
        </w:rPr>
        <w:t xml:space="preserve"> și </w:t>
      </w:r>
      <w:r w:rsidR="006A46C7" w:rsidRPr="00AA78DA">
        <w:rPr>
          <w:rFonts w:cs="Times New Roman"/>
          <w:sz w:val="28"/>
          <w:szCs w:val="28"/>
          <w:lang w:val="ro-RO"/>
        </w:rPr>
        <w:t xml:space="preserve">a </w:t>
      </w:r>
      <w:r w:rsidR="006A46C7" w:rsidRPr="00AA78DA">
        <w:rPr>
          <w:rFonts w:cs="Times New Roman"/>
          <w:bCs/>
          <w:sz w:val="28"/>
          <w:szCs w:val="28"/>
          <w:lang w:val="ro-RO"/>
        </w:rPr>
        <w:t xml:space="preserve">Regulamentului (CE) nr. 765/2008 și </w:t>
      </w:r>
      <w:r w:rsidRPr="00AA78DA">
        <w:rPr>
          <w:rFonts w:cs="Times New Roman"/>
          <w:sz w:val="28"/>
          <w:szCs w:val="28"/>
          <w:lang w:val="ro-RO"/>
        </w:rPr>
        <w:t xml:space="preserve">că textul </w:t>
      </w:r>
      <w:r w:rsidR="006A46C7" w:rsidRPr="00AA78DA">
        <w:rPr>
          <w:rFonts w:cs="Times New Roman"/>
          <w:sz w:val="28"/>
          <w:szCs w:val="28"/>
          <w:lang w:val="ro-RO"/>
        </w:rPr>
        <w:t>acestor documente</w:t>
      </w:r>
      <w:r w:rsidRPr="00AA78DA">
        <w:rPr>
          <w:rFonts w:cs="Times New Roman"/>
          <w:sz w:val="28"/>
          <w:szCs w:val="28"/>
          <w:lang w:val="ro-RO"/>
        </w:rPr>
        <w:t xml:space="preserve"> și legile naționale care transpun </w:t>
      </w:r>
      <w:r w:rsidR="006A46C7" w:rsidRPr="00AA78DA">
        <w:rPr>
          <w:rFonts w:cs="Times New Roman"/>
          <w:bCs/>
          <w:sz w:val="28"/>
          <w:szCs w:val="28"/>
          <w:lang w:val="ro-RO"/>
        </w:rPr>
        <w:t>Directiva 2001/95/CE</w:t>
      </w:r>
      <w:r w:rsidR="006A46C7" w:rsidRPr="00AA78DA">
        <w:rPr>
          <w:rFonts w:cs="Times New Roman"/>
          <w:sz w:val="28"/>
          <w:szCs w:val="28"/>
          <w:lang w:val="ro-RO"/>
        </w:rPr>
        <w:t xml:space="preserve"> și </w:t>
      </w:r>
      <w:r w:rsidR="006A46C7" w:rsidRPr="00AA78DA">
        <w:rPr>
          <w:rFonts w:cs="Times New Roman"/>
          <w:bCs/>
          <w:sz w:val="28"/>
          <w:szCs w:val="28"/>
          <w:lang w:val="ro-RO"/>
        </w:rPr>
        <w:t xml:space="preserve">Regulamentul (CE) nr. 765/2008 </w:t>
      </w:r>
      <w:r w:rsidRPr="00AA78DA">
        <w:rPr>
          <w:rFonts w:cs="Times New Roman"/>
          <w:sz w:val="28"/>
          <w:szCs w:val="28"/>
          <w:lang w:val="ro-RO"/>
        </w:rPr>
        <w:t xml:space="preserve">sunt obligatorii din punct de vedere juridic. Totuși, acest document reprezintă o referință pentru asigurarea aplicării consecvente și armonizate a </w:t>
      </w:r>
      <w:r w:rsidR="006A46C7" w:rsidRPr="00AA78DA">
        <w:rPr>
          <w:rFonts w:cs="Times New Roman"/>
          <w:sz w:val="28"/>
          <w:szCs w:val="28"/>
          <w:lang w:val="ro-RO"/>
        </w:rPr>
        <w:t>documentelor numite supra</w:t>
      </w:r>
      <w:r w:rsidRPr="00AA78DA">
        <w:rPr>
          <w:rFonts w:cs="Times New Roman"/>
          <w:sz w:val="28"/>
          <w:szCs w:val="28"/>
          <w:lang w:val="ro-RO"/>
        </w:rPr>
        <w:t xml:space="preserve"> de către toate părțile interesate.</w:t>
      </w:r>
    </w:p>
    <w:p w:rsidR="005D00DB" w:rsidRPr="00AA78DA" w:rsidRDefault="005D00DB" w:rsidP="00441764">
      <w:pPr>
        <w:pStyle w:val="BodyText"/>
        <w:tabs>
          <w:tab w:val="left" w:pos="838"/>
        </w:tabs>
        <w:ind w:left="838" w:right="121"/>
        <w:jc w:val="both"/>
        <w:rPr>
          <w:rFonts w:cs="Times New Roman"/>
          <w:lang w:val="ro-RO"/>
        </w:rPr>
      </w:pPr>
    </w:p>
    <w:p w:rsidR="005D00DB" w:rsidRPr="00AA78DA" w:rsidRDefault="006A46C7" w:rsidP="00441764">
      <w:pPr>
        <w:pStyle w:val="BodyText"/>
        <w:tabs>
          <w:tab w:val="left" w:pos="838"/>
        </w:tabs>
        <w:ind w:right="121"/>
        <w:jc w:val="both"/>
        <w:rPr>
          <w:rFonts w:cs="Times New Roman"/>
          <w:sz w:val="28"/>
          <w:szCs w:val="28"/>
          <w:lang w:val="ro-RO"/>
        </w:rPr>
      </w:pPr>
      <w:r w:rsidRPr="00AA78DA">
        <w:rPr>
          <w:rFonts w:cs="Times New Roman"/>
          <w:b/>
          <w:spacing w:val="2"/>
          <w:sz w:val="28"/>
          <w:szCs w:val="28"/>
          <w:lang w:val="ro-RO"/>
        </w:rPr>
        <w:t>3.</w:t>
      </w:r>
      <w:r w:rsidRPr="00AA78DA">
        <w:rPr>
          <w:rFonts w:cs="Times New Roman"/>
          <w:spacing w:val="2"/>
          <w:sz w:val="28"/>
          <w:szCs w:val="28"/>
          <w:lang w:val="ro-RO"/>
        </w:rPr>
        <w:t xml:space="preserve"> </w:t>
      </w:r>
      <w:r w:rsidR="005D00DB" w:rsidRPr="00AA78DA">
        <w:rPr>
          <w:rFonts w:cs="Times New Roman"/>
          <w:spacing w:val="2"/>
          <w:sz w:val="28"/>
          <w:szCs w:val="28"/>
          <w:lang w:val="ro-RO"/>
        </w:rPr>
        <w:t xml:space="preserve">Acest ghid este destinat nu numai utilizării autorităților competente ale statelor membre, ci și a principalilor </w:t>
      </w:r>
      <w:r w:rsidRPr="00AA78DA">
        <w:rPr>
          <w:rFonts w:cs="Times New Roman"/>
          <w:spacing w:val="2"/>
          <w:sz w:val="28"/>
          <w:szCs w:val="28"/>
          <w:lang w:val="ro-RO"/>
        </w:rPr>
        <w:t>agenți economici</w:t>
      </w:r>
      <w:r w:rsidR="005D00DB" w:rsidRPr="00AA78DA">
        <w:rPr>
          <w:rFonts w:cs="Times New Roman"/>
          <w:spacing w:val="2"/>
          <w:sz w:val="28"/>
          <w:szCs w:val="28"/>
          <w:lang w:val="ro-RO"/>
        </w:rPr>
        <w:t xml:space="preserve"> economici interesați, cum ar fi producătorii, importatorii și distribuitori</w:t>
      </w:r>
      <w:r w:rsidR="00374A5C" w:rsidRPr="00AA78DA">
        <w:rPr>
          <w:rFonts w:cs="Times New Roman"/>
          <w:spacing w:val="2"/>
          <w:sz w:val="28"/>
          <w:szCs w:val="28"/>
          <w:lang w:val="ro-RO"/>
        </w:rPr>
        <w:t>i și asociațiile lor comerciale</w:t>
      </w:r>
      <w:r w:rsidR="005D00DB" w:rsidRPr="00AA78DA">
        <w:rPr>
          <w:rFonts w:cs="Times New Roman"/>
          <w:spacing w:val="2"/>
          <w:sz w:val="28"/>
          <w:szCs w:val="28"/>
          <w:lang w:val="ro-RO"/>
        </w:rPr>
        <w:t>.</w:t>
      </w:r>
    </w:p>
    <w:p w:rsidR="005D00DB" w:rsidRPr="00AA78DA" w:rsidRDefault="005D00DB" w:rsidP="00441764">
      <w:pPr>
        <w:spacing w:before="17"/>
        <w:jc w:val="both"/>
        <w:rPr>
          <w:rFonts w:ascii="Times New Roman" w:hAnsi="Times New Roman" w:cs="Times New Roman"/>
          <w:sz w:val="28"/>
          <w:szCs w:val="28"/>
          <w:lang w:val="ro-RO"/>
        </w:rPr>
      </w:pPr>
    </w:p>
    <w:p w:rsidR="005D00DB" w:rsidRPr="00AA78DA" w:rsidRDefault="006A46C7" w:rsidP="00441764">
      <w:pPr>
        <w:pStyle w:val="BodyText"/>
        <w:tabs>
          <w:tab w:val="left" w:pos="838"/>
        </w:tabs>
        <w:ind w:right="115"/>
        <w:jc w:val="both"/>
        <w:rPr>
          <w:rFonts w:cs="Times New Roman"/>
          <w:spacing w:val="2"/>
          <w:sz w:val="28"/>
          <w:szCs w:val="28"/>
          <w:lang w:val="ro-RO"/>
        </w:rPr>
      </w:pPr>
      <w:r w:rsidRPr="00AA78DA">
        <w:rPr>
          <w:rFonts w:cs="Times New Roman"/>
          <w:b/>
          <w:spacing w:val="2"/>
          <w:sz w:val="28"/>
          <w:szCs w:val="28"/>
          <w:lang w:val="ro-RO"/>
        </w:rPr>
        <w:t>4.</w:t>
      </w:r>
      <w:r w:rsidRPr="00AA78DA">
        <w:rPr>
          <w:rFonts w:cs="Times New Roman"/>
          <w:spacing w:val="2"/>
          <w:sz w:val="28"/>
          <w:szCs w:val="28"/>
          <w:lang w:val="ro-RO"/>
        </w:rPr>
        <w:t xml:space="preserve"> </w:t>
      </w:r>
      <w:r w:rsidR="005D00DB" w:rsidRPr="00AA78DA">
        <w:rPr>
          <w:rFonts w:cs="Times New Roman"/>
          <w:spacing w:val="2"/>
          <w:sz w:val="28"/>
          <w:szCs w:val="28"/>
          <w:lang w:val="ro-RO"/>
        </w:rPr>
        <w:t xml:space="preserve">Acest ghid nu este exhaustiv; se concentrează doar pe anumite aspecte, care, având în vedere experiența, reprezintă un interes direct și specific pentru aplicarea </w:t>
      </w:r>
      <w:r w:rsidR="00915228" w:rsidRPr="00AA78DA">
        <w:rPr>
          <w:rFonts w:cs="Times New Roman"/>
          <w:bCs/>
          <w:sz w:val="28"/>
          <w:szCs w:val="28"/>
          <w:lang w:val="ro-RO"/>
        </w:rPr>
        <w:t>Directiv</w:t>
      </w:r>
      <w:r w:rsidR="00915228">
        <w:rPr>
          <w:rFonts w:cs="Times New Roman"/>
          <w:bCs/>
          <w:sz w:val="28"/>
          <w:szCs w:val="28"/>
          <w:lang w:val="ro-RO"/>
        </w:rPr>
        <w:t>ei</w:t>
      </w:r>
      <w:r w:rsidR="00915228" w:rsidRPr="00AA78DA">
        <w:rPr>
          <w:rFonts w:cs="Times New Roman"/>
          <w:bCs/>
          <w:sz w:val="28"/>
          <w:szCs w:val="28"/>
          <w:lang w:val="ro-RO"/>
        </w:rPr>
        <w:t xml:space="preserve"> 2001/95/CE</w:t>
      </w:r>
      <w:r w:rsidR="005D00DB" w:rsidRPr="00AA78DA">
        <w:rPr>
          <w:rFonts w:cs="Times New Roman"/>
          <w:spacing w:val="2"/>
          <w:sz w:val="28"/>
          <w:szCs w:val="28"/>
          <w:lang w:val="ro-RO"/>
        </w:rPr>
        <w:t xml:space="preserve">. Acest ghid ar trebui să fie utilizat împreună cu </w:t>
      </w:r>
      <w:r w:rsidR="00DE43E5" w:rsidRPr="00AA78DA">
        <w:rPr>
          <w:rFonts w:cs="Times New Roman"/>
          <w:bCs/>
          <w:sz w:val="28"/>
          <w:szCs w:val="28"/>
          <w:lang w:val="ro-RO"/>
        </w:rPr>
        <w:t>Directiva 2001/95/CE</w:t>
      </w:r>
      <w:r w:rsidR="00DE43E5" w:rsidRPr="00AA78DA">
        <w:rPr>
          <w:rFonts w:cs="Times New Roman"/>
          <w:sz w:val="28"/>
          <w:szCs w:val="28"/>
          <w:lang w:val="ro-RO"/>
        </w:rPr>
        <w:t xml:space="preserve"> și </w:t>
      </w:r>
      <w:r w:rsidR="00DE43E5" w:rsidRPr="00AA78DA">
        <w:rPr>
          <w:rFonts w:cs="Times New Roman"/>
          <w:bCs/>
          <w:sz w:val="28"/>
          <w:szCs w:val="28"/>
          <w:lang w:val="ro-RO"/>
        </w:rPr>
        <w:t xml:space="preserve">Regulamentul (CE) nr. 765/2008 </w:t>
      </w:r>
      <w:r w:rsidR="005D00DB" w:rsidRPr="00AA78DA">
        <w:rPr>
          <w:rFonts w:cs="Times New Roman"/>
          <w:spacing w:val="2"/>
          <w:sz w:val="28"/>
          <w:szCs w:val="28"/>
          <w:lang w:val="ro-RO"/>
        </w:rPr>
        <w:t xml:space="preserve"> în sine și cu Ghidul</w:t>
      </w:r>
      <w:r w:rsidR="00DE43E5" w:rsidRPr="00AA78DA">
        <w:rPr>
          <w:rFonts w:cs="Times New Roman"/>
          <w:spacing w:val="2"/>
          <w:sz w:val="28"/>
          <w:szCs w:val="28"/>
          <w:lang w:val="ro-RO"/>
        </w:rPr>
        <w:t xml:space="preserve"> „</w:t>
      </w:r>
      <w:r w:rsidR="00DE43E5" w:rsidRPr="00AA78DA">
        <w:rPr>
          <w:rFonts w:cs="Times New Roman"/>
          <w:bCs/>
          <w:sz w:val="28"/>
          <w:szCs w:val="28"/>
          <w:lang w:val="ro-RO"/>
        </w:rPr>
        <w:t>Best Practices Techniques in Market Surveillance</w:t>
      </w:r>
      <w:r w:rsidR="00DE43E5" w:rsidRPr="00AA78DA">
        <w:rPr>
          <w:rFonts w:cs="Times New Roman"/>
          <w:spacing w:val="2"/>
          <w:sz w:val="28"/>
          <w:szCs w:val="28"/>
          <w:lang w:val="ro-RO"/>
        </w:rPr>
        <w:t>”</w:t>
      </w:r>
      <w:r w:rsidR="005D00DB" w:rsidRPr="00AA78DA">
        <w:rPr>
          <w:rStyle w:val="FootnoteReference"/>
          <w:rFonts w:cs="Times New Roman"/>
          <w:spacing w:val="2"/>
          <w:sz w:val="28"/>
          <w:szCs w:val="28"/>
          <w:lang w:val="ro-RO"/>
        </w:rPr>
        <w:footnoteReference w:id="1"/>
      </w:r>
      <w:r w:rsidR="005D00DB" w:rsidRPr="00AA78DA">
        <w:rPr>
          <w:rFonts w:cs="Times New Roman"/>
          <w:spacing w:val="2"/>
          <w:sz w:val="28"/>
          <w:szCs w:val="28"/>
          <w:lang w:val="ro-RO"/>
        </w:rPr>
        <w:t>.</w:t>
      </w:r>
    </w:p>
    <w:p w:rsidR="005D00DB" w:rsidRPr="00AA78DA" w:rsidRDefault="005D00DB" w:rsidP="00441764">
      <w:pPr>
        <w:rPr>
          <w:rFonts w:ascii="Times New Roman" w:hAnsi="Times New Roman" w:cs="Times New Roman"/>
          <w:sz w:val="20"/>
          <w:szCs w:val="20"/>
          <w:lang w:val="ro-RO"/>
        </w:rPr>
      </w:pPr>
    </w:p>
    <w:p w:rsidR="005D00DB" w:rsidRPr="00AA78DA" w:rsidRDefault="00841FFE" w:rsidP="00441764">
      <w:pPr>
        <w:pStyle w:val="BodyText"/>
        <w:tabs>
          <w:tab w:val="left" w:pos="838"/>
        </w:tabs>
        <w:rPr>
          <w:rFonts w:cs="Times New Roman"/>
          <w:sz w:val="28"/>
          <w:szCs w:val="28"/>
          <w:lang w:val="ro-RO"/>
        </w:rPr>
      </w:pPr>
      <w:r w:rsidRPr="00AA78DA">
        <w:rPr>
          <w:rFonts w:cs="Times New Roman"/>
          <w:b/>
          <w:spacing w:val="1"/>
          <w:sz w:val="28"/>
          <w:szCs w:val="28"/>
          <w:lang w:val="ro-RO"/>
        </w:rPr>
        <w:t>5.</w:t>
      </w:r>
      <w:r w:rsidRPr="00AA78DA">
        <w:rPr>
          <w:rFonts w:cs="Times New Roman"/>
          <w:spacing w:val="1"/>
          <w:sz w:val="28"/>
          <w:szCs w:val="28"/>
          <w:lang w:val="ro-RO"/>
        </w:rPr>
        <w:t xml:space="preserve"> </w:t>
      </w:r>
      <w:r w:rsidR="005D00DB" w:rsidRPr="00AA78DA">
        <w:rPr>
          <w:rFonts w:cs="Times New Roman"/>
          <w:spacing w:val="1"/>
          <w:sz w:val="28"/>
          <w:szCs w:val="28"/>
          <w:lang w:val="ro-RO"/>
        </w:rPr>
        <w:t>Această informație este</w:t>
      </w:r>
      <w:r w:rsidR="005D00DB" w:rsidRPr="00AA78DA">
        <w:rPr>
          <w:rFonts w:cs="Times New Roman"/>
          <w:sz w:val="28"/>
          <w:szCs w:val="28"/>
          <w:lang w:val="ro-RO"/>
        </w:rPr>
        <w:t>:</w:t>
      </w:r>
    </w:p>
    <w:p w:rsidR="005D00DB" w:rsidRPr="00AA78DA" w:rsidRDefault="005D00DB" w:rsidP="00441764">
      <w:pPr>
        <w:pStyle w:val="BodyText"/>
        <w:numPr>
          <w:ilvl w:val="1"/>
          <w:numId w:val="7"/>
        </w:numPr>
        <w:tabs>
          <w:tab w:val="left" w:pos="1112"/>
        </w:tabs>
        <w:ind w:left="1112" w:right="122"/>
        <w:rPr>
          <w:rFonts w:cs="Times New Roman"/>
          <w:spacing w:val="-2"/>
          <w:sz w:val="28"/>
          <w:szCs w:val="28"/>
          <w:lang w:val="ro-RO"/>
        </w:rPr>
      </w:pPr>
      <w:r w:rsidRPr="00AA78DA">
        <w:rPr>
          <w:rFonts w:cs="Times New Roman"/>
          <w:spacing w:val="-2"/>
          <w:sz w:val="28"/>
          <w:szCs w:val="28"/>
          <w:lang w:val="ro-RO"/>
        </w:rPr>
        <w:t>numai de natură generală și nu are intenția de a aborda circumstanțele specifice ale unei anumite persoane sau entități;</w:t>
      </w:r>
    </w:p>
    <w:p w:rsidR="005D00DB" w:rsidRPr="00AA78DA" w:rsidRDefault="005D00DB" w:rsidP="00441764">
      <w:pPr>
        <w:pStyle w:val="BodyText"/>
        <w:numPr>
          <w:ilvl w:val="1"/>
          <w:numId w:val="7"/>
        </w:numPr>
        <w:tabs>
          <w:tab w:val="left" w:pos="1112"/>
        </w:tabs>
        <w:ind w:left="1112" w:right="122"/>
        <w:rPr>
          <w:rFonts w:cs="Times New Roman"/>
          <w:spacing w:val="-2"/>
          <w:sz w:val="28"/>
          <w:szCs w:val="28"/>
          <w:lang w:val="ro-RO"/>
        </w:rPr>
      </w:pPr>
      <w:r w:rsidRPr="00AA78DA">
        <w:rPr>
          <w:rFonts w:cs="Times New Roman"/>
          <w:spacing w:val="-2"/>
          <w:sz w:val="28"/>
          <w:szCs w:val="28"/>
          <w:lang w:val="ro-RO"/>
        </w:rPr>
        <w:t>nu este neapărat completă, exactă sau actualizată;</w:t>
      </w:r>
    </w:p>
    <w:p w:rsidR="005D00DB" w:rsidRPr="00AA78DA" w:rsidRDefault="005D00DB" w:rsidP="00441764">
      <w:pPr>
        <w:pStyle w:val="BodyText"/>
        <w:numPr>
          <w:ilvl w:val="1"/>
          <w:numId w:val="7"/>
        </w:numPr>
        <w:tabs>
          <w:tab w:val="left" w:pos="1112"/>
        </w:tabs>
        <w:ind w:left="1112" w:right="122"/>
        <w:rPr>
          <w:rFonts w:cs="Times New Roman"/>
          <w:sz w:val="28"/>
          <w:szCs w:val="28"/>
          <w:lang w:val="ro-RO"/>
        </w:rPr>
      </w:pPr>
      <w:r w:rsidRPr="00AA78DA">
        <w:rPr>
          <w:rFonts w:cs="Times New Roman"/>
          <w:spacing w:val="-2"/>
          <w:sz w:val="28"/>
          <w:szCs w:val="28"/>
          <w:lang w:val="ro-RO"/>
        </w:rPr>
        <w:t>uneori se referă la informații externe pentru care Comisia nu își asumă nicio responsabilitate.</w:t>
      </w:r>
    </w:p>
    <w:p w:rsidR="005D00DB" w:rsidRPr="00AA78DA" w:rsidRDefault="005D00DB" w:rsidP="00441764">
      <w:pPr>
        <w:spacing w:before="17"/>
        <w:rPr>
          <w:sz w:val="26"/>
          <w:szCs w:val="26"/>
          <w:lang w:val="ro-RO"/>
        </w:rPr>
      </w:pPr>
    </w:p>
    <w:p w:rsidR="005D00DB" w:rsidRPr="00AA78DA" w:rsidRDefault="005D00DB" w:rsidP="00441764">
      <w:pPr>
        <w:pStyle w:val="BodyText"/>
        <w:tabs>
          <w:tab w:val="left" w:pos="838"/>
        </w:tabs>
        <w:ind w:left="838"/>
        <w:rPr>
          <w:lang w:val="ro-RO"/>
        </w:rPr>
      </w:pPr>
    </w:p>
    <w:p w:rsidR="005D00DB" w:rsidRPr="00AA78DA" w:rsidRDefault="005D00DB" w:rsidP="00441764">
      <w:pPr>
        <w:widowControl/>
        <w:rPr>
          <w:lang w:val="ro-RO"/>
        </w:rPr>
        <w:sectPr w:rsidR="005D00DB" w:rsidRPr="00AA78DA">
          <w:pgSz w:w="11907" w:h="16840"/>
          <w:pgMar w:top="1320" w:right="1440" w:bottom="1180" w:left="1300" w:header="0" w:footer="987" w:gutter="0"/>
          <w:cols w:space="720"/>
        </w:sectPr>
      </w:pPr>
    </w:p>
    <w:p w:rsidR="00C97FB1" w:rsidRPr="00AA78DA" w:rsidRDefault="00494AA9" w:rsidP="00441764">
      <w:pPr>
        <w:jc w:val="center"/>
        <w:rPr>
          <w:rFonts w:ascii="Times New Roman" w:hAnsi="Times New Roman" w:cs="Times New Roman"/>
          <w:b/>
          <w:sz w:val="16"/>
          <w:szCs w:val="16"/>
          <w:lang w:val="ro-RO"/>
        </w:rPr>
      </w:pPr>
      <w:r w:rsidRPr="00AA78DA">
        <w:rPr>
          <w:rFonts w:ascii="Times New Roman" w:hAnsi="Times New Roman" w:cs="Times New Roman"/>
          <w:b/>
          <w:sz w:val="28"/>
          <w:szCs w:val="28"/>
          <w:lang w:val="ro-RO"/>
        </w:rPr>
        <w:lastRenderedPageBreak/>
        <w:t>CUPRINS</w:t>
      </w:r>
    </w:p>
    <w:p w:rsidR="00C67F34" w:rsidRPr="00AA78DA" w:rsidRDefault="00C67F34" w:rsidP="00441764">
      <w:pPr>
        <w:jc w:val="center"/>
        <w:rPr>
          <w:rFonts w:ascii="Times New Roman" w:hAnsi="Times New Roman" w:cs="Times New Roman"/>
          <w:b/>
          <w:sz w:val="16"/>
          <w:szCs w:val="16"/>
          <w:lang w:val="ro-RO"/>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7969"/>
        <w:gridCol w:w="671"/>
      </w:tblGrid>
      <w:tr w:rsidR="00AE591C" w:rsidRPr="00AA78DA" w:rsidTr="00374A5C">
        <w:tc>
          <w:tcPr>
            <w:tcW w:w="715" w:type="dxa"/>
          </w:tcPr>
          <w:p w:rsidR="00C73FDC" w:rsidRPr="00AA78DA" w:rsidRDefault="00C67F34"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1.</w:t>
            </w:r>
          </w:p>
        </w:tc>
        <w:tc>
          <w:tcPr>
            <w:tcW w:w="7969" w:type="dxa"/>
          </w:tcPr>
          <w:p w:rsidR="00C73FDC" w:rsidRPr="00AA78DA" w:rsidRDefault="00C67F34" w:rsidP="00441764">
            <w:pPr>
              <w:spacing w:before="8"/>
              <w:rPr>
                <w:rFonts w:ascii="Times New Roman" w:eastAsia="Times New Roman" w:hAnsi="Times New Roman" w:cs="Times New Roman"/>
                <w:sz w:val="24"/>
                <w:szCs w:val="24"/>
                <w:lang w:val="ro-RO"/>
              </w:rPr>
            </w:pPr>
            <w:r w:rsidRPr="00AA78DA">
              <w:rPr>
                <w:rFonts w:ascii="Times New Roman" w:eastAsia="Times New Roman" w:hAnsi="Times New Roman" w:cs="Times New Roman"/>
                <w:sz w:val="24"/>
                <w:szCs w:val="24"/>
                <w:lang w:val="ro-RO"/>
              </w:rPr>
              <w:t>Obiectivul și domeniul de aplicare a acestui document</w:t>
            </w:r>
            <w:r w:rsidR="004024E3" w:rsidRPr="00AA78DA">
              <w:rPr>
                <w:rFonts w:ascii="Times New Roman" w:eastAsia="Times New Roman" w:hAnsi="Times New Roman" w:cs="Times New Roman"/>
                <w:sz w:val="24"/>
                <w:szCs w:val="24"/>
                <w:lang w:val="ro-RO"/>
              </w:rPr>
              <w:t>.............</w:t>
            </w:r>
            <w:r w:rsidR="002C38EE" w:rsidRPr="00AA78DA">
              <w:rPr>
                <w:rFonts w:ascii="Times New Roman" w:eastAsia="Times New Roman" w:hAnsi="Times New Roman" w:cs="Times New Roman"/>
                <w:sz w:val="24"/>
                <w:szCs w:val="24"/>
                <w:lang w:val="ro-RO"/>
              </w:rPr>
              <w:t>.............................</w:t>
            </w:r>
          </w:p>
          <w:p w:rsidR="006F1C1E" w:rsidRPr="00AA78DA" w:rsidRDefault="006F1C1E" w:rsidP="00441764">
            <w:pPr>
              <w:spacing w:before="8"/>
              <w:rPr>
                <w:rFonts w:ascii="Times New Roman" w:hAnsi="Times New Roman" w:cs="Times New Roman"/>
                <w:sz w:val="24"/>
                <w:szCs w:val="24"/>
                <w:lang w:val="ro-RO"/>
              </w:rPr>
            </w:pPr>
          </w:p>
        </w:tc>
        <w:tc>
          <w:tcPr>
            <w:tcW w:w="671" w:type="dxa"/>
          </w:tcPr>
          <w:p w:rsidR="00C73FDC" w:rsidRPr="00AA78DA" w:rsidRDefault="005B3C8E" w:rsidP="00441764">
            <w:pPr>
              <w:spacing w:before="8"/>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r>
      <w:tr w:rsidR="00AE591C" w:rsidRPr="00AA78DA" w:rsidTr="00374A5C">
        <w:tc>
          <w:tcPr>
            <w:tcW w:w="715" w:type="dxa"/>
          </w:tcPr>
          <w:p w:rsidR="00C73FDC" w:rsidRPr="00AA78DA" w:rsidRDefault="00C67F34"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w:t>
            </w:r>
          </w:p>
        </w:tc>
        <w:tc>
          <w:tcPr>
            <w:tcW w:w="7969" w:type="dxa"/>
          </w:tcPr>
          <w:p w:rsidR="00C73FDC" w:rsidRPr="00AA78DA" w:rsidRDefault="00C67F34" w:rsidP="00441764">
            <w:pPr>
              <w:tabs>
                <w:tab w:val="left" w:pos="628"/>
              </w:tabs>
              <w:spacing w:before="13"/>
              <w:ind w:left="-4" w:right="-7"/>
              <w:rPr>
                <w:rFonts w:ascii="Times New Roman" w:eastAsia="Arial" w:hAnsi="Times New Roman" w:cs="Times New Roman"/>
                <w:w w:val="110"/>
                <w:sz w:val="24"/>
                <w:szCs w:val="24"/>
                <w:lang w:val="ro-RO"/>
              </w:rPr>
            </w:pPr>
            <w:r w:rsidRPr="00AA78DA">
              <w:rPr>
                <w:rFonts w:ascii="Times New Roman" w:eastAsia="Arial" w:hAnsi="Times New Roman" w:cs="Times New Roman"/>
                <w:w w:val="110"/>
                <w:sz w:val="24"/>
                <w:szCs w:val="24"/>
                <w:lang w:val="ro-RO"/>
              </w:rPr>
              <w:t>Relația între DSGP și Regulamentul</w:t>
            </w:r>
            <w:r w:rsidR="00AE591C" w:rsidRPr="00AA78DA">
              <w:rPr>
                <w:rFonts w:ascii="Times New Roman" w:eastAsia="Arial" w:hAnsi="Times New Roman" w:cs="Times New Roman"/>
                <w:w w:val="110"/>
                <w:sz w:val="24"/>
                <w:szCs w:val="24"/>
                <w:lang w:val="ro-RO"/>
              </w:rPr>
              <w:t>..............................</w:t>
            </w:r>
            <w:r w:rsidR="002C38EE" w:rsidRPr="00AA78DA">
              <w:rPr>
                <w:rFonts w:ascii="Times New Roman" w:eastAsia="Arial" w:hAnsi="Times New Roman" w:cs="Times New Roman"/>
                <w:w w:val="110"/>
                <w:sz w:val="24"/>
                <w:szCs w:val="24"/>
                <w:lang w:val="ro-RO"/>
              </w:rPr>
              <w:t>.............................</w:t>
            </w:r>
          </w:p>
          <w:p w:rsidR="006F1C1E" w:rsidRPr="00AA78DA" w:rsidRDefault="006F1C1E" w:rsidP="00441764">
            <w:pPr>
              <w:tabs>
                <w:tab w:val="left" w:pos="628"/>
              </w:tabs>
              <w:spacing w:before="13"/>
              <w:ind w:left="-4" w:right="-7"/>
              <w:rPr>
                <w:rFonts w:ascii="Times New Roman" w:hAnsi="Times New Roman" w:cs="Times New Roman"/>
                <w:sz w:val="24"/>
                <w:szCs w:val="24"/>
                <w:lang w:val="ro-RO"/>
              </w:rPr>
            </w:pPr>
          </w:p>
        </w:tc>
        <w:tc>
          <w:tcPr>
            <w:tcW w:w="671" w:type="dxa"/>
          </w:tcPr>
          <w:p w:rsidR="00C73FDC" w:rsidRPr="005B3C8E" w:rsidRDefault="005B3C8E" w:rsidP="00441764">
            <w:pPr>
              <w:spacing w:before="8"/>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AE591C" w:rsidRPr="00AA78DA" w:rsidTr="00374A5C">
        <w:tc>
          <w:tcPr>
            <w:tcW w:w="715" w:type="dxa"/>
          </w:tcPr>
          <w:p w:rsidR="00C73FDC" w:rsidRPr="00AA78DA" w:rsidRDefault="00C67F34"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2.1</w:t>
            </w:r>
            <w:r w:rsidR="008E34C6" w:rsidRPr="00AA78DA">
              <w:rPr>
                <w:rFonts w:ascii="Times New Roman" w:hAnsi="Times New Roman" w:cs="Times New Roman"/>
                <w:sz w:val="24"/>
                <w:szCs w:val="24"/>
                <w:lang w:val="ro-RO"/>
              </w:rPr>
              <w:t>.</w:t>
            </w:r>
          </w:p>
        </w:tc>
        <w:tc>
          <w:tcPr>
            <w:tcW w:w="7969" w:type="dxa"/>
          </w:tcPr>
          <w:p w:rsidR="00C73FDC" w:rsidRPr="00AA78DA" w:rsidRDefault="008E34C6" w:rsidP="00441764">
            <w:pPr>
              <w:pStyle w:val="BodyText"/>
              <w:tabs>
                <w:tab w:val="left" w:pos="848"/>
              </w:tabs>
              <w:ind w:left="0" w:right="11"/>
              <w:rPr>
                <w:rFonts w:cs="Times New Roman"/>
                <w:w w:val="105"/>
                <w:lang w:val="ro-RO"/>
              </w:rPr>
            </w:pPr>
            <w:r w:rsidRPr="00AA78DA">
              <w:rPr>
                <w:rFonts w:cs="Times New Roman"/>
                <w:w w:val="105"/>
                <w:lang w:val="ro-RO"/>
              </w:rPr>
              <w:t>Domeniul de aplicare al DSGP și al Regulamentului</w:t>
            </w:r>
            <w:r w:rsidR="00AE591C" w:rsidRPr="00AA78DA">
              <w:rPr>
                <w:rFonts w:cs="Times New Roman"/>
                <w:w w:val="105"/>
                <w:lang w:val="ro-RO"/>
              </w:rPr>
              <w:t>.............</w:t>
            </w:r>
            <w:r w:rsidR="002C38EE" w:rsidRPr="00AA78DA">
              <w:rPr>
                <w:rFonts w:cs="Times New Roman"/>
                <w:w w:val="105"/>
                <w:lang w:val="ro-RO"/>
              </w:rPr>
              <w:t>..........................</w:t>
            </w:r>
          </w:p>
          <w:p w:rsidR="006F1C1E" w:rsidRPr="00AA78DA" w:rsidRDefault="006F1C1E" w:rsidP="00441764">
            <w:pPr>
              <w:pStyle w:val="BodyText"/>
              <w:tabs>
                <w:tab w:val="left" w:pos="848"/>
              </w:tabs>
              <w:ind w:left="0" w:right="11"/>
              <w:rPr>
                <w:rFonts w:cs="Times New Roman"/>
                <w:lang w:val="ro-RO"/>
              </w:rPr>
            </w:pPr>
          </w:p>
        </w:tc>
        <w:tc>
          <w:tcPr>
            <w:tcW w:w="671" w:type="dxa"/>
          </w:tcPr>
          <w:p w:rsidR="00C73FDC" w:rsidRPr="005B3C8E" w:rsidRDefault="005B3C8E" w:rsidP="00441764">
            <w:pPr>
              <w:spacing w:before="8"/>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532A5F" w:rsidRPr="00AA78DA" w:rsidTr="00374A5C">
        <w:tc>
          <w:tcPr>
            <w:tcW w:w="715" w:type="dxa"/>
          </w:tcPr>
          <w:p w:rsidR="004024E3" w:rsidRPr="00AA78DA" w:rsidRDefault="004024E3"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2.2.</w:t>
            </w:r>
          </w:p>
        </w:tc>
        <w:tc>
          <w:tcPr>
            <w:tcW w:w="7969" w:type="dxa"/>
          </w:tcPr>
          <w:p w:rsidR="004024E3" w:rsidRPr="00AA78DA" w:rsidRDefault="004024E3" w:rsidP="00915228">
            <w:pPr>
              <w:pStyle w:val="BodyText"/>
              <w:tabs>
                <w:tab w:val="left" w:pos="553"/>
              </w:tabs>
              <w:ind w:left="31"/>
              <w:rPr>
                <w:lang w:val="ro-RO"/>
              </w:rPr>
            </w:pPr>
            <w:r w:rsidRPr="00AA78DA">
              <w:rPr>
                <w:w w:val="105"/>
                <w:lang w:val="ro-RO"/>
              </w:rPr>
              <w:t xml:space="preserve">Măsuri mai specifice ale DGSP care se aplică suplimentar </w:t>
            </w:r>
            <w:r w:rsidR="0074654C" w:rsidRPr="00AA78DA">
              <w:rPr>
                <w:w w:val="105"/>
                <w:lang w:val="ro-RO"/>
              </w:rPr>
              <w:t xml:space="preserve">la Regulament </w:t>
            </w:r>
            <w:r w:rsidR="002C38EE" w:rsidRPr="00AA78DA">
              <w:rPr>
                <w:w w:val="105"/>
                <w:lang w:val="ro-RO"/>
              </w:rPr>
              <w:t>....</w:t>
            </w:r>
          </w:p>
        </w:tc>
        <w:tc>
          <w:tcPr>
            <w:tcW w:w="671" w:type="dxa"/>
          </w:tcPr>
          <w:p w:rsidR="004024E3" w:rsidRDefault="00206672" w:rsidP="00441764">
            <w:pPr>
              <w:spacing w:before="8"/>
              <w:jc w:val="center"/>
              <w:rPr>
                <w:rFonts w:ascii="Times New Roman" w:hAnsi="Times New Roman" w:cs="Times New Roman"/>
                <w:sz w:val="24"/>
                <w:szCs w:val="24"/>
                <w:lang w:val="ro-RO"/>
              </w:rPr>
            </w:pPr>
            <w:r w:rsidRPr="00AA78DA">
              <w:rPr>
                <w:rFonts w:ascii="Times New Roman" w:hAnsi="Times New Roman" w:cs="Times New Roman"/>
                <w:sz w:val="24"/>
                <w:szCs w:val="24"/>
                <w:lang w:val="ro-RO"/>
              </w:rPr>
              <w:t>5</w:t>
            </w:r>
          </w:p>
          <w:p w:rsidR="00915228" w:rsidRPr="00AA78DA" w:rsidRDefault="00915228" w:rsidP="00441764">
            <w:pPr>
              <w:spacing w:before="8"/>
              <w:jc w:val="center"/>
              <w:rPr>
                <w:rFonts w:ascii="Times New Roman" w:hAnsi="Times New Roman" w:cs="Times New Roman"/>
                <w:sz w:val="24"/>
                <w:szCs w:val="24"/>
                <w:lang w:val="ro-RO"/>
              </w:rPr>
            </w:pPr>
          </w:p>
        </w:tc>
      </w:tr>
      <w:tr w:rsidR="00532A5F" w:rsidRPr="00AA78DA" w:rsidTr="00374A5C">
        <w:tc>
          <w:tcPr>
            <w:tcW w:w="715" w:type="dxa"/>
          </w:tcPr>
          <w:p w:rsidR="004024E3" w:rsidRPr="00AA78DA" w:rsidRDefault="0074654C"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2.2.1</w:t>
            </w:r>
          </w:p>
        </w:tc>
        <w:tc>
          <w:tcPr>
            <w:tcW w:w="7969" w:type="dxa"/>
          </w:tcPr>
          <w:p w:rsidR="004024E3" w:rsidRPr="00AA78DA" w:rsidRDefault="0074654C" w:rsidP="00441764">
            <w:pPr>
              <w:tabs>
                <w:tab w:val="left" w:pos="823"/>
              </w:tabs>
              <w:rPr>
                <w:rFonts w:cs="Times New Roman"/>
                <w:w w:val="105"/>
                <w:sz w:val="24"/>
                <w:szCs w:val="24"/>
                <w:lang w:val="ro-RO"/>
              </w:rPr>
            </w:pPr>
            <w:r w:rsidRPr="00AA78DA">
              <w:rPr>
                <w:rFonts w:ascii="Times New Roman" w:eastAsia="Times New Roman" w:hAnsi="Times New Roman" w:cs="Times New Roman"/>
                <w:sz w:val="24"/>
                <w:szCs w:val="24"/>
                <w:lang w:val="ro-RO"/>
              </w:rPr>
              <w:t>Măsuri în temeiul articolului 8 alineatul (1) litera (b) din DSGP (avertismente și impunerea condițiilor prealabile pentru comercializare)</w:t>
            </w:r>
            <w:r w:rsidR="00532A5F" w:rsidRPr="00AA78DA">
              <w:rPr>
                <w:rFonts w:ascii="Times New Roman" w:eastAsia="Times New Roman" w:hAnsi="Times New Roman" w:cs="Times New Roman"/>
                <w:sz w:val="24"/>
                <w:szCs w:val="24"/>
                <w:lang w:val="ro-RO"/>
              </w:rPr>
              <w:t>........</w:t>
            </w:r>
            <w:r w:rsidR="002C38EE" w:rsidRPr="00AA78DA">
              <w:rPr>
                <w:rFonts w:ascii="Times New Roman" w:eastAsia="Times New Roman" w:hAnsi="Times New Roman" w:cs="Times New Roman"/>
                <w:sz w:val="24"/>
                <w:szCs w:val="24"/>
                <w:lang w:val="ro-RO"/>
              </w:rPr>
              <w:t>................................</w:t>
            </w:r>
          </w:p>
        </w:tc>
        <w:tc>
          <w:tcPr>
            <w:tcW w:w="671" w:type="dxa"/>
          </w:tcPr>
          <w:p w:rsidR="00532A5F" w:rsidRPr="00AA78DA" w:rsidRDefault="00532A5F" w:rsidP="00441764">
            <w:pPr>
              <w:spacing w:before="8"/>
              <w:jc w:val="center"/>
              <w:rPr>
                <w:rFonts w:ascii="Times New Roman" w:hAnsi="Times New Roman" w:cs="Times New Roman"/>
                <w:sz w:val="24"/>
                <w:szCs w:val="24"/>
                <w:lang w:val="ro-RO"/>
              </w:rPr>
            </w:pPr>
          </w:p>
          <w:p w:rsidR="004024E3" w:rsidRPr="005B3C8E" w:rsidRDefault="005B3C8E" w:rsidP="00441764">
            <w:pPr>
              <w:spacing w:before="8"/>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r>
      <w:tr w:rsidR="00532A5F" w:rsidRPr="00AA78DA" w:rsidTr="00374A5C">
        <w:tc>
          <w:tcPr>
            <w:tcW w:w="715" w:type="dxa"/>
          </w:tcPr>
          <w:p w:rsidR="004024E3" w:rsidRPr="00AA78DA" w:rsidRDefault="00532A5F"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2.2.2</w:t>
            </w:r>
          </w:p>
        </w:tc>
        <w:tc>
          <w:tcPr>
            <w:tcW w:w="7969" w:type="dxa"/>
          </w:tcPr>
          <w:p w:rsidR="004024E3" w:rsidRPr="00AA78DA" w:rsidRDefault="00532A5F" w:rsidP="00441764">
            <w:pPr>
              <w:tabs>
                <w:tab w:val="left" w:pos="819"/>
              </w:tabs>
              <w:rPr>
                <w:rFonts w:cs="Times New Roman"/>
                <w:w w:val="105"/>
                <w:sz w:val="24"/>
                <w:szCs w:val="24"/>
                <w:lang w:val="ro-RO"/>
              </w:rPr>
            </w:pPr>
            <w:r w:rsidRPr="00AA78DA">
              <w:rPr>
                <w:rFonts w:ascii="Times New Roman" w:eastAsia="Times New Roman" w:hAnsi="Times New Roman" w:cs="Times New Roman"/>
                <w:sz w:val="24"/>
                <w:szCs w:val="24"/>
                <w:lang w:val="ro-RO"/>
              </w:rPr>
              <w:t>Măsurile prevăzute în articolul 8 alineatul (1) litera (c) din DSGP (avertismentele pentru anumite persoane expuse riscului).....</w:t>
            </w:r>
            <w:r w:rsidR="002C38EE" w:rsidRPr="00AA78DA">
              <w:rPr>
                <w:rFonts w:ascii="Times New Roman" w:eastAsia="Times New Roman" w:hAnsi="Times New Roman" w:cs="Times New Roman"/>
                <w:sz w:val="24"/>
                <w:szCs w:val="24"/>
                <w:lang w:val="ro-RO"/>
              </w:rPr>
              <w:t>................................</w:t>
            </w:r>
          </w:p>
        </w:tc>
        <w:tc>
          <w:tcPr>
            <w:tcW w:w="671" w:type="dxa"/>
          </w:tcPr>
          <w:p w:rsidR="005B3C8E" w:rsidRPr="00915228" w:rsidRDefault="005B3C8E" w:rsidP="00441764">
            <w:pPr>
              <w:spacing w:before="8"/>
              <w:jc w:val="center"/>
              <w:rPr>
                <w:rFonts w:ascii="Times New Roman" w:hAnsi="Times New Roman" w:cs="Times New Roman"/>
                <w:sz w:val="24"/>
                <w:szCs w:val="24"/>
                <w:lang w:val="en-GB"/>
              </w:rPr>
            </w:pPr>
          </w:p>
          <w:p w:rsidR="004024E3" w:rsidRPr="005B3C8E" w:rsidRDefault="005B3C8E" w:rsidP="00441764">
            <w:pPr>
              <w:spacing w:before="8"/>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r>
      <w:tr w:rsidR="00532A5F" w:rsidRPr="00AA78DA" w:rsidTr="00374A5C">
        <w:tc>
          <w:tcPr>
            <w:tcW w:w="715" w:type="dxa"/>
          </w:tcPr>
          <w:p w:rsidR="004024E3" w:rsidRPr="00AA78DA" w:rsidRDefault="00532A5F"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2.2.3</w:t>
            </w:r>
          </w:p>
        </w:tc>
        <w:tc>
          <w:tcPr>
            <w:tcW w:w="7969" w:type="dxa"/>
          </w:tcPr>
          <w:p w:rsidR="004024E3" w:rsidRPr="00AA78DA" w:rsidRDefault="00C11CDE" w:rsidP="00441764">
            <w:pPr>
              <w:pStyle w:val="BodyText"/>
              <w:tabs>
                <w:tab w:val="left" w:pos="848"/>
              </w:tabs>
              <w:ind w:left="0" w:right="-7"/>
              <w:rPr>
                <w:rFonts w:cs="Times New Roman"/>
                <w:w w:val="105"/>
                <w:lang w:val="ro-RO"/>
              </w:rPr>
            </w:pPr>
            <w:r w:rsidRPr="00AA78DA">
              <w:rPr>
                <w:rFonts w:cs="Times New Roman"/>
                <w:lang w:val="ro-RO"/>
              </w:rPr>
              <w:t>Măsuri în temeiul articolului 8 alineatul (1) litera (d) din DSGP (interzicerea temporară pe perioada de evaluare)</w:t>
            </w:r>
            <w:r w:rsidR="002C38EE" w:rsidRPr="00AA78DA">
              <w:rPr>
                <w:rFonts w:cs="Times New Roman"/>
                <w:lang w:val="ro-RO"/>
              </w:rPr>
              <w:t>........................................................................</w:t>
            </w:r>
          </w:p>
        </w:tc>
        <w:tc>
          <w:tcPr>
            <w:tcW w:w="671" w:type="dxa"/>
          </w:tcPr>
          <w:p w:rsidR="005B3C8E" w:rsidRPr="00915228" w:rsidRDefault="005B3C8E" w:rsidP="00441764">
            <w:pPr>
              <w:spacing w:before="8"/>
              <w:jc w:val="center"/>
              <w:rPr>
                <w:rFonts w:ascii="Times New Roman" w:hAnsi="Times New Roman" w:cs="Times New Roman"/>
                <w:sz w:val="24"/>
                <w:szCs w:val="24"/>
                <w:lang w:val="en-GB"/>
              </w:rPr>
            </w:pPr>
          </w:p>
          <w:p w:rsidR="004024E3" w:rsidRPr="005B3C8E" w:rsidRDefault="005B3C8E" w:rsidP="00441764">
            <w:pPr>
              <w:spacing w:before="8"/>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r>
      <w:tr w:rsidR="00532A5F" w:rsidRPr="00AA78DA" w:rsidTr="00374A5C">
        <w:tc>
          <w:tcPr>
            <w:tcW w:w="715" w:type="dxa"/>
          </w:tcPr>
          <w:p w:rsidR="00532A5F" w:rsidRPr="00AA78DA" w:rsidRDefault="00532A5F"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2.2.4</w:t>
            </w:r>
          </w:p>
        </w:tc>
        <w:tc>
          <w:tcPr>
            <w:tcW w:w="7969" w:type="dxa"/>
          </w:tcPr>
          <w:p w:rsidR="00532A5F" w:rsidRPr="00AA78DA" w:rsidRDefault="001344CD" w:rsidP="00441764">
            <w:pPr>
              <w:spacing w:before="4"/>
              <w:rPr>
                <w:rFonts w:ascii="Times New Roman" w:hAnsi="Times New Roman" w:cs="Times New Roman"/>
                <w:sz w:val="24"/>
                <w:szCs w:val="24"/>
                <w:lang w:val="ro-RO"/>
              </w:rPr>
            </w:pPr>
            <w:r w:rsidRPr="00AA78DA">
              <w:rPr>
                <w:rFonts w:ascii="Times New Roman" w:hAnsi="Times New Roman" w:cs="Times New Roman"/>
                <w:sz w:val="24"/>
                <w:szCs w:val="24"/>
                <w:lang w:val="ro-RO"/>
              </w:rPr>
              <w:t>Măsuri conexe necesare pentru asigurarea respectării de către Comisie și alte state membre a interdicției de comercializare, alta decît informarea publică, prevăzute la articolul 8 alineatul (1) litera (e) din DSGP</w:t>
            </w:r>
            <w:r w:rsidR="002C38EE" w:rsidRPr="00AA78DA">
              <w:rPr>
                <w:rFonts w:ascii="Times New Roman" w:hAnsi="Times New Roman" w:cs="Times New Roman"/>
                <w:sz w:val="24"/>
                <w:szCs w:val="24"/>
                <w:lang w:val="ro-RO"/>
              </w:rPr>
              <w:t>.......................................</w:t>
            </w:r>
          </w:p>
        </w:tc>
        <w:tc>
          <w:tcPr>
            <w:tcW w:w="671" w:type="dxa"/>
          </w:tcPr>
          <w:p w:rsidR="00C86640" w:rsidRDefault="00C86640" w:rsidP="00441764">
            <w:pPr>
              <w:spacing w:before="8"/>
              <w:jc w:val="center"/>
              <w:rPr>
                <w:rFonts w:ascii="Times New Roman" w:hAnsi="Times New Roman" w:cs="Times New Roman"/>
                <w:sz w:val="24"/>
                <w:szCs w:val="24"/>
                <w:lang w:val="ro-RO"/>
              </w:rPr>
            </w:pPr>
          </w:p>
          <w:p w:rsidR="00C86640" w:rsidRDefault="00C86640" w:rsidP="00441764">
            <w:pPr>
              <w:spacing w:before="8"/>
              <w:jc w:val="center"/>
              <w:rPr>
                <w:rFonts w:ascii="Times New Roman" w:hAnsi="Times New Roman" w:cs="Times New Roman"/>
                <w:sz w:val="24"/>
                <w:szCs w:val="24"/>
                <w:lang w:val="ro-RO"/>
              </w:rPr>
            </w:pPr>
          </w:p>
          <w:p w:rsidR="00532A5F" w:rsidRPr="00AA78DA" w:rsidRDefault="00C86640" w:rsidP="00C86640">
            <w:pPr>
              <w:spacing w:before="8"/>
              <w:jc w:val="center"/>
              <w:rPr>
                <w:rFonts w:ascii="Times New Roman" w:hAnsi="Times New Roman" w:cs="Times New Roman"/>
                <w:sz w:val="24"/>
                <w:szCs w:val="24"/>
                <w:lang w:val="ro-RO"/>
              </w:rPr>
            </w:pPr>
            <w:r>
              <w:rPr>
                <w:rFonts w:ascii="Times New Roman" w:hAnsi="Times New Roman" w:cs="Times New Roman"/>
                <w:sz w:val="24"/>
                <w:szCs w:val="24"/>
                <w:lang w:val="ru-RU"/>
              </w:rPr>
              <w:t>8</w:t>
            </w:r>
          </w:p>
        </w:tc>
      </w:tr>
      <w:tr w:rsidR="00532A5F" w:rsidRPr="00AA78DA" w:rsidTr="00374A5C">
        <w:tc>
          <w:tcPr>
            <w:tcW w:w="715" w:type="dxa"/>
          </w:tcPr>
          <w:p w:rsidR="00532A5F" w:rsidRPr="00AA78DA" w:rsidRDefault="00532A5F"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2.2.5</w:t>
            </w:r>
          </w:p>
        </w:tc>
        <w:tc>
          <w:tcPr>
            <w:tcW w:w="7969" w:type="dxa"/>
          </w:tcPr>
          <w:p w:rsidR="00532A5F" w:rsidRPr="00AA78DA" w:rsidRDefault="008A25D8" w:rsidP="00441764">
            <w:pPr>
              <w:tabs>
                <w:tab w:val="left" w:pos="834"/>
              </w:tabs>
              <w:ind w:right="53"/>
              <w:jc w:val="both"/>
              <w:rPr>
                <w:rFonts w:ascii="Times New Roman" w:eastAsia="Times New Roman" w:hAnsi="Times New Roman" w:cs="Times New Roman"/>
                <w:sz w:val="24"/>
                <w:szCs w:val="24"/>
                <w:lang w:val="ro-RO"/>
              </w:rPr>
            </w:pPr>
            <w:r w:rsidRPr="00AA78DA">
              <w:rPr>
                <w:rFonts w:ascii="Times New Roman" w:eastAsia="Times New Roman" w:hAnsi="Times New Roman" w:cs="Times New Roman"/>
                <w:sz w:val="24"/>
                <w:szCs w:val="24"/>
                <w:lang w:val="ro-RO"/>
              </w:rPr>
              <w:t>Măsurile prevăzute în articolul 8 alineatul (1) litera (f) punctul (ii) din DSGP (rechemarea și distrugerea produselor periculoase, dar care nu prezintă un risc major)</w:t>
            </w:r>
            <w:r w:rsidR="002C38EE" w:rsidRPr="00AA78DA">
              <w:rPr>
                <w:rFonts w:ascii="Times New Roman" w:eastAsia="Times New Roman" w:hAnsi="Times New Roman" w:cs="Times New Roman"/>
                <w:sz w:val="24"/>
                <w:szCs w:val="24"/>
                <w:lang w:val="ro-RO"/>
              </w:rPr>
              <w:t>.....................................................................................................................</w:t>
            </w:r>
          </w:p>
        </w:tc>
        <w:tc>
          <w:tcPr>
            <w:tcW w:w="671" w:type="dxa"/>
          </w:tcPr>
          <w:p w:rsidR="00C86640" w:rsidRDefault="00C86640" w:rsidP="00441764">
            <w:pPr>
              <w:spacing w:before="8"/>
              <w:jc w:val="center"/>
              <w:rPr>
                <w:rFonts w:ascii="Times New Roman" w:hAnsi="Times New Roman" w:cs="Times New Roman"/>
                <w:sz w:val="24"/>
                <w:szCs w:val="24"/>
                <w:lang w:val="ro-RO"/>
              </w:rPr>
            </w:pPr>
          </w:p>
          <w:p w:rsidR="00C86640" w:rsidRDefault="00C86640" w:rsidP="00441764">
            <w:pPr>
              <w:spacing w:before="8"/>
              <w:jc w:val="center"/>
              <w:rPr>
                <w:rFonts w:ascii="Times New Roman" w:hAnsi="Times New Roman" w:cs="Times New Roman"/>
                <w:sz w:val="24"/>
                <w:szCs w:val="24"/>
                <w:lang w:val="ro-RO"/>
              </w:rPr>
            </w:pPr>
          </w:p>
          <w:p w:rsidR="00532A5F" w:rsidRPr="00C86640" w:rsidRDefault="00C86640" w:rsidP="00441764">
            <w:pPr>
              <w:spacing w:before="8"/>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r>
      <w:tr w:rsidR="00532A5F" w:rsidRPr="00AA78DA" w:rsidTr="00374A5C">
        <w:tc>
          <w:tcPr>
            <w:tcW w:w="715" w:type="dxa"/>
          </w:tcPr>
          <w:p w:rsidR="004024E3" w:rsidRPr="00AA78DA" w:rsidRDefault="00532A5F"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2.2.6</w:t>
            </w:r>
          </w:p>
        </w:tc>
        <w:tc>
          <w:tcPr>
            <w:tcW w:w="7969" w:type="dxa"/>
          </w:tcPr>
          <w:p w:rsidR="004024E3" w:rsidRPr="00AA78DA" w:rsidRDefault="00C84CBF" w:rsidP="00441764">
            <w:pPr>
              <w:pStyle w:val="BodyText"/>
              <w:tabs>
                <w:tab w:val="left" w:pos="848"/>
              </w:tabs>
              <w:ind w:left="0" w:right="-7"/>
              <w:rPr>
                <w:rFonts w:cs="Times New Roman"/>
                <w:w w:val="105"/>
                <w:lang w:val="ro-RO"/>
              </w:rPr>
            </w:pPr>
            <w:r w:rsidRPr="00AA78DA">
              <w:rPr>
                <w:rFonts w:cs="Times New Roman"/>
                <w:lang w:val="ro-RO"/>
              </w:rPr>
              <w:t>Încurajarea și promovarea acțiunilori voluntare, în conformitate cu articolul 8 alineatul (2) al doilea paragraf din DSGP</w:t>
            </w:r>
            <w:r w:rsidR="002C38EE" w:rsidRPr="00AA78DA">
              <w:rPr>
                <w:rFonts w:cs="Times New Roman"/>
                <w:lang w:val="ro-RO"/>
              </w:rPr>
              <w:t>...............................................................</w:t>
            </w:r>
          </w:p>
        </w:tc>
        <w:tc>
          <w:tcPr>
            <w:tcW w:w="671" w:type="dxa"/>
          </w:tcPr>
          <w:p w:rsidR="00C86640" w:rsidRDefault="00C86640" w:rsidP="00441764">
            <w:pPr>
              <w:spacing w:before="8"/>
              <w:jc w:val="center"/>
              <w:rPr>
                <w:rFonts w:ascii="Times New Roman" w:hAnsi="Times New Roman" w:cs="Times New Roman"/>
                <w:sz w:val="24"/>
                <w:szCs w:val="24"/>
                <w:lang w:val="ro-RO"/>
              </w:rPr>
            </w:pPr>
          </w:p>
          <w:p w:rsidR="004024E3" w:rsidRPr="00AA78DA" w:rsidRDefault="00C86640" w:rsidP="00C86640">
            <w:pPr>
              <w:spacing w:before="8"/>
              <w:jc w:val="center"/>
              <w:rPr>
                <w:rFonts w:ascii="Times New Roman" w:hAnsi="Times New Roman" w:cs="Times New Roman"/>
                <w:sz w:val="24"/>
                <w:szCs w:val="24"/>
                <w:lang w:val="ro-RO"/>
              </w:rPr>
            </w:pPr>
            <w:r>
              <w:rPr>
                <w:rFonts w:ascii="Times New Roman" w:hAnsi="Times New Roman" w:cs="Times New Roman"/>
                <w:sz w:val="24"/>
                <w:szCs w:val="24"/>
                <w:lang w:val="ru-RU"/>
              </w:rPr>
              <w:t>9</w:t>
            </w:r>
          </w:p>
        </w:tc>
      </w:tr>
      <w:tr w:rsidR="00532A5F" w:rsidRPr="00AA78DA" w:rsidTr="00374A5C">
        <w:tc>
          <w:tcPr>
            <w:tcW w:w="715" w:type="dxa"/>
          </w:tcPr>
          <w:p w:rsidR="00532A5F" w:rsidRPr="00AA78DA" w:rsidRDefault="00532A5F"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2.2.7</w:t>
            </w:r>
          </w:p>
        </w:tc>
        <w:tc>
          <w:tcPr>
            <w:tcW w:w="7969" w:type="dxa"/>
          </w:tcPr>
          <w:p w:rsidR="00532A5F" w:rsidRPr="00AA78DA" w:rsidRDefault="00C84CBF" w:rsidP="00441764">
            <w:pPr>
              <w:tabs>
                <w:tab w:val="left" w:pos="826"/>
              </w:tabs>
              <w:ind w:right="-7"/>
              <w:jc w:val="both"/>
              <w:rPr>
                <w:rFonts w:ascii="Times New Roman" w:eastAsia="Times New Roman" w:hAnsi="Times New Roman" w:cs="Times New Roman"/>
                <w:sz w:val="24"/>
                <w:szCs w:val="24"/>
                <w:lang w:val="ro-RO"/>
              </w:rPr>
            </w:pPr>
            <w:r w:rsidRPr="00AA78DA">
              <w:rPr>
                <w:rFonts w:ascii="Times New Roman" w:eastAsia="Times New Roman" w:hAnsi="Times New Roman" w:cs="Times New Roman"/>
                <w:sz w:val="24"/>
                <w:szCs w:val="24"/>
                <w:lang w:val="ro-RO"/>
              </w:rPr>
              <w:t>Informarea consumatorilor cu privire la procedurile de reclamație, după  cum este prevăzut în articolul 9 alineatul (2) din DSGP</w:t>
            </w:r>
            <w:r w:rsidR="002C38EE" w:rsidRPr="00AA78DA">
              <w:rPr>
                <w:rFonts w:ascii="Times New Roman" w:eastAsia="Times New Roman" w:hAnsi="Times New Roman" w:cs="Times New Roman"/>
                <w:sz w:val="24"/>
                <w:szCs w:val="24"/>
                <w:lang w:val="ro-RO"/>
              </w:rPr>
              <w:t>..........................................................</w:t>
            </w:r>
          </w:p>
        </w:tc>
        <w:tc>
          <w:tcPr>
            <w:tcW w:w="671" w:type="dxa"/>
          </w:tcPr>
          <w:p w:rsidR="00C86640" w:rsidRPr="00915228" w:rsidRDefault="00C86640" w:rsidP="00441764">
            <w:pPr>
              <w:spacing w:before="8"/>
              <w:jc w:val="center"/>
              <w:rPr>
                <w:rFonts w:ascii="Times New Roman" w:hAnsi="Times New Roman" w:cs="Times New Roman"/>
                <w:sz w:val="24"/>
                <w:szCs w:val="24"/>
                <w:lang w:val="en-GB"/>
              </w:rPr>
            </w:pPr>
          </w:p>
          <w:p w:rsidR="00532A5F" w:rsidRPr="00C86640" w:rsidRDefault="00C86640" w:rsidP="00441764">
            <w:pPr>
              <w:spacing w:before="8"/>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32A5F" w:rsidRPr="00AA78DA" w:rsidTr="00374A5C">
        <w:tc>
          <w:tcPr>
            <w:tcW w:w="715" w:type="dxa"/>
          </w:tcPr>
          <w:p w:rsidR="00532A5F" w:rsidRPr="00AA78DA" w:rsidRDefault="00532A5F"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2.2.8</w:t>
            </w:r>
          </w:p>
        </w:tc>
        <w:tc>
          <w:tcPr>
            <w:tcW w:w="7969" w:type="dxa"/>
          </w:tcPr>
          <w:p w:rsidR="00532A5F" w:rsidRPr="00AA78DA" w:rsidRDefault="00C84CBF" w:rsidP="00441764">
            <w:pPr>
              <w:pStyle w:val="BodyText"/>
              <w:tabs>
                <w:tab w:val="left" w:pos="848"/>
              </w:tabs>
              <w:ind w:left="0" w:right="-7"/>
              <w:rPr>
                <w:rFonts w:cs="Times New Roman"/>
                <w:w w:val="105"/>
                <w:lang w:val="ro-RO"/>
              </w:rPr>
            </w:pPr>
            <w:r w:rsidRPr="00AA78DA">
              <w:rPr>
                <w:rFonts w:cs="Times New Roman"/>
                <w:lang w:val="ro-RO"/>
              </w:rPr>
              <w:t>Informarea consumatorilor cu privire la produsele care prezintă riscuri prevăzută la articolul 16 alineatul (1) din DSGP</w:t>
            </w:r>
            <w:r w:rsidR="002C38EE" w:rsidRPr="00AA78DA">
              <w:rPr>
                <w:rFonts w:cs="Times New Roman"/>
                <w:lang w:val="ro-RO"/>
              </w:rPr>
              <w:t>.....................................................................</w:t>
            </w:r>
          </w:p>
        </w:tc>
        <w:tc>
          <w:tcPr>
            <w:tcW w:w="671" w:type="dxa"/>
          </w:tcPr>
          <w:p w:rsidR="00C86640" w:rsidRPr="00915228" w:rsidRDefault="00C86640" w:rsidP="00441764">
            <w:pPr>
              <w:spacing w:before="8"/>
              <w:jc w:val="center"/>
              <w:rPr>
                <w:rFonts w:ascii="Times New Roman" w:hAnsi="Times New Roman" w:cs="Times New Roman"/>
                <w:sz w:val="24"/>
                <w:szCs w:val="24"/>
                <w:lang w:val="en-GB"/>
              </w:rPr>
            </w:pPr>
          </w:p>
          <w:p w:rsidR="00532A5F" w:rsidRPr="00C86640" w:rsidRDefault="00C86640" w:rsidP="00441764">
            <w:pPr>
              <w:spacing w:before="8"/>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32A5F" w:rsidRPr="00AA78DA" w:rsidTr="00374A5C">
        <w:tc>
          <w:tcPr>
            <w:tcW w:w="715" w:type="dxa"/>
          </w:tcPr>
          <w:p w:rsidR="00532A5F" w:rsidRPr="00AA78DA" w:rsidRDefault="00532A5F"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2.2.9</w:t>
            </w:r>
          </w:p>
        </w:tc>
        <w:tc>
          <w:tcPr>
            <w:tcW w:w="7969" w:type="dxa"/>
          </w:tcPr>
          <w:p w:rsidR="00532A5F" w:rsidRPr="00AA78DA" w:rsidRDefault="00C84CBF" w:rsidP="00441764">
            <w:pPr>
              <w:pStyle w:val="BodyText"/>
              <w:tabs>
                <w:tab w:val="left" w:pos="848"/>
              </w:tabs>
              <w:ind w:left="0" w:right="-7"/>
              <w:rPr>
                <w:rFonts w:cs="Times New Roman"/>
                <w:w w:val="105"/>
                <w:lang w:val="ro-RO"/>
              </w:rPr>
            </w:pPr>
            <w:r w:rsidRPr="00AA78DA">
              <w:rPr>
                <w:rFonts w:cs="Times New Roman"/>
                <w:w w:val="105"/>
                <w:lang w:val="ro-RO"/>
              </w:rPr>
              <w:t>Principiile generale ale legislației Uniunii Europene și buna gestionare prevăzute la articolul 8 alineatul (2) și la articolul 18 din DSGP</w:t>
            </w:r>
            <w:r w:rsidR="002C38EE" w:rsidRPr="00AA78DA">
              <w:rPr>
                <w:rFonts w:cs="Times New Roman"/>
                <w:w w:val="105"/>
                <w:lang w:val="ro-RO"/>
              </w:rPr>
              <w:t>.....................</w:t>
            </w:r>
          </w:p>
        </w:tc>
        <w:tc>
          <w:tcPr>
            <w:tcW w:w="671" w:type="dxa"/>
          </w:tcPr>
          <w:p w:rsidR="00C86640" w:rsidRPr="00915228" w:rsidRDefault="00C86640" w:rsidP="00441764">
            <w:pPr>
              <w:spacing w:before="8"/>
              <w:jc w:val="center"/>
              <w:rPr>
                <w:rFonts w:ascii="Times New Roman" w:hAnsi="Times New Roman" w:cs="Times New Roman"/>
                <w:sz w:val="24"/>
                <w:szCs w:val="24"/>
                <w:lang w:val="en-GB"/>
              </w:rPr>
            </w:pPr>
          </w:p>
          <w:p w:rsidR="00532A5F" w:rsidRPr="00C86640" w:rsidRDefault="00C86640" w:rsidP="00441764">
            <w:pPr>
              <w:spacing w:before="8"/>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r>
      <w:tr w:rsidR="00532A5F" w:rsidRPr="00AA78DA" w:rsidTr="00374A5C">
        <w:tc>
          <w:tcPr>
            <w:tcW w:w="715" w:type="dxa"/>
          </w:tcPr>
          <w:p w:rsidR="004024E3" w:rsidRPr="00AA78DA" w:rsidRDefault="00AE591C" w:rsidP="00441764">
            <w:pPr>
              <w:spacing w:before="8"/>
              <w:rPr>
                <w:rFonts w:ascii="Times New Roman" w:hAnsi="Times New Roman" w:cs="Times New Roman"/>
                <w:sz w:val="24"/>
                <w:szCs w:val="24"/>
                <w:lang w:val="ro-RO"/>
              </w:rPr>
            </w:pPr>
            <w:r w:rsidRPr="00AA78DA">
              <w:rPr>
                <w:rFonts w:ascii="Times New Roman" w:hAnsi="Times New Roman" w:cs="Times New Roman"/>
                <w:sz w:val="24"/>
                <w:szCs w:val="24"/>
                <w:lang w:val="ro-RO"/>
              </w:rPr>
              <w:t>2.3.</w:t>
            </w:r>
          </w:p>
        </w:tc>
        <w:tc>
          <w:tcPr>
            <w:tcW w:w="7969" w:type="dxa"/>
          </w:tcPr>
          <w:p w:rsidR="004024E3" w:rsidRPr="00AA78DA" w:rsidRDefault="00AE591C" w:rsidP="00441764">
            <w:pPr>
              <w:pStyle w:val="BodyText"/>
              <w:ind w:left="31" w:right="11"/>
              <w:jc w:val="both"/>
              <w:rPr>
                <w:w w:val="105"/>
                <w:lang w:val="ro-RO"/>
              </w:rPr>
            </w:pPr>
            <w:r w:rsidRPr="00AA78DA">
              <w:rPr>
                <w:w w:val="105"/>
                <w:lang w:val="ro-RO"/>
              </w:rPr>
              <w:t>Consecințe pentru funcționarea sistemului RAPEX</w:t>
            </w:r>
            <w:r w:rsidR="002C38EE" w:rsidRPr="00AA78DA">
              <w:rPr>
                <w:w w:val="105"/>
                <w:lang w:val="ro-RO"/>
              </w:rPr>
              <w:t>.........................................</w:t>
            </w:r>
          </w:p>
          <w:p w:rsidR="006F1C1E" w:rsidRPr="00AA78DA" w:rsidRDefault="006F1C1E" w:rsidP="00441764">
            <w:pPr>
              <w:pStyle w:val="BodyText"/>
              <w:ind w:left="31" w:right="11"/>
              <w:jc w:val="both"/>
              <w:rPr>
                <w:rFonts w:cs="Times New Roman"/>
                <w:w w:val="105"/>
                <w:lang w:val="ro-RO"/>
              </w:rPr>
            </w:pPr>
          </w:p>
        </w:tc>
        <w:tc>
          <w:tcPr>
            <w:tcW w:w="671" w:type="dxa"/>
          </w:tcPr>
          <w:p w:rsidR="004024E3" w:rsidRPr="00C86640" w:rsidRDefault="00C86640" w:rsidP="00441764">
            <w:pPr>
              <w:spacing w:before="8"/>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E669B5" w:rsidRPr="00AA78DA" w:rsidTr="00374A5C">
        <w:tc>
          <w:tcPr>
            <w:tcW w:w="715" w:type="dxa"/>
          </w:tcPr>
          <w:p w:rsidR="00E669B5" w:rsidRPr="00AA78DA" w:rsidRDefault="00E669B5" w:rsidP="00441764">
            <w:pPr>
              <w:rPr>
                <w:lang w:val="ro-RO"/>
              </w:rPr>
            </w:pPr>
            <w:r w:rsidRPr="00AA78DA">
              <w:rPr>
                <w:rFonts w:ascii="Times New Roman" w:hAnsi="Times New Roman" w:cs="Times New Roman"/>
                <w:sz w:val="24"/>
                <w:szCs w:val="24"/>
                <w:lang w:val="ro-RO"/>
              </w:rPr>
              <w:t>2.3.1</w:t>
            </w:r>
          </w:p>
        </w:tc>
        <w:tc>
          <w:tcPr>
            <w:tcW w:w="7969" w:type="dxa"/>
          </w:tcPr>
          <w:p w:rsidR="00E669B5" w:rsidRPr="00AA78DA" w:rsidRDefault="005D75AA" w:rsidP="00441764">
            <w:pPr>
              <w:tabs>
                <w:tab w:val="left" w:pos="839"/>
              </w:tabs>
              <w:ind w:right="-7"/>
              <w:rPr>
                <w:rFonts w:cs="Times New Roman"/>
                <w:w w:val="105"/>
                <w:sz w:val="24"/>
                <w:szCs w:val="24"/>
                <w:lang w:val="ro-RO"/>
              </w:rPr>
            </w:pPr>
            <w:r w:rsidRPr="00AA78DA">
              <w:rPr>
                <w:rFonts w:ascii="Times New Roman" w:eastAsia="Times New Roman" w:hAnsi="Times New Roman" w:cs="Times New Roman"/>
                <w:sz w:val="24"/>
                <w:szCs w:val="24"/>
                <w:lang w:val="ro-RO"/>
              </w:rPr>
              <w:t>Notificarea măsurilor privind produsele de consum armonizate care prezintă un risc major pentru sănătate și siguranță</w:t>
            </w:r>
            <w:r w:rsidR="002C38EE" w:rsidRPr="00AA78DA">
              <w:rPr>
                <w:rFonts w:ascii="Times New Roman" w:eastAsia="Times New Roman" w:hAnsi="Times New Roman" w:cs="Times New Roman"/>
                <w:sz w:val="24"/>
                <w:szCs w:val="24"/>
                <w:lang w:val="ro-RO"/>
              </w:rPr>
              <w:t>....................................................................</w:t>
            </w:r>
          </w:p>
        </w:tc>
        <w:tc>
          <w:tcPr>
            <w:tcW w:w="671" w:type="dxa"/>
          </w:tcPr>
          <w:p w:rsidR="00C86640" w:rsidRDefault="00C86640" w:rsidP="00C86640">
            <w:pPr>
              <w:spacing w:before="8"/>
              <w:rPr>
                <w:rFonts w:ascii="Times New Roman" w:hAnsi="Times New Roman" w:cs="Times New Roman"/>
                <w:sz w:val="24"/>
                <w:szCs w:val="24"/>
                <w:lang w:val="ro-RO"/>
              </w:rPr>
            </w:pPr>
          </w:p>
          <w:p w:rsidR="00E669B5" w:rsidRPr="00AA78DA" w:rsidRDefault="00C86640" w:rsidP="00C86640">
            <w:pPr>
              <w:spacing w:before="8"/>
              <w:jc w:val="center"/>
              <w:rPr>
                <w:rFonts w:ascii="Times New Roman" w:hAnsi="Times New Roman" w:cs="Times New Roman"/>
                <w:sz w:val="24"/>
                <w:szCs w:val="24"/>
                <w:lang w:val="ro-RO"/>
              </w:rPr>
            </w:pPr>
            <w:r>
              <w:rPr>
                <w:rFonts w:ascii="Times New Roman" w:hAnsi="Times New Roman" w:cs="Times New Roman"/>
                <w:sz w:val="24"/>
                <w:szCs w:val="24"/>
                <w:lang w:val="ro-RO"/>
              </w:rPr>
              <w:t>14</w:t>
            </w:r>
          </w:p>
        </w:tc>
      </w:tr>
      <w:tr w:rsidR="00E669B5" w:rsidRPr="00AA78DA" w:rsidTr="00374A5C">
        <w:tc>
          <w:tcPr>
            <w:tcW w:w="715" w:type="dxa"/>
          </w:tcPr>
          <w:p w:rsidR="00E669B5" w:rsidRPr="00AA78DA" w:rsidRDefault="00E669B5" w:rsidP="00441764">
            <w:pPr>
              <w:rPr>
                <w:lang w:val="ro-RO"/>
              </w:rPr>
            </w:pPr>
            <w:r w:rsidRPr="00AA78DA">
              <w:rPr>
                <w:rFonts w:ascii="Times New Roman" w:hAnsi="Times New Roman" w:cs="Times New Roman"/>
                <w:sz w:val="24"/>
                <w:szCs w:val="24"/>
                <w:lang w:val="ro-RO"/>
              </w:rPr>
              <w:t>2.3.2</w:t>
            </w:r>
          </w:p>
        </w:tc>
        <w:tc>
          <w:tcPr>
            <w:tcW w:w="7969" w:type="dxa"/>
          </w:tcPr>
          <w:p w:rsidR="00E669B5" w:rsidRPr="00AA78DA" w:rsidRDefault="005D75AA" w:rsidP="00441764">
            <w:pPr>
              <w:pStyle w:val="Heading1"/>
              <w:tabs>
                <w:tab w:val="left" w:pos="123"/>
              </w:tabs>
              <w:ind w:left="1" w:right="-59" w:firstLine="9"/>
              <w:jc w:val="both"/>
              <w:rPr>
                <w:rFonts w:cs="Times New Roman"/>
                <w:i w:val="0"/>
                <w:sz w:val="24"/>
                <w:szCs w:val="24"/>
                <w:lang w:val="ro-RO"/>
              </w:rPr>
            </w:pPr>
            <w:r w:rsidRPr="00AA78DA">
              <w:rPr>
                <w:rFonts w:cs="Times New Roman"/>
                <w:i w:val="0"/>
                <w:w w:val="95"/>
                <w:sz w:val="24"/>
                <w:szCs w:val="24"/>
                <w:lang w:val="ro-RO"/>
              </w:rPr>
              <w:t>Notificarea măsurilor privind produsele de consum armonizate care reprezintă un risc nesemnificativ pentru sănătate și siguranță</w:t>
            </w:r>
            <w:r w:rsidR="002C38EE" w:rsidRPr="00AA78DA">
              <w:rPr>
                <w:rFonts w:cs="Times New Roman"/>
                <w:i w:val="0"/>
                <w:w w:val="95"/>
                <w:sz w:val="24"/>
                <w:szCs w:val="24"/>
                <w:lang w:val="ro-RO"/>
              </w:rPr>
              <w:t>....................................................................</w:t>
            </w:r>
          </w:p>
        </w:tc>
        <w:tc>
          <w:tcPr>
            <w:tcW w:w="671" w:type="dxa"/>
          </w:tcPr>
          <w:p w:rsidR="00C86640" w:rsidRDefault="00C86640" w:rsidP="00441764">
            <w:pPr>
              <w:spacing w:before="8"/>
              <w:jc w:val="center"/>
              <w:rPr>
                <w:rFonts w:ascii="Times New Roman" w:hAnsi="Times New Roman" w:cs="Times New Roman"/>
                <w:sz w:val="24"/>
                <w:szCs w:val="24"/>
                <w:lang w:val="ro-RO"/>
              </w:rPr>
            </w:pPr>
          </w:p>
          <w:p w:rsidR="00E669B5" w:rsidRPr="003E395D" w:rsidRDefault="00D310D1" w:rsidP="003E395D">
            <w:pPr>
              <w:spacing w:before="8"/>
              <w:jc w:val="center"/>
              <w:rPr>
                <w:rFonts w:ascii="Times New Roman" w:hAnsi="Times New Roman" w:cs="Times New Roman"/>
                <w:sz w:val="24"/>
                <w:szCs w:val="24"/>
              </w:rPr>
            </w:pPr>
            <w:r w:rsidRPr="00AA78DA">
              <w:rPr>
                <w:rFonts w:ascii="Times New Roman" w:hAnsi="Times New Roman" w:cs="Times New Roman"/>
                <w:sz w:val="24"/>
                <w:szCs w:val="24"/>
                <w:lang w:val="ro-RO"/>
              </w:rPr>
              <w:t>1</w:t>
            </w:r>
            <w:r w:rsidR="003E395D">
              <w:rPr>
                <w:rFonts w:ascii="Times New Roman" w:hAnsi="Times New Roman" w:cs="Times New Roman"/>
                <w:sz w:val="24"/>
                <w:szCs w:val="24"/>
              </w:rPr>
              <w:t>5</w:t>
            </w:r>
          </w:p>
        </w:tc>
      </w:tr>
      <w:tr w:rsidR="00E669B5" w:rsidRPr="00AA78DA" w:rsidTr="00374A5C">
        <w:tc>
          <w:tcPr>
            <w:tcW w:w="715" w:type="dxa"/>
          </w:tcPr>
          <w:p w:rsidR="00E669B5" w:rsidRPr="00AA78DA" w:rsidRDefault="00E669B5" w:rsidP="00441764">
            <w:pPr>
              <w:rPr>
                <w:lang w:val="ro-RO"/>
              </w:rPr>
            </w:pPr>
            <w:r w:rsidRPr="00AA78DA">
              <w:rPr>
                <w:rFonts w:ascii="Times New Roman" w:hAnsi="Times New Roman" w:cs="Times New Roman"/>
                <w:sz w:val="24"/>
                <w:szCs w:val="24"/>
                <w:lang w:val="ro-RO"/>
              </w:rPr>
              <w:t>2.3.3</w:t>
            </w:r>
          </w:p>
        </w:tc>
        <w:tc>
          <w:tcPr>
            <w:tcW w:w="7969" w:type="dxa"/>
          </w:tcPr>
          <w:p w:rsidR="00E669B5" w:rsidRPr="00AA78DA" w:rsidRDefault="005D75AA" w:rsidP="00441764">
            <w:pPr>
              <w:pStyle w:val="BodyText"/>
              <w:tabs>
                <w:tab w:val="left" w:pos="848"/>
              </w:tabs>
              <w:ind w:left="0" w:right="-7"/>
              <w:rPr>
                <w:rFonts w:cs="Times New Roman"/>
                <w:w w:val="105"/>
                <w:lang w:val="ro-RO"/>
              </w:rPr>
            </w:pPr>
            <w:r w:rsidRPr="00AA78DA">
              <w:rPr>
                <w:rFonts w:cs="Times New Roman"/>
                <w:w w:val="95"/>
                <w:lang w:val="ro-RO"/>
              </w:rPr>
              <w:t>Notificarea măsurilor privind produsele de consum nearmonizate care prezintă un risc pentru sănătatea și siguranța consumatorilor</w:t>
            </w:r>
            <w:r w:rsidR="002C38EE" w:rsidRPr="00AA78DA">
              <w:rPr>
                <w:rFonts w:cs="Times New Roman"/>
                <w:w w:val="95"/>
                <w:lang w:val="ro-RO"/>
              </w:rPr>
              <w:t>...........................................................</w:t>
            </w:r>
          </w:p>
        </w:tc>
        <w:tc>
          <w:tcPr>
            <w:tcW w:w="671" w:type="dxa"/>
          </w:tcPr>
          <w:p w:rsidR="00C86640" w:rsidRDefault="00C86640" w:rsidP="00441764">
            <w:pPr>
              <w:spacing w:before="8"/>
              <w:jc w:val="center"/>
              <w:rPr>
                <w:rFonts w:ascii="Times New Roman" w:hAnsi="Times New Roman" w:cs="Times New Roman"/>
                <w:sz w:val="24"/>
                <w:szCs w:val="24"/>
                <w:lang w:val="ro-RO"/>
              </w:rPr>
            </w:pPr>
          </w:p>
          <w:p w:rsidR="00E669B5" w:rsidRPr="00C86640" w:rsidRDefault="00D310D1" w:rsidP="00C86640">
            <w:pPr>
              <w:spacing w:before="8"/>
              <w:jc w:val="center"/>
              <w:rPr>
                <w:rFonts w:ascii="Times New Roman" w:hAnsi="Times New Roman" w:cs="Times New Roman"/>
                <w:sz w:val="24"/>
                <w:szCs w:val="24"/>
                <w:lang w:val="ru-RU"/>
              </w:rPr>
            </w:pPr>
            <w:r w:rsidRPr="00AA78DA">
              <w:rPr>
                <w:rFonts w:ascii="Times New Roman" w:hAnsi="Times New Roman" w:cs="Times New Roman"/>
                <w:sz w:val="24"/>
                <w:szCs w:val="24"/>
                <w:lang w:val="ro-RO"/>
              </w:rPr>
              <w:t>1</w:t>
            </w:r>
            <w:r w:rsidR="00C86640">
              <w:rPr>
                <w:rFonts w:ascii="Times New Roman" w:hAnsi="Times New Roman" w:cs="Times New Roman"/>
                <w:sz w:val="24"/>
                <w:szCs w:val="24"/>
                <w:lang w:val="ru-RU"/>
              </w:rPr>
              <w:t>5</w:t>
            </w:r>
          </w:p>
        </w:tc>
      </w:tr>
      <w:tr w:rsidR="00E669B5" w:rsidRPr="00AA78DA" w:rsidTr="00374A5C">
        <w:tc>
          <w:tcPr>
            <w:tcW w:w="715" w:type="dxa"/>
          </w:tcPr>
          <w:p w:rsidR="00E669B5" w:rsidRPr="00AA78DA" w:rsidRDefault="00E669B5" w:rsidP="00441764">
            <w:pPr>
              <w:rPr>
                <w:lang w:val="ro-RO"/>
              </w:rPr>
            </w:pPr>
            <w:r w:rsidRPr="00AA78DA">
              <w:rPr>
                <w:rFonts w:ascii="Times New Roman" w:hAnsi="Times New Roman" w:cs="Times New Roman"/>
                <w:sz w:val="24"/>
                <w:szCs w:val="24"/>
                <w:lang w:val="ro-RO"/>
              </w:rPr>
              <w:t>2.3.4</w:t>
            </w:r>
          </w:p>
        </w:tc>
        <w:tc>
          <w:tcPr>
            <w:tcW w:w="7969" w:type="dxa"/>
          </w:tcPr>
          <w:p w:rsidR="005D75AA" w:rsidRPr="00AA78DA" w:rsidRDefault="005D75AA" w:rsidP="00441764">
            <w:pPr>
              <w:tabs>
                <w:tab w:val="left" w:pos="826"/>
              </w:tabs>
              <w:ind w:right="141"/>
              <w:rPr>
                <w:rFonts w:ascii="Times New Roman" w:eastAsia="Times New Roman" w:hAnsi="Times New Roman" w:cs="Times New Roman"/>
                <w:sz w:val="24"/>
                <w:szCs w:val="24"/>
                <w:lang w:val="ro-RO"/>
              </w:rPr>
            </w:pPr>
            <w:r w:rsidRPr="00AA78DA">
              <w:rPr>
                <w:rFonts w:ascii="Times New Roman" w:eastAsia="Times New Roman" w:hAnsi="Times New Roman" w:cs="Times New Roman"/>
                <w:sz w:val="24"/>
                <w:szCs w:val="24"/>
                <w:lang w:val="ro-RO"/>
              </w:rPr>
              <w:t xml:space="preserve">Notificarea măsurilor privind produsele armonizate care prezintă alte riscuri decât un risc pentru sănătatea și siguranța consumatorilor </w:t>
            </w:r>
            <w:r w:rsidR="002C38EE" w:rsidRPr="00AA78DA">
              <w:rPr>
                <w:rFonts w:ascii="Times New Roman" w:eastAsia="Times New Roman" w:hAnsi="Times New Roman" w:cs="Times New Roman"/>
                <w:sz w:val="24"/>
                <w:szCs w:val="24"/>
                <w:lang w:val="ro-RO"/>
              </w:rPr>
              <w:t>..................................</w:t>
            </w:r>
          </w:p>
        </w:tc>
        <w:tc>
          <w:tcPr>
            <w:tcW w:w="671" w:type="dxa"/>
          </w:tcPr>
          <w:p w:rsidR="00C86640" w:rsidRDefault="00C86640" w:rsidP="00441764">
            <w:pPr>
              <w:spacing w:before="8"/>
              <w:jc w:val="center"/>
              <w:rPr>
                <w:rFonts w:ascii="Times New Roman" w:hAnsi="Times New Roman" w:cs="Times New Roman"/>
                <w:sz w:val="24"/>
                <w:szCs w:val="24"/>
                <w:lang w:val="ro-RO"/>
              </w:rPr>
            </w:pPr>
          </w:p>
          <w:p w:rsidR="00E669B5" w:rsidRPr="003E395D" w:rsidRDefault="00D310D1" w:rsidP="003E395D">
            <w:pPr>
              <w:spacing w:before="8"/>
              <w:jc w:val="center"/>
              <w:rPr>
                <w:rFonts w:ascii="Times New Roman" w:hAnsi="Times New Roman" w:cs="Times New Roman"/>
                <w:sz w:val="24"/>
                <w:szCs w:val="24"/>
              </w:rPr>
            </w:pPr>
            <w:r w:rsidRPr="00AA78DA">
              <w:rPr>
                <w:rFonts w:ascii="Times New Roman" w:hAnsi="Times New Roman" w:cs="Times New Roman"/>
                <w:sz w:val="24"/>
                <w:szCs w:val="24"/>
                <w:lang w:val="ro-RO"/>
              </w:rPr>
              <w:t>1</w:t>
            </w:r>
            <w:r w:rsidR="003E395D">
              <w:rPr>
                <w:rFonts w:ascii="Times New Roman" w:hAnsi="Times New Roman" w:cs="Times New Roman"/>
                <w:sz w:val="24"/>
                <w:szCs w:val="24"/>
              </w:rPr>
              <w:t>6</w:t>
            </w:r>
          </w:p>
        </w:tc>
      </w:tr>
      <w:tr w:rsidR="00D310D1" w:rsidRPr="00AA78DA" w:rsidTr="00374A5C">
        <w:tc>
          <w:tcPr>
            <w:tcW w:w="715" w:type="dxa"/>
          </w:tcPr>
          <w:p w:rsidR="00D310D1" w:rsidRPr="00AA78DA" w:rsidRDefault="00C3454E" w:rsidP="00441764">
            <w:pPr>
              <w:rPr>
                <w:rFonts w:ascii="Times New Roman" w:hAnsi="Times New Roman" w:cs="Times New Roman"/>
                <w:sz w:val="24"/>
                <w:szCs w:val="24"/>
                <w:lang w:val="ro-RO"/>
              </w:rPr>
            </w:pPr>
            <w:r w:rsidRPr="00AA78DA">
              <w:rPr>
                <w:rFonts w:ascii="Times New Roman" w:hAnsi="Times New Roman" w:cs="Times New Roman"/>
                <w:sz w:val="24"/>
                <w:szCs w:val="24"/>
                <w:lang w:val="ro-RO"/>
              </w:rPr>
              <w:t>3.</w:t>
            </w:r>
          </w:p>
        </w:tc>
        <w:tc>
          <w:tcPr>
            <w:tcW w:w="7969" w:type="dxa"/>
          </w:tcPr>
          <w:p w:rsidR="00C3454E" w:rsidRPr="00AA78DA" w:rsidRDefault="00C3454E" w:rsidP="00441764">
            <w:pPr>
              <w:numPr>
                <w:ilvl w:val="0"/>
                <w:numId w:val="6"/>
              </w:numPr>
              <w:tabs>
                <w:tab w:val="left" w:pos="611"/>
              </w:tabs>
              <w:ind w:right="31"/>
              <w:jc w:val="both"/>
              <w:rPr>
                <w:rFonts w:ascii="Times New Roman" w:eastAsia="Times New Roman" w:hAnsi="Times New Roman" w:cs="Times New Roman"/>
                <w:sz w:val="24"/>
                <w:szCs w:val="24"/>
                <w:lang w:val="ro-RO"/>
              </w:rPr>
            </w:pPr>
            <w:r w:rsidRPr="00AA78DA">
              <w:rPr>
                <w:rFonts w:ascii="Times New Roman" w:eastAsia="Times New Roman" w:hAnsi="Times New Roman" w:cs="Times New Roman"/>
                <w:w w:val="105"/>
                <w:sz w:val="24"/>
                <w:szCs w:val="24"/>
                <w:lang w:val="ro-RO"/>
              </w:rPr>
              <w:t xml:space="preserve">Prevederi ale </w:t>
            </w:r>
            <w:r w:rsidRPr="00AA78DA">
              <w:rPr>
                <w:rFonts w:ascii="Times New Roman" w:hAnsi="Times New Roman" w:cs="Times New Roman"/>
                <w:sz w:val="24"/>
                <w:szCs w:val="24"/>
                <w:lang w:val="ro-RO"/>
              </w:rPr>
              <w:t>DSGP</w:t>
            </w:r>
            <w:r w:rsidRPr="00AA78DA">
              <w:rPr>
                <w:rFonts w:ascii="Times New Roman" w:eastAsia="Times New Roman" w:hAnsi="Times New Roman" w:cs="Times New Roman"/>
                <w:w w:val="105"/>
                <w:sz w:val="24"/>
                <w:szCs w:val="24"/>
                <w:lang w:val="ro-RO"/>
              </w:rPr>
              <w:t xml:space="preserve"> care nu sunt legate de supravegherea pieței</w:t>
            </w:r>
            <w:r w:rsidR="002C38EE" w:rsidRPr="00AA78DA">
              <w:rPr>
                <w:rFonts w:ascii="Times New Roman" w:eastAsia="Times New Roman" w:hAnsi="Times New Roman" w:cs="Times New Roman"/>
                <w:w w:val="105"/>
                <w:sz w:val="24"/>
                <w:szCs w:val="24"/>
                <w:lang w:val="ro-RO"/>
              </w:rPr>
              <w:t>.....................</w:t>
            </w:r>
          </w:p>
          <w:p w:rsidR="00D310D1" w:rsidRPr="00AA78DA" w:rsidRDefault="00D310D1" w:rsidP="00441764">
            <w:pPr>
              <w:tabs>
                <w:tab w:val="left" w:pos="826"/>
              </w:tabs>
              <w:ind w:right="141"/>
              <w:rPr>
                <w:rFonts w:ascii="Times New Roman" w:eastAsia="Times New Roman" w:hAnsi="Times New Roman" w:cs="Times New Roman"/>
                <w:sz w:val="24"/>
                <w:szCs w:val="24"/>
                <w:lang w:val="ro-RO"/>
              </w:rPr>
            </w:pPr>
          </w:p>
        </w:tc>
        <w:tc>
          <w:tcPr>
            <w:tcW w:w="671" w:type="dxa"/>
          </w:tcPr>
          <w:p w:rsidR="00D310D1" w:rsidRPr="003E395D" w:rsidRDefault="00C3454E" w:rsidP="003E395D">
            <w:pPr>
              <w:spacing w:before="8"/>
              <w:jc w:val="center"/>
              <w:rPr>
                <w:rFonts w:ascii="Times New Roman" w:hAnsi="Times New Roman" w:cs="Times New Roman"/>
                <w:sz w:val="24"/>
                <w:szCs w:val="24"/>
              </w:rPr>
            </w:pPr>
            <w:r w:rsidRPr="00AA78DA">
              <w:rPr>
                <w:rFonts w:ascii="Times New Roman" w:hAnsi="Times New Roman" w:cs="Times New Roman"/>
                <w:sz w:val="24"/>
                <w:szCs w:val="24"/>
                <w:lang w:val="ro-RO"/>
              </w:rPr>
              <w:t>1</w:t>
            </w:r>
            <w:r w:rsidR="003E395D">
              <w:rPr>
                <w:rFonts w:ascii="Times New Roman" w:hAnsi="Times New Roman" w:cs="Times New Roman"/>
                <w:sz w:val="24"/>
                <w:szCs w:val="24"/>
              </w:rPr>
              <w:t>6</w:t>
            </w:r>
          </w:p>
        </w:tc>
      </w:tr>
      <w:tr w:rsidR="00623197" w:rsidRPr="00AA78DA" w:rsidTr="00374A5C">
        <w:tc>
          <w:tcPr>
            <w:tcW w:w="715" w:type="dxa"/>
          </w:tcPr>
          <w:p w:rsidR="00623197" w:rsidRPr="00AA78DA" w:rsidRDefault="00623197" w:rsidP="00441764">
            <w:pPr>
              <w:rPr>
                <w:rFonts w:ascii="Times New Roman" w:hAnsi="Times New Roman" w:cs="Times New Roman"/>
                <w:sz w:val="24"/>
                <w:szCs w:val="24"/>
                <w:lang w:val="ro-RO"/>
              </w:rPr>
            </w:pPr>
            <w:r w:rsidRPr="00AA78DA">
              <w:rPr>
                <w:rFonts w:ascii="Times New Roman" w:hAnsi="Times New Roman" w:cs="Times New Roman"/>
                <w:sz w:val="24"/>
                <w:szCs w:val="24"/>
                <w:lang w:val="ro-RO"/>
              </w:rPr>
              <w:t>4.</w:t>
            </w:r>
          </w:p>
        </w:tc>
        <w:tc>
          <w:tcPr>
            <w:tcW w:w="7969" w:type="dxa"/>
          </w:tcPr>
          <w:p w:rsidR="00623197" w:rsidRPr="00AA78DA" w:rsidRDefault="00623197" w:rsidP="00441764">
            <w:pPr>
              <w:rPr>
                <w:rFonts w:ascii="Times New Roman" w:hAnsi="Times New Roman" w:cs="Times New Roman"/>
                <w:sz w:val="24"/>
                <w:szCs w:val="24"/>
                <w:lang w:val="ro-RO"/>
              </w:rPr>
            </w:pPr>
            <w:r w:rsidRPr="00AA78DA">
              <w:rPr>
                <w:rFonts w:ascii="Times New Roman" w:hAnsi="Times New Roman" w:cs="Times New Roman"/>
                <w:sz w:val="24"/>
                <w:szCs w:val="24"/>
                <w:lang w:val="ro-RO"/>
              </w:rPr>
              <w:t>Surse de informare..................................................................................................</w:t>
            </w:r>
          </w:p>
          <w:p w:rsidR="00623197" w:rsidRPr="00AA78DA" w:rsidRDefault="00623197" w:rsidP="00441764">
            <w:pPr>
              <w:numPr>
                <w:ilvl w:val="0"/>
                <w:numId w:val="6"/>
              </w:numPr>
              <w:tabs>
                <w:tab w:val="left" w:pos="611"/>
              </w:tabs>
              <w:ind w:right="31"/>
              <w:jc w:val="both"/>
              <w:rPr>
                <w:rFonts w:ascii="Times New Roman" w:eastAsia="Times New Roman" w:hAnsi="Times New Roman" w:cs="Times New Roman"/>
                <w:w w:val="105"/>
                <w:sz w:val="24"/>
                <w:szCs w:val="24"/>
                <w:lang w:val="ro-RO"/>
              </w:rPr>
            </w:pPr>
          </w:p>
        </w:tc>
        <w:tc>
          <w:tcPr>
            <w:tcW w:w="671" w:type="dxa"/>
          </w:tcPr>
          <w:p w:rsidR="00623197" w:rsidRPr="003E395D" w:rsidRDefault="00623197" w:rsidP="003E395D">
            <w:pPr>
              <w:spacing w:before="8"/>
              <w:jc w:val="center"/>
              <w:rPr>
                <w:rFonts w:ascii="Times New Roman" w:hAnsi="Times New Roman" w:cs="Times New Roman"/>
                <w:sz w:val="24"/>
                <w:szCs w:val="24"/>
              </w:rPr>
            </w:pPr>
            <w:r w:rsidRPr="00AA78DA">
              <w:rPr>
                <w:rFonts w:ascii="Times New Roman" w:hAnsi="Times New Roman" w:cs="Times New Roman"/>
                <w:sz w:val="24"/>
                <w:szCs w:val="24"/>
                <w:lang w:val="ro-RO"/>
              </w:rPr>
              <w:t>1</w:t>
            </w:r>
            <w:r w:rsidR="003E395D">
              <w:rPr>
                <w:rFonts w:ascii="Times New Roman" w:hAnsi="Times New Roman" w:cs="Times New Roman"/>
                <w:sz w:val="24"/>
                <w:szCs w:val="24"/>
              </w:rPr>
              <w:t>7</w:t>
            </w:r>
          </w:p>
        </w:tc>
      </w:tr>
    </w:tbl>
    <w:p w:rsidR="00747EA3" w:rsidRPr="00AA78DA" w:rsidRDefault="00747EA3" w:rsidP="00441764">
      <w:pPr>
        <w:spacing w:before="8"/>
        <w:rPr>
          <w:rFonts w:ascii="Times New Roman" w:hAnsi="Times New Roman" w:cs="Times New Roman"/>
          <w:sz w:val="28"/>
          <w:szCs w:val="28"/>
          <w:lang w:val="ro-RO"/>
        </w:rPr>
      </w:pPr>
    </w:p>
    <w:p w:rsidR="00D310D1" w:rsidRPr="00AA78DA" w:rsidRDefault="00D310D1" w:rsidP="00441764">
      <w:pPr>
        <w:spacing w:before="8"/>
        <w:rPr>
          <w:rFonts w:ascii="Times New Roman" w:hAnsi="Times New Roman" w:cs="Times New Roman"/>
          <w:sz w:val="28"/>
          <w:szCs w:val="28"/>
          <w:lang w:val="ro-RO"/>
        </w:rPr>
      </w:pPr>
    </w:p>
    <w:p w:rsidR="00D310D1" w:rsidRDefault="00D310D1" w:rsidP="00441764">
      <w:pPr>
        <w:spacing w:before="8"/>
        <w:rPr>
          <w:rFonts w:ascii="Times New Roman" w:hAnsi="Times New Roman" w:cs="Times New Roman"/>
          <w:sz w:val="28"/>
          <w:szCs w:val="28"/>
          <w:lang w:val="ro-RO"/>
        </w:rPr>
      </w:pPr>
    </w:p>
    <w:p w:rsidR="003E395D" w:rsidRDefault="003E395D" w:rsidP="00441764">
      <w:pPr>
        <w:spacing w:before="8"/>
        <w:rPr>
          <w:rFonts w:ascii="Times New Roman" w:hAnsi="Times New Roman" w:cs="Times New Roman"/>
          <w:sz w:val="28"/>
          <w:szCs w:val="28"/>
          <w:lang w:val="ro-RO"/>
        </w:rPr>
      </w:pPr>
    </w:p>
    <w:p w:rsidR="003E395D" w:rsidRDefault="003E395D" w:rsidP="00441764">
      <w:pPr>
        <w:spacing w:before="8"/>
        <w:rPr>
          <w:rFonts w:ascii="Times New Roman" w:hAnsi="Times New Roman" w:cs="Times New Roman"/>
          <w:sz w:val="28"/>
          <w:szCs w:val="28"/>
          <w:lang w:val="ro-RO"/>
        </w:rPr>
      </w:pPr>
    </w:p>
    <w:p w:rsidR="003E395D" w:rsidRPr="00AA78DA" w:rsidRDefault="003E395D" w:rsidP="00441764">
      <w:pPr>
        <w:spacing w:before="8"/>
        <w:rPr>
          <w:rFonts w:ascii="Times New Roman" w:hAnsi="Times New Roman" w:cs="Times New Roman"/>
          <w:sz w:val="28"/>
          <w:szCs w:val="28"/>
          <w:lang w:val="ro-RO"/>
        </w:rPr>
      </w:pPr>
    </w:p>
    <w:p w:rsidR="0043469D" w:rsidRPr="00AA78DA" w:rsidRDefault="008E34C6" w:rsidP="00915228">
      <w:pPr>
        <w:tabs>
          <w:tab w:val="left" w:pos="8261"/>
          <w:tab w:val="right" w:pos="9353"/>
        </w:tabs>
        <w:spacing w:before="5"/>
        <w:jc w:val="center"/>
        <w:rPr>
          <w:rFonts w:ascii="Times New Roman" w:eastAsia="Times New Roman" w:hAnsi="Times New Roman"/>
          <w:b/>
          <w:sz w:val="28"/>
          <w:szCs w:val="28"/>
          <w:lang w:val="ro-RO"/>
        </w:rPr>
      </w:pPr>
      <w:r w:rsidRPr="00AA78DA">
        <w:rPr>
          <w:rFonts w:ascii="Times New Roman" w:eastAsia="Times New Roman" w:hAnsi="Times New Roman"/>
          <w:b/>
          <w:sz w:val="28"/>
          <w:szCs w:val="28"/>
          <w:lang w:val="ro-RO"/>
        </w:rPr>
        <w:lastRenderedPageBreak/>
        <w:t xml:space="preserve">1. </w:t>
      </w:r>
      <w:r w:rsidRPr="00AA78DA">
        <w:rPr>
          <w:rFonts w:ascii="Times New Roman" w:eastAsia="Times New Roman" w:hAnsi="Times New Roman" w:cs="Times New Roman"/>
          <w:b/>
          <w:sz w:val="28"/>
          <w:szCs w:val="28"/>
          <w:lang w:val="ro-RO"/>
        </w:rPr>
        <w:t>Obiectivul și domeniul de aplicare a acestui document</w:t>
      </w:r>
    </w:p>
    <w:p w:rsidR="004024E3" w:rsidRPr="00AA78DA" w:rsidRDefault="004024E3" w:rsidP="00441764">
      <w:pPr>
        <w:pStyle w:val="BodyText"/>
        <w:ind w:left="0" w:right="-7" w:firstLine="7"/>
        <w:jc w:val="both"/>
        <w:rPr>
          <w:sz w:val="16"/>
          <w:szCs w:val="16"/>
          <w:lang w:val="ro-RO"/>
        </w:rPr>
      </w:pPr>
    </w:p>
    <w:p w:rsidR="00EB4E9D" w:rsidRPr="00AA78DA" w:rsidRDefault="006860BE" w:rsidP="00441764">
      <w:pPr>
        <w:pStyle w:val="BodyText"/>
        <w:ind w:left="0" w:right="-7" w:firstLine="7"/>
        <w:jc w:val="both"/>
        <w:rPr>
          <w:position w:val="11"/>
          <w:sz w:val="28"/>
          <w:szCs w:val="28"/>
          <w:lang w:val="ro-RO"/>
        </w:rPr>
      </w:pPr>
      <w:r w:rsidRPr="00AA78DA">
        <w:rPr>
          <w:sz w:val="28"/>
          <w:szCs w:val="28"/>
          <w:lang w:val="ro-RO"/>
        </w:rPr>
        <w:t>Obiectivul acestui document este de a clarifica relația dintre Directiva 2001/95/CE privind si</w:t>
      </w:r>
      <w:r w:rsidR="004024E3" w:rsidRPr="00AA78DA">
        <w:rPr>
          <w:sz w:val="28"/>
          <w:szCs w:val="28"/>
          <w:lang w:val="ro-RO"/>
        </w:rPr>
        <w:t>guranța generală a produselor (DSGP</w:t>
      </w:r>
      <w:r w:rsidRPr="00AA78DA">
        <w:rPr>
          <w:sz w:val="28"/>
          <w:szCs w:val="28"/>
          <w:lang w:val="ro-RO"/>
        </w:rPr>
        <w:t>)</w:t>
      </w:r>
      <w:r w:rsidR="008F4C9B" w:rsidRPr="00AA78DA">
        <w:rPr>
          <w:rStyle w:val="FootnoteReference"/>
          <w:sz w:val="28"/>
          <w:szCs w:val="28"/>
          <w:lang w:val="ro-RO"/>
        </w:rPr>
        <w:footnoteReference w:id="2"/>
      </w:r>
      <w:r w:rsidR="005C1F1B" w:rsidRPr="00AA78DA">
        <w:rPr>
          <w:sz w:val="28"/>
          <w:szCs w:val="28"/>
          <w:lang w:val="ro-RO"/>
        </w:rPr>
        <w:t xml:space="preserve"> </w:t>
      </w:r>
      <w:r w:rsidRPr="00AA78DA">
        <w:rPr>
          <w:sz w:val="28"/>
          <w:szCs w:val="28"/>
          <w:lang w:val="ro-RO"/>
        </w:rPr>
        <w:t>și Regulamentul (CE) nr. 765/2008 de stabilire a cerințelor privind acreditarea și supravegherea pieței</w:t>
      </w:r>
      <w:r w:rsidR="005C1F1B" w:rsidRPr="00AA78DA">
        <w:rPr>
          <w:sz w:val="28"/>
          <w:szCs w:val="28"/>
          <w:lang w:val="ro-RO"/>
        </w:rPr>
        <w:t xml:space="preserve"> (Regula</w:t>
      </w:r>
      <w:r w:rsidRPr="00AA78DA">
        <w:rPr>
          <w:sz w:val="28"/>
          <w:szCs w:val="28"/>
          <w:lang w:val="ro-RO"/>
        </w:rPr>
        <w:t>mentul</w:t>
      </w:r>
      <w:r w:rsidR="005C1F1B" w:rsidRPr="00AA78DA">
        <w:rPr>
          <w:sz w:val="28"/>
          <w:szCs w:val="28"/>
          <w:lang w:val="ro-RO"/>
        </w:rPr>
        <w:t>)</w:t>
      </w:r>
      <w:r w:rsidR="008F4C9B" w:rsidRPr="00AA78DA">
        <w:rPr>
          <w:rStyle w:val="FootnoteReference"/>
          <w:sz w:val="28"/>
          <w:szCs w:val="28"/>
          <w:lang w:val="ro-RO"/>
        </w:rPr>
        <w:footnoteReference w:id="3"/>
      </w:r>
      <w:r w:rsidR="005C1F1B" w:rsidRPr="00AA78DA">
        <w:rPr>
          <w:sz w:val="28"/>
          <w:szCs w:val="28"/>
          <w:lang w:val="ro-RO"/>
        </w:rPr>
        <w:t xml:space="preserve"> </w:t>
      </w:r>
      <w:r w:rsidRPr="00AA78DA">
        <w:rPr>
          <w:sz w:val="28"/>
          <w:szCs w:val="28"/>
          <w:lang w:val="ro-RO"/>
        </w:rPr>
        <w:t>Aceasta ar trebui să ajute statele membre să pună în aplicare în mod corespunzător cadrul juridic comunitar privind supravegherea pieței produselor</w:t>
      </w:r>
      <w:r w:rsidR="008F4C9B" w:rsidRPr="00AA78DA">
        <w:rPr>
          <w:rStyle w:val="FootnoteReference"/>
          <w:sz w:val="28"/>
          <w:szCs w:val="28"/>
          <w:lang w:val="ro-RO"/>
        </w:rPr>
        <w:footnoteReference w:id="4"/>
      </w:r>
      <w:r w:rsidR="005C1F1B" w:rsidRPr="00AA78DA">
        <w:rPr>
          <w:sz w:val="28"/>
          <w:szCs w:val="28"/>
          <w:lang w:val="ro-RO"/>
        </w:rPr>
        <w:t>.</w:t>
      </w:r>
    </w:p>
    <w:p w:rsidR="006A2FD5" w:rsidRPr="00AA78DA" w:rsidRDefault="006A2FD5" w:rsidP="00441764">
      <w:pPr>
        <w:pStyle w:val="BodyText"/>
        <w:ind w:left="108" w:right="353" w:firstLine="7"/>
        <w:jc w:val="both"/>
        <w:rPr>
          <w:sz w:val="16"/>
          <w:szCs w:val="16"/>
          <w:lang w:val="ro-RO"/>
        </w:rPr>
      </w:pPr>
    </w:p>
    <w:p w:rsidR="00FE7A19" w:rsidRPr="00AA78DA" w:rsidRDefault="00FE7A19" w:rsidP="00441764">
      <w:pPr>
        <w:pStyle w:val="BodyText"/>
        <w:ind w:left="0" w:right="-7" w:hanging="4"/>
        <w:jc w:val="both"/>
        <w:rPr>
          <w:sz w:val="28"/>
          <w:szCs w:val="28"/>
          <w:lang w:val="ro-RO"/>
        </w:rPr>
      </w:pPr>
      <w:r w:rsidRPr="00AA78DA">
        <w:rPr>
          <w:sz w:val="28"/>
          <w:szCs w:val="28"/>
          <w:lang w:val="ro-RO"/>
        </w:rPr>
        <w:t>Această lucrare se referă numai la relația dintre cele două regimuri orizontale privind supravegherea pieței, și anume DSGP și Regulamentul. Nu se referă la relația dintre aceste două acte legislative comunitare și legislația comunitară specifică sectorului care conține obligații specifice de supraveghere a pieței pentru anumite produse</w:t>
      </w:r>
      <w:r w:rsidR="00E3539E" w:rsidRPr="00AA78DA">
        <w:rPr>
          <w:sz w:val="28"/>
          <w:szCs w:val="28"/>
          <w:lang w:val="ro-RO"/>
        </w:rPr>
        <w:t xml:space="preserve"> </w:t>
      </w:r>
      <w:r w:rsidRPr="00AA78DA">
        <w:rPr>
          <w:sz w:val="28"/>
          <w:szCs w:val="28"/>
          <w:lang w:val="ro-RO"/>
        </w:rPr>
        <w:t>(de exemplu, Directivele privind dispozitivele medicale</w:t>
      </w:r>
      <w:r w:rsidRPr="00AA78DA">
        <w:rPr>
          <w:rStyle w:val="FootnoteReference"/>
          <w:sz w:val="28"/>
          <w:szCs w:val="28"/>
          <w:lang w:val="ro-RO"/>
        </w:rPr>
        <w:footnoteReference w:id="5"/>
      </w:r>
      <w:r w:rsidRPr="00AA78DA">
        <w:rPr>
          <w:sz w:val="28"/>
          <w:szCs w:val="28"/>
          <w:lang w:val="ro-RO"/>
        </w:rPr>
        <w:t xml:space="preserve"> sau Directiva privind produsele cosmetice</w:t>
      </w:r>
      <w:r w:rsidR="00D833FD" w:rsidRPr="00AA78DA">
        <w:rPr>
          <w:rStyle w:val="FootnoteReference"/>
          <w:sz w:val="28"/>
          <w:szCs w:val="28"/>
          <w:lang w:val="ro-RO"/>
        </w:rPr>
        <w:footnoteReference w:id="6"/>
      </w:r>
      <w:r w:rsidRPr="00AA78DA">
        <w:rPr>
          <w:sz w:val="28"/>
          <w:szCs w:val="28"/>
          <w:lang w:val="ro-RO"/>
        </w:rPr>
        <w:t>). Relația</w:t>
      </w:r>
      <w:r w:rsidR="00E3539E" w:rsidRPr="00AA78DA">
        <w:rPr>
          <w:sz w:val="28"/>
          <w:szCs w:val="28"/>
          <w:lang w:val="ro-RO"/>
        </w:rPr>
        <w:t xml:space="preserve"> </w:t>
      </w:r>
      <w:r w:rsidRPr="00AA78DA">
        <w:rPr>
          <w:sz w:val="28"/>
          <w:szCs w:val="28"/>
          <w:lang w:val="ro-RO"/>
        </w:rPr>
        <w:t>cu legislația specifică sectorului vor fi clarificate într-o etapă separată.</w:t>
      </w:r>
    </w:p>
    <w:p w:rsidR="00EB4E9D" w:rsidRPr="00AA78DA" w:rsidRDefault="00EB4E9D" w:rsidP="00441764">
      <w:pPr>
        <w:spacing w:before="17"/>
        <w:ind w:right="-7" w:hanging="4"/>
        <w:rPr>
          <w:rFonts w:ascii="Times New Roman" w:hAnsi="Times New Roman" w:cs="Times New Roman"/>
          <w:sz w:val="16"/>
          <w:szCs w:val="16"/>
          <w:lang w:val="ro-RO"/>
        </w:rPr>
      </w:pPr>
    </w:p>
    <w:p w:rsidR="00EB4E9D" w:rsidRPr="00AA78DA" w:rsidRDefault="00A717A1" w:rsidP="00441764">
      <w:pPr>
        <w:pStyle w:val="BodyText"/>
        <w:ind w:left="0" w:right="-7" w:hanging="4"/>
        <w:jc w:val="both"/>
        <w:rPr>
          <w:sz w:val="14"/>
          <w:szCs w:val="14"/>
          <w:lang w:val="ro-RO"/>
        </w:rPr>
      </w:pPr>
      <w:r w:rsidRPr="00AA78DA">
        <w:rPr>
          <w:sz w:val="28"/>
          <w:szCs w:val="28"/>
          <w:lang w:val="ro-RO"/>
        </w:rPr>
        <w:t>Capitolul 2.2 al acestui document nu este relevant pentru realizarea supravegherii pieței în ceea ce privește legislația care nu are ca obiectiv protecția sănătății și siguranței consumatorilor, ci alte obiective, de ex. protecția sănătății și securității la locul de muncă, protecția mediului sau aspectele legate de eficiența energetică</w:t>
      </w:r>
      <w:r w:rsidR="00AE591C" w:rsidRPr="00AA78DA">
        <w:rPr>
          <w:sz w:val="28"/>
          <w:szCs w:val="28"/>
          <w:lang w:val="ro-RO"/>
        </w:rPr>
        <w:t>.</w:t>
      </w:r>
      <w:r w:rsidR="005C1F1B" w:rsidRPr="00AA78DA">
        <w:rPr>
          <w:spacing w:val="-5"/>
          <w:sz w:val="28"/>
          <w:szCs w:val="28"/>
          <w:lang w:val="ro-RO"/>
        </w:rPr>
        <w:t xml:space="preserve"> </w:t>
      </w:r>
      <w:r w:rsidRPr="00AA78DA">
        <w:rPr>
          <w:sz w:val="28"/>
          <w:szCs w:val="28"/>
          <w:lang w:val="ro-RO"/>
        </w:rPr>
        <w:t>Măsurile enumerate în acest capitol se referă numai la măsurile de supraveghere a pieței legate de produsele care prezintă un risc pentru sănătatea și siguranța consumatorilor. Cu toate acestea, capitolul 2.3 clarifică anumite aspecte ale utilizării sistemului RAPEX, care sunt relevante pentru toate domeniile legislației comunitare de armonizare.</w:t>
      </w:r>
    </w:p>
    <w:p w:rsidR="00EB4E9D" w:rsidRPr="00AA78DA" w:rsidRDefault="00EB4E9D" w:rsidP="00441764">
      <w:pPr>
        <w:ind w:right="-7" w:hanging="4"/>
        <w:jc w:val="center"/>
        <w:rPr>
          <w:sz w:val="20"/>
          <w:szCs w:val="20"/>
          <w:lang w:val="ro-RO"/>
        </w:rPr>
      </w:pPr>
    </w:p>
    <w:p w:rsidR="00D310D1" w:rsidRPr="00AA78DA" w:rsidRDefault="00D310D1" w:rsidP="00441764">
      <w:pPr>
        <w:tabs>
          <w:tab w:val="left" w:pos="628"/>
        </w:tabs>
        <w:spacing w:before="13"/>
        <w:ind w:left="-4" w:right="-7"/>
        <w:jc w:val="center"/>
        <w:rPr>
          <w:rFonts w:ascii="Times New Roman" w:eastAsia="Arial" w:hAnsi="Times New Roman" w:cs="Times New Roman"/>
          <w:b/>
          <w:w w:val="110"/>
          <w:sz w:val="28"/>
          <w:szCs w:val="28"/>
          <w:lang w:val="ro-RO"/>
        </w:rPr>
      </w:pPr>
    </w:p>
    <w:p w:rsidR="00D310D1" w:rsidRPr="00AA78DA" w:rsidRDefault="00D310D1" w:rsidP="00441764">
      <w:pPr>
        <w:tabs>
          <w:tab w:val="left" w:pos="628"/>
        </w:tabs>
        <w:spacing w:before="13"/>
        <w:ind w:left="-4" w:right="-7"/>
        <w:jc w:val="center"/>
        <w:rPr>
          <w:rFonts w:ascii="Times New Roman" w:eastAsia="Arial" w:hAnsi="Times New Roman" w:cs="Times New Roman"/>
          <w:b/>
          <w:w w:val="110"/>
          <w:sz w:val="28"/>
          <w:szCs w:val="28"/>
          <w:lang w:val="ro-RO"/>
        </w:rPr>
      </w:pPr>
    </w:p>
    <w:p w:rsidR="00D310D1" w:rsidRPr="00AA78DA" w:rsidRDefault="00D310D1" w:rsidP="00441764">
      <w:pPr>
        <w:tabs>
          <w:tab w:val="left" w:pos="628"/>
        </w:tabs>
        <w:spacing w:before="13"/>
        <w:ind w:left="-4" w:right="-7"/>
        <w:jc w:val="center"/>
        <w:rPr>
          <w:rFonts w:ascii="Times New Roman" w:eastAsia="Arial" w:hAnsi="Times New Roman" w:cs="Times New Roman"/>
          <w:b/>
          <w:w w:val="110"/>
          <w:sz w:val="28"/>
          <w:szCs w:val="28"/>
          <w:lang w:val="ro-RO"/>
        </w:rPr>
      </w:pPr>
    </w:p>
    <w:p w:rsidR="00D310D1" w:rsidRPr="00AA78DA" w:rsidRDefault="00D310D1" w:rsidP="00441764">
      <w:pPr>
        <w:tabs>
          <w:tab w:val="left" w:pos="628"/>
        </w:tabs>
        <w:spacing w:before="13"/>
        <w:ind w:left="-4" w:right="-7"/>
        <w:jc w:val="center"/>
        <w:rPr>
          <w:rFonts w:ascii="Times New Roman" w:eastAsia="Arial" w:hAnsi="Times New Roman" w:cs="Times New Roman"/>
          <w:b/>
          <w:w w:val="110"/>
          <w:sz w:val="28"/>
          <w:szCs w:val="28"/>
          <w:lang w:val="ro-RO"/>
        </w:rPr>
      </w:pPr>
    </w:p>
    <w:p w:rsidR="00D310D1" w:rsidRPr="00AA78DA" w:rsidRDefault="00D310D1" w:rsidP="00441764">
      <w:pPr>
        <w:tabs>
          <w:tab w:val="left" w:pos="628"/>
        </w:tabs>
        <w:spacing w:before="13"/>
        <w:ind w:left="-4" w:right="-7"/>
        <w:jc w:val="center"/>
        <w:rPr>
          <w:rFonts w:ascii="Times New Roman" w:eastAsia="Arial" w:hAnsi="Times New Roman" w:cs="Times New Roman"/>
          <w:b/>
          <w:w w:val="110"/>
          <w:sz w:val="28"/>
          <w:szCs w:val="28"/>
          <w:lang w:val="ro-RO"/>
        </w:rPr>
      </w:pPr>
    </w:p>
    <w:p w:rsidR="00D310D1" w:rsidRPr="00AA78DA" w:rsidRDefault="00D310D1" w:rsidP="00441764">
      <w:pPr>
        <w:tabs>
          <w:tab w:val="left" w:pos="628"/>
        </w:tabs>
        <w:spacing w:before="13"/>
        <w:ind w:left="-4" w:right="-7"/>
        <w:jc w:val="center"/>
        <w:rPr>
          <w:rFonts w:ascii="Times New Roman" w:eastAsia="Arial" w:hAnsi="Times New Roman" w:cs="Times New Roman"/>
          <w:b/>
          <w:w w:val="110"/>
          <w:sz w:val="28"/>
          <w:szCs w:val="28"/>
          <w:lang w:val="ro-RO"/>
        </w:rPr>
      </w:pPr>
    </w:p>
    <w:p w:rsidR="00D310D1" w:rsidRPr="00AA78DA" w:rsidRDefault="00D310D1" w:rsidP="00441764">
      <w:pPr>
        <w:tabs>
          <w:tab w:val="left" w:pos="628"/>
        </w:tabs>
        <w:spacing w:before="13"/>
        <w:ind w:left="-4" w:right="-7"/>
        <w:jc w:val="center"/>
        <w:rPr>
          <w:rFonts w:ascii="Times New Roman" w:eastAsia="Arial" w:hAnsi="Times New Roman" w:cs="Times New Roman"/>
          <w:b/>
          <w:w w:val="110"/>
          <w:sz w:val="28"/>
          <w:szCs w:val="28"/>
          <w:lang w:val="ro-RO"/>
        </w:rPr>
      </w:pPr>
    </w:p>
    <w:p w:rsidR="00D310D1" w:rsidRPr="00AA78DA" w:rsidRDefault="00D310D1" w:rsidP="00441764">
      <w:pPr>
        <w:tabs>
          <w:tab w:val="left" w:pos="628"/>
        </w:tabs>
        <w:spacing w:before="13"/>
        <w:ind w:left="-4" w:right="-7"/>
        <w:jc w:val="center"/>
        <w:rPr>
          <w:rFonts w:ascii="Times New Roman" w:eastAsia="Arial" w:hAnsi="Times New Roman" w:cs="Times New Roman"/>
          <w:b/>
          <w:w w:val="110"/>
          <w:sz w:val="28"/>
          <w:szCs w:val="28"/>
          <w:lang w:val="ro-RO"/>
        </w:rPr>
      </w:pPr>
    </w:p>
    <w:p w:rsidR="00D310D1" w:rsidRPr="00AA78DA" w:rsidRDefault="00D310D1" w:rsidP="00441764">
      <w:pPr>
        <w:tabs>
          <w:tab w:val="left" w:pos="628"/>
        </w:tabs>
        <w:spacing w:before="13"/>
        <w:ind w:left="-4" w:right="-7"/>
        <w:jc w:val="center"/>
        <w:rPr>
          <w:rFonts w:ascii="Times New Roman" w:eastAsia="Arial" w:hAnsi="Times New Roman" w:cs="Times New Roman"/>
          <w:b/>
          <w:w w:val="110"/>
          <w:sz w:val="28"/>
          <w:szCs w:val="28"/>
          <w:lang w:val="ro-RO"/>
        </w:rPr>
      </w:pPr>
    </w:p>
    <w:p w:rsidR="00D310D1" w:rsidRDefault="00D310D1" w:rsidP="00441764">
      <w:pPr>
        <w:tabs>
          <w:tab w:val="left" w:pos="628"/>
        </w:tabs>
        <w:spacing w:before="13"/>
        <w:ind w:left="-4" w:right="-7"/>
        <w:jc w:val="center"/>
        <w:rPr>
          <w:rFonts w:ascii="Times New Roman" w:eastAsia="Arial" w:hAnsi="Times New Roman" w:cs="Times New Roman"/>
          <w:b/>
          <w:w w:val="110"/>
          <w:sz w:val="28"/>
          <w:szCs w:val="28"/>
          <w:lang w:val="ro-RO"/>
        </w:rPr>
      </w:pPr>
    </w:p>
    <w:p w:rsidR="00915228" w:rsidRPr="00AA78DA" w:rsidRDefault="00915228" w:rsidP="00441764">
      <w:pPr>
        <w:tabs>
          <w:tab w:val="left" w:pos="628"/>
        </w:tabs>
        <w:spacing w:before="13"/>
        <w:ind w:left="-4" w:right="-7"/>
        <w:jc w:val="center"/>
        <w:rPr>
          <w:rFonts w:ascii="Times New Roman" w:eastAsia="Arial" w:hAnsi="Times New Roman" w:cs="Times New Roman"/>
          <w:b/>
          <w:w w:val="110"/>
          <w:sz w:val="28"/>
          <w:szCs w:val="28"/>
          <w:lang w:val="ro-RO"/>
        </w:rPr>
      </w:pPr>
    </w:p>
    <w:p w:rsidR="00D873D5" w:rsidRPr="00AA78DA" w:rsidRDefault="008E34C6" w:rsidP="00441764">
      <w:pPr>
        <w:tabs>
          <w:tab w:val="left" w:pos="628"/>
        </w:tabs>
        <w:spacing w:before="13"/>
        <w:ind w:left="-4" w:right="-7"/>
        <w:jc w:val="center"/>
        <w:rPr>
          <w:rFonts w:ascii="Times New Roman" w:hAnsi="Times New Roman" w:cs="Times New Roman"/>
          <w:b/>
          <w:sz w:val="28"/>
          <w:szCs w:val="28"/>
          <w:lang w:val="ro-RO"/>
        </w:rPr>
      </w:pPr>
      <w:r w:rsidRPr="00AA78DA">
        <w:rPr>
          <w:rFonts w:ascii="Times New Roman" w:eastAsia="Arial" w:hAnsi="Times New Roman" w:cs="Times New Roman"/>
          <w:b/>
          <w:w w:val="110"/>
          <w:sz w:val="28"/>
          <w:szCs w:val="28"/>
          <w:lang w:val="ro-RO"/>
        </w:rPr>
        <w:lastRenderedPageBreak/>
        <w:t>2. Relația între DSGP și Regulamentul</w:t>
      </w:r>
    </w:p>
    <w:p w:rsidR="00EB4E9D" w:rsidRPr="00AA78DA" w:rsidRDefault="008E34C6" w:rsidP="00441764">
      <w:pPr>
        <w:pStyle w:val="BodyText"/>
        <w:tabs>
          <w:tab w:val="left" w:pos="848"/>
        </w:tabs>
        <w:ind w:left="0" w:right="-7"/>
        <w:jc w:val="both"/>
        <w:rPr>
          <w:rFonts w:cs="Times New Roman"/>
          <w:b/>
          <w:sz w:val="28"/>
          <w:szCs w:val="28"/>
          <w:lang w:val="ro-RO"/>
        </w:rPr>
      </w:pPr>
      <w:r w:rsidRPr="00AA78DA">
        <w:rPr>
          <w:rFonts w:cs="Times New Roman"/>
          <w:b/>
          <w:w w:val="105"/>
          <w:sz w:val="28"/>
          <w:szCs w:val="28"/>
          <w:lang w:val="ro-RO"/>
        </w:rPr>
        <w:t xml:space="preserve">2.1. </w:t>
      </w:r>
      <w:r w:rsidR="00D873D5" w:rsidRPr="00AA78DA">
        <w:rPr>
          <w:rFonts w:cs="Times New Roman"/>
          <w:b/>
          <w:w w:val="105"/>
          <w:sz w:val="28"/>
          <w:szCs w:val="28"/>
          <w:lang w:val="ro-RO"/>
        </w:rPr>
        <w:t>Domeniul de aplicare al DSGP și al Regulamentului</w:t>
      </w:r>
    </w:p>
    <w:p w:rsidR="00EB4E9D" w:rsidRPr="00AA78DA" w:rsidRDefault="00933501" w:rsidP="00441764">
      <w:pPr>
        <w:spacing w:before="13"/>
        <w:ind w:right="-7" w:hanging="4"/>
        <w:jc w:val="both"/>
        <w:rPr>
          <w:rFonts w:ascii="Times New Roman" w:hAnsi="Times New Roman" w:cs="Times New Roman"/>
          <w:sz w:val="28"/>
          <w:szCs w:val="28"/>
          <w:lang w:val="ro-RO"/>
        </w:rPr>
      </w:pPr>
      <w:r w:rsidRPr="00AA78DA">
        <w:rPr>
          <w:rFonts w:ascii="Times New Roman" w:hAnsi="Times New Roman" w:cs="Times New Roman"/>
          <w:sz w:val="28"/>
          <w:szCs w:val="28"/>
          <w:lang w:val="ro-RO"/>
        </w:rPr>
        <w:t>DSGP a introdus într-o primă etapă cerințe privind organizarea și realizarea supravegherii pieței din punctul de vedere al sănătății și siguranței legate de produsele (nealimentare) de consum de la nivelul Comunității. De la adoptarea Regulamentului, există două părți orizontale ale legislației comunitare care includ cerințe privind supravegherea pieței din punctul de vedere al siguranței produselor. Cu toate acestea, domeniul de aplicare al DSGP este diferit de cel al Regulamentului.</w:t>
      </w:r>
    </w:p>
    <w:p w:rsidR="00EB4E9D" w:rsidRPr="00AA78DA" w:rsidRDefault="00EB4E9D" w:rsidP="00441764">
      <w:pPr>
        <w:spacing w:before="15"/>
        <w:ind w:right="-7" w:hanging="4"/>
        <w:rPr>
          <w:rFonts w:ascii="Times New Roman" w:hAnsi="Times New Roman" w:cs="Times New Roman"/>
          <w:sz w:val="16"/>
          <w:szCs w:val="16"/>
          <w:lang w:val="ro-RO"/>
        </w:rPr>
      </w:pPr>
    </w:p>
    <w:p w:rsidR="00155C8D" w:rsidRPr="00AA78DA" w:rsidRDefault="00155C8D" w:rsidP="00441764">
      <w:pPr>
        <w:pStyle w:val="BodyText"/>
        <w:ind w:left="0" w:right="-7" w:firstLine="7"/>
        <w:jc w:val="both"/>
        <w:rPr>
          <w:sz w:val="28"/>
          <w:szCs w:val="28"/>
          <w:lang w:val="ro-RO"/>
        </w:rPr>
      </w:pPr>
      <w:r w:rsidRPr="00AA78DA">
        <w:rPr>
          <w:sz w:val="28"/>
          <w:szCs w:val="28"/>
          <w:lang w:val="ro-RO"/>
        </w:rPr>
        <w:t>DSGP se aplică tuturor produselor de consum</w:t>
      </w:r>
      <w:r w:rsidR="00E36C77" w:rsidRPr="00AA78DA">
        <w:rPr>
          <w:rStyle w:val="FootnoteReference"/>
          <w:sz w:val="28"/>
          <w:szCs w:val="28"/>
          <w:lang w:val="ro-RO"/>
        </w:rPr>
        <w:footnoteReference w:id="7"/>
      </w:r>
      <w:r w:rsidRPr="00AA78DA">
        <w:rPr>
          <w:sz w:val="28"/>
          <w:szCs w:val="28"/>
          <w:lang w:val="ro-RO"/>
        </w:rPr>
        <w:t xml:space="preserve"> - </w:t>
      </w:r>
      <w:r w:rsidR="00933501" w:rsidRPr="00AA78DA">
        <w:rPr>
          <w:sz w:val="28"/>
          <w:szCs w:val="28"/>
          <w:lang w:val="ro-RO"/>
        </w:rPr>
        <w:t>indiferent dacă acestea intră sub incidența legislației comunitare de armonizare - cu condiția să nu existe dispoziții specifice cu același obiectiv în normele legislației comunitare care să reglementeze siguranța produselor în cauză; în acest sens, DSGP are ca scop protejarea sănătății și siguranței consumatorilor.</w:t>
      </w:r>
    </w:p>
    <w:p w:rsidR="00EB4E9D" w:rsidRPr="00AA78DA" w:rsidRDefault="00EB4E9D" w:rsidP="00441764">
      <w:pPr>
        <w:spacing w:before="8"/>
        <w:rPr>
          <w:rFonts w:ascii="Times New Roman" w:hAnsi="Times New Roman" w:cs="Times New Roman"/>
          <w:sz w:val="16"/>
          <w:szCs w:val="16"/>
          <w:lang w:val="ro-RO"/>
        </w:rPr>
      </w:pPr>
    </w:p>
    <w:p w:rsidR="00EB4E9D" w:rsidRPr="00AA78DA" w:rsidRDefault="00933501" w:rsidP="00441764">
      <w:pPr>
        <w:pStyle w:val="BodyText"/>
        <w:ind w:left="0" w:right="-7"/>
        <w:jc w:val="both"/>
        <w:rPr>
          <w:sz w:val="28"/>
          <w:szCs w:val="28"/>
          <w:lang w:val="ro-RO"/>
        </w:rPr>
      </w:pPr>
      <w:r w:rsidRPr="00AA78DA">
        <w:rPr>
          <w:sz w:val="28"/>
          <w:szCs w:val="28"/>
          <w:lang w:val="ro-RO"/>
        </w:rPr>
        <w:t xml:space="preserve">Regulamentul se aplică tuturor produselor care intră sub incidența legislației comunitare de armonizare </w:t>
      </w:r>
      <w:r w:rsidR="00BE5193" w:rsidRPr="00AA78DA">
        <w:rPr>
          <w:sz w:val="28"/>
          <w:szCs w:val="28"/>
          <w:lang w:val="ro-RO"/>
        </w:rPr>
        <w:t>(</w:t>
      </w:r>
      <w:r w:rsidRPr="00AA78DA">
        <w:rPr>
          <w:sz w:val="28"/>
          <w:szCs w:val="28"/>
          <w:lang w:val="ro-RO"/>
        </w:rPr>
        <w:t>„</w:t>
      </w:r>
      <w:r w:rsidR="00BE5193" w:rsidRPr="00AA78DA">
        <w:rPr>
          <w:sz w:val="28"/>
          <w:szCs w:val="28"/>
          <w:lang w:val="ro-RO"/>
        </w:rPr>
        <w:t>produsele armonizate</w:t>
      </w:r>
      <w:r w:rsidRPr="00AA78DA">
        <w:rPr>
          <w:sz w:val="28"/>
          <w:szCs w:val="28"/>
          <w:lang w:val="ro-RO"/>
        </w:rPr>
        <w:t>”</w:t>
      </w:r>
      <w:r w:rsidR="00BE5193" w:rsidRPr="00AA78DA">
        <w:rPr>
          <w:sz w:val="28"/>
          <w:szCs w:val="28"/>
          <w:lang w:val="ro-RO"/>
        </w:rPr>
        <w:t>)</w:t>
      </w:r>
      <w:r w:rsidR="00E36C77" w:rsidRPr="00AA78DA">
        <w:rPr>
          <w:rStyle w:val="FootnoteReference"/>
          <w:sz w:val="28"/>
          <w:szCs w:val="28"/>
          <w:lang w:val="ro-RO"/>
        </w:rPr>
        <w:footnoteReference w:id="8"/>
      </w:r>
      <w:r w:rsidR="00BE5193" w:rsidRPr="00AA78DA">
        <w:rPr>
          <w:spacing w:val="12"/>
          <w:position w:val="11"/>
          <w:sz w:val="28"/>
          <w:szCs w:val="28"/>
          <w:lang w:val="ro-RO"/>
        </w:rPr>
        <w:t xml:space="preserve"> </w:t>
      </w:r>
      <w:r w:rsidR="00BE5193" w:rsidRPr="00AA78DA">
        <w:rPr>
          <w:sz w:val="28"/>
          <w:szCs w:val="28"/>
          <w:lang w:val="ro-RO"/>
        </w:rPr>
        <w:t xml:space="preserve"> - </w:t>
      </w:r>
      <w:r w:rsidRPr="00AA78DA">
        <w:rPr>
          <w:sz w:val="28"/>
          <w:szCs w:val="28"/>
          <w:lang w:val="ro-RO"/>
        </w:rPr>
        <w:t xml:space="preserve">indiferent dacă acestea sunt produse de consum sau nu – în măsura în care nu există dispoziții specifice cu obiectiv, natură sau efect similar în alte norme existente sau viitoare ale legislației comunitare de armonizare; în acest sens, </w:t>
      </w:r>
      <w:r w:rsidR="00206672" w:rsidRPr="00AA78DA">
        <w:rPr>
          <w:sz w:val="28"/>
          <w:szCs w:val="28"/>
          <w:lang w:val="ro-RO"/>
        </w:rPr>
        <w:t>R</w:t>
      </w:r>
      <w:r w:rsidRPr="00AA78DA">
        <w:rPr>
          <w:sz w:val="28"/>
          <w:szCs w:val="28"/>
          <w:lang w:val="ro-RO"/>
        </w:rPr>
        <w:t>egulamentul protejează nu numai sănătatea și siguranța consumatorilor, ci și alte interese publice, precum sănătatea și siguranța utilizatorilor la locul de muncă, mediul, utilizarea durabilă a energiei etc.</w:t>
      </w:r>
    </w:p>
    <w:p w:rsidR="00933501" w:rsidRPr="00AA78DA" w:rsidRDefault="00933501" w:rsidP="00441764">
      <w:pPr>
        <w:pStyle w:val="BodyText"/>
        <w:ind w:left="0" w:right="117"/>
        <w:jc w:val="both"/>
        <w:rPr>
          <w:sz w:val="16"/>
          <w:szCs w:val="16"/>
          <w:lang w:val="ro-RO"/>
        </w:rPr>
      </w:pPr>
    </w:p>
    <w:p w:rsidR="0030498C" w:rsidRPr="00AA78DA" w:rsidRDefault="00933501" w:rsidP="00441764">
      <w:pPr>
        <w:jc w:val="both"/>
        <w:rPr>
          <w:rFonts w:ascii="Times New Roman" w:eastAsia="Times New Roman" w:hAnsi="Times New Roman"/>
          <w:sz w:val="28"/>
          <w:szCs w:val="28"/>
          <w:lang w:val="ro-RO"/>
        </w:rPr>
      </w:pPr>
      <w:r w:rsidRPr="00AA78DA">
        <w:rPr>
          <w:rFonts w:ascii="Times New Roman" w:eastAsia="Times New Roman" w:hAnsi="Times New Roman"/>
          <w:sz w:val="28"/>
          <w:szCs w:val="28"/>
          <w:lang w:val="ro-RO"/>
        </w:rPr>
        <w:t xml:space="preserve">Prin urmare, există domenii clar definite fără suprapuneri între DSGP și </w:t>
      </w:r>
      <w:r w:rsidR="00206672" w:rsidRPr="00AA78DA">
        <w:rPr>
          <w:rFonts w:ascii="Times New Roman" w:eastAsia="Times New Roman" w:hAnsi="Times New Roman"/>
          <w:sz w:val="28"/>
          <w:szCs w:val="28"/>
          <w:lang w:val="ro-RO"/>
        </w:rPr>
        <w:t>R</w:t>
      </w:r>
      <w:r w:rsidRPr="00AA78DA">
        <w:rPr>
          <w:rFonts w:ascii="Times New Roman" w:eastAsia="Times New Roman" w:hAnsi="Times New Roman"/>
          <w:sz w:val="28"/>
          <w:szCs w:val="28"/>
          <w:lang w:val="ro-RO"/>
        </w:rPr>
        <w:t xml:space="preserve">egulament: domeniul produselor de consum nearmonizate intră sub incidența normelor prevăzute în DSGP, domeniul produselor armonizate care nu sunt de consum intră sub incidența </w:t>
      </w:r>
      <w:r w:rsidR="00206672" w:rsidRPr="00AA78DA">
        <w:rPr>
          <w:rFonts w:ascii="Times New Roman" w:eastAsia="Times New Roman" w:hAnsi="Times New Roman"/>
          <w:sz w:val="28"/>
          <w:szCs w:val="28"/>
          <w:lang w:val="ro-RO"/>
        </w:rPr>
        <w:t>R</w:t>
      </w:r>
      <w:r w:rsidRPr="00AA78DA">
        <w:rPr>
          <w:rFonts w:ascii="Times New Roman" w:eastAsia="Times New Roman" w:hAnsi="Times New Roman"/>
          <w:sz w:val="28"/>
          <w:szCs w:val="28"/>
          <w:lang w:val="ro-RO"/>
        </w:rPr>
        <w:t>egulamentului, iar domeniul produselor nearmonizate care nu sunt de consum nu intră sub incidența niciunuia dintre cele două instrumente orizontale. Cu toate acestea, în ceea ce privește protecția sănătății și siguranței consumatorilor, domeniul produselor de consum armonizate intră sub incidența dispozițiilor privind supravegherea pieței, stabilite at</w:t>
      </w:r>
      <w:r w:rsidR="001344CD" w:rsidRPr="00AA78DA">
        <w:rPr>
          <w:rFonts w:ascii="Times New Roman" w:eastAsia="Times New Roman" w:hAnsi="Times New Roman"/>
          <w:sz w:val="28"/>
          <w:szCs w:val="28"/>
          <w:lang w:val="ro-RO"/>
        </w:rPr>
        <w:t>î</w:t>
      </w:r>
      <w:r w:rsidRPr="00AA78DA">
        <w:rPr>
          <w:rFonts w:ascii="Times New Roman" w:eastAsia="Times New Roman" w:hAnsi="Times New Roman"/>
          <w:sz w:val="28"/>
          <w:szCs w:val="28"/>
          <w:lang w:val="ro-RO"/>
        </w:rPr>
        <w:t>t în DSGP, c</w:t>
      </w:r>
      <w:r w:rsidR="001344CD" w:rsidRPr="00AA78DA">
        <w:rPr>
          <w:rFonts w:ascii="Times New Roman" w:eastAsia="Times New Roman" w:hAnsi="Times New Roman"/>
          <w:sz w:val="28"/>
          <w:szCs w:val="28"/>
          <w:lang w:val="ro-RO"/>
        </w:rPr>
        <w:t>î</w:t>
      </w:r>
      <w:r w:rsidRPr="00AA78DA">
        <w:rPr>
          <w:rFonts w:ascii="Times New Roman" w:eastAsia="Times New Roman" w:hAnsi="Times New Roman"/>
          <w:sz w:val="28"/>
          <w:szCs w:val="28"/>
          <w:lang w:val="ro-RO"/>
        </w:rPr>
        <w:t xml:space="preserve">t și în </w:t>
      </w:r>
      <w:r w:rsidR="00206672" w:rsidRPr="00AA78DA">
        <w:rPr>
          <w:rFonts w:ascii="Times New Roman" w:eastAsia="Times New Roman" w:hAnsi="Times New Roman"/>
          <w:sz w:val="28"/>
          <w:szCs w:val="28"/>
          <w:lang w:val="ro-RO"/>
        </w:rPr>
        <w:t>R</w:t>
      </w:r>
      <w:r w:rsidRPr="00AA78DA">
        <w:rPr>
          <w:rFonts w:ascii="Times New Roman" w:eastAsia="Times New Roman" w:hAnsi="Times New Roman"/>
          <w:sz w:val="28"/>
          <w:szCs w:val="28"/>
          <w:lang w:val="ro-RO"/>
        </w:rPr>
        <w:t xml:space="preserve">egulament. Această relație dintre DSGP și </w:t>
      </w:r>
      <w:r w:rsidR="00206672" w:rsidRPr="00AA78DA">
        <w:rPr>
          <w:rFonts w:ascii="Times New Roman" w:eastAsia="Times New Roman" w:hAnsi="Times New Roman"/>
          <w:sz w:val="28"/>
          <w:szCs w:val="28"/>
          <w:lang w:val="ro-RO"/>
        </w:rPr>
        <w:t>R</w:t>
      </w:r>
      <w:r w:rsidRPr="00AA78DA">
        <w:rPr>
          <w:rFonts w:ascii="Times New Roman" w:eastAsia="Times New Roman" w:hAnsi="Times New Roman"/>
          <w:sz w:val="28"/>
          <w:szCs w:val="28"/>
          <w:lang w:val="ro-RO"/>
        </w:rPr>
        <w:t>egulament este ilustrată în tabelul 1.</w:t>
      </w:r>
    </w:p>
    <w:p w:rsidR="00E36C77" w:rsidRPr="00AA78DA" w:rsidRDefault="00E36C77" w:rsidP="00441764">
      <w:pPr>
        <w:jc w:val="both"/>
        <w:rPr>
          <w:rFonts w:ascii="Times New Roman" w:eastAsia="Times New Roman" w:hAnsi="Times New Roman" w:cs="Times New Roman"/>
          <w:color w:val="282828"/>
          <w:w w:val="110"/>
          <w:sz w:val="28"/>
          <w:szCs w:val="28"/>
          <w:lang w:val="ro-RO"/>
        </w:rPr>
      </w:pPr>
      <w:r w:rsidRPr="00AA78DA">
        <w:rPr>
          <w:rFonts w:ascii="Times New Roman" w:eastAsia="Times New Roman" w:hAnsi="Times New Roman" w:cs="Times New Roman"/>
          <w:color w:val="282828"/>
          <w:w w:val="110"/>
          <w:sz w:val="28"/>
          <w:szCs w:val="28"/>
          <w:lang w:val="ro-RO"/>
        </w:rPr>
        <w:br w:type="page"/>
      </w:r>
    </w:p>
    <w:p w:rsidR="00EB4E9D" w:rsidRPr="00AA78DA" w:rsidRDefault="005C1F1B" w:rsidP="00441764">
      <w:pPr>
        <w:spacing w:before="70"/>
        <w:ind w:left="172"/>
        <w:rPr>
          <w:rFonts w:ascii="Times New Roman" w:eastAsia="Times New Roman" w:hAnsi="Times New Roman" w:cs="Times New Roman"/>
          <w:lang w:val="ro-RO"/>
        </w:rPr>
      </w:pPr>
      <w:r w:rsidRPr="00AA78DA">
        <w:rPr>
          <w:rFonts w:ascii="Times New Roman" w:eastAsia="Times New Roman" w:hAnsi="Times New Roman" w:cs="Times New Roman"/>
          <w:color w:val="282828"/>
          <w:w w:val="110"/>
          <w:lang w:val="ro-RO"/>
        </w:rPr>
        <w:lastRenderedPageBreak/>
        <w:t>Tabe</w:t>
      </w:r>
      <w:r w:rsidR="00B00A0E" w:rsidRPr="00AA78DA">
        <w:rPr>
          <w:rFonts w:ascii="Times New Roman" w:eastAsia="Times New Roman" w:hAnsi="Times New Roman" w:cs="Times New Roman"/>
          <w:color w:val="282828"/>
          <w:w w:val="110"/>
          <w:lang w:val="ro-RO"/>
        </w:rPr>
        <w:t>l</w:t>
      </w:r>
      <w:r w:rsidR="00933501" w:rsidRPr="00AA78DA">
        <w:rPr>
          <w:rFonts w:ascii="Times New Roman" w:eastAsia="Times New Roman" w:hAnsi="Times New Roman" w:cs="Times New Roman"/>
          <w:color w:val="282828"/>
          <w:w w:val="110"/>
          <w:lang w:val="ro-RO"/>
        </w:rPr>
        <w:t>ul</w:t>
      </w:r>
      <w:r w:rsidRPr="00AA78DA">
        <w:rPr>
          <w:rFonts w:ascii="Times New Roman" w:eastAsia="Times New Roman" w:hAnsi="Times New Roman" w:cs="Times New Roman"/>
          <w:color w:val="282828"/>
          <w:spacing w:val="13"/>
          <w:w w:val="110"/>
          <w:lang w:val="ro-RO"/>
        </w:rPr>
        <w:t xml:space="preserve"> </w:t>
      </w:r>
      <w:r w:rsidRPr="00AA78DA">
        <w:rPr>
          <w:rFonts w:ascii="Times New Roman" w:eastAsia="Times New Roman" w:hAnsi="Times New Roman" w:cs="Times New Roman"/>
          <w:color w:val="1A1A1A"/>
          <w:w w:val="110"/>
          <w:lang w:val="ro-RO"/>
        </w:rPr>
        <w:t>1:</w:t>
      </w:r>
    </w:p>
    <w:tbl>
      <w:tblPr>
        <w:tblStyle w:val="TableGrid"/>
        <w:tblW w:w="0" w:type="auto"/>
        <w:jc w:val="center"/>
        <w:tblLook w:val="04A0" w:firstRow="1" w:lastRow="0" w:firstColumn="1" w:lastColumn="0" w:noHBand="0" w:noVBand="1"/>
      </w:tblPr>
      <w:tblGrid>
        <w:gridCol w:w="2960"/>
        <w:gridCol w:w="3274"/>
        <w:gridCol w:w="2710"/>
      </w:tblGrid>
      <w:tr w:rsidR="00311D0F" w:rsidRPr="00AA78DA" w:rsidTr="00311D0F">
        <w:trPr>
          <w:trHeight w:val="1538"/>
          <w:jc w:val="center"/>
        </w:trPr>
        <w:tc>
          <w:tcPr>
            <w:tcW w:w="2571" w:type="dxa"/>
            <w:shd w:val="clear" w:color="auto" w:fill="FFFF00"/>
            <w:vAlign w:val="center"/>
          </w:tcPr>
          <w:p w:rsidR="00311D0F" w:rsidRPr="00AA78DA" w:rsidRDefault="006F1C1E" w:rsidP="00441764">
            <w:pPr>
              <w:pStyle w:val="Default"/>
              <w:jc w:val="center"/>
              <w:rPr>
                <w:rFonts w:ascii="Calibri" w:hAnsi="Calibri" w:cs="Calibri"/>
                <w:b/>
                <w:bCs/>
                <w:sz w:val="40"/>
                <w:szCs w:val="40"/>
                <w:lang w:val="ro-RO"/>
              </w:rPr>
            </w:pPr>
            <w:r w:rsidRPr="00AA78DA">
              <w:rPr>
                <w:rFonts w:ascii="Calibri" w:hAnsi="Calibri" w:cs="Calibri"/>
                <w:b/>
                <w:bCs/>
                <w:sz w:val="40"/>
                <w:szCs w:val="40"/>
                <w:lang w:val="ro-RO"/>
              </w:rPr>
              <w:t>PRODUSE</w:t>
            </w:r>
          </w:p>
        </w:tc>
        <w:tc>
          <w:tcPr>
            <w:tcW w:w="3274" w:type="dxa"/>
            <w:shd w:val="clear" w:color="auto" w:fill="FFFF00"/>
            <w:vAlign w:val="center"/>
          </w:tcPr>
          <w:p w:rsidR="00311D0F" w:rsidRPr="00AA78DA" w:rsidRDefault="006F1C1E" w:rsidP="00441764">
            <w:pPr>
              <w:pStyle w:val="Default"/>
              <w:jc w:val="center"/>
              <w:rPr>
                <w:rFonts w:ascii="Calibri" w:hAnsi="Calibri" w:cs="Calibri"/>
                <w:sz w:val="40"/>
                <w:szCs w:val="40"/>
                <w:lang w:val="ro-RO"/>
              </w:rPr>
            </w:pPr>
            <w:r w:rsidRPr="00AA78DA">
              <w:rPr>
                <w:rFonts w:ascii="Calibri" w:hAnsi="Calibri" w:cs="Calibri"/>
                <w:b/>
                <w:bCs/>
                <w:sz w:val="40"/>
                <w:szCs w:val="40"/>
                <w:lang w:val="ro-RO"/>
              </w:rPr>
              <w:t xml:space="preserve">DE CONSUM </w:t>
            </w:r>
          </w:p>
        </w:tc>
        <w:tc>
          <w:tcPr>
            <w:tcW w:w="2710" w:type="dxa"/>
            <w:shd w:val="clear" w:color="auto" w:fill="FFFF00"/>
            <w:vAlign w:val="center"/>
          </w:tcPr>
          <w:p w:rsidR="00311D0F" w:rsidRPr="00AA78DA" w:rsidRDefault="006F1C1E" w:rsidP="00441764">
            <w:pPr>
              <w:pStyle w:val="Default"/>
              <w:jc w:val="center"/>
              <w:rPr>
                <w:rFonts w:ascii="Calibri" w:hAnsi="Calibri" w:cs="Calibri"/>
                <w:sz w:val="40"/>
                <w:szCs w:val="40"/>
                <w:lang w:val="ro-RO"/>
              </w:rPr>
            </w:pPr>
            <w:r w:rsidRPr="00AA78DA">
              <w:rPr>
                <w:rFonts w:ascii="Calibri" w:hAnsi="Calibri" w:cs="Calibri"/>
                <w:b/>
                <w:bCs/>
                <w:sz w:val="40"/>
                <w:szCs w:val="40"/>
                <w:lang w:val="ro-RO"/>
              </w:rPr>
              <w:t xml:space="preserve">NON CONSUM </w:t>
            </w:r>
          </w:p>
        </w:tc>
      </w:tr>
      <w:tr w:rsidR="00311D0F" w:rsidRPr="00AA78DA" w:rsidTr="00D135C7">
        <w:trPr>
          <w:trHeight w:val="2111"/>
          <w:jc w:val="center"/>
        </w:trPr>
        <w:tc>
          <w:tcPr>
            <w:tcW w:w="2571" w:type="dxa"/>
            <w:shd w:val="clear" w:color="auto" w:fill="FFFF00"/>
            <w:vAlign w:val="center"/>
          </w:tcPr>
          <w:p w:rsidR="00311D0F" w:rsidRPr="00AA78DA" w:rsidRDefault="006F1C1E" w:rsidP="00441764">
            <w:pPr>
              <w:jc w:val="center"/>
              <w:rPr>
                <w:rFonts w:ascii="Calibri" w:hAnsi="Calibri" w:cs="Calibri"/>
                <w:b/>
                <w:sz w:val="40"/>
                <w:szCs w:val="40"/>
                <w:lang w:val="ro-RO"/>
              </w:rPr>
            </w:pPr>
            <w:r w:rsidRPr="00AA78DA">
              <w:rPr>
                <w:rFonts w:ascii="Calibri" w:eastAsia="Times New Roman" w:hAnsi="Calibri" w:cs="Calibri"/>
                <w:b/>
                <w:bCs/>
                <w:color w:val="1A1A1A"/>
                <w:sz w:val="40"/>
                <w:szCs w:val="40"/>
                <w:lang w:val="ro-RO"/>
              </w:rPr>
              <w:t>ARMONIZATE</w:t>
            </w:r>
          </w:p>
        </w:tc>
        <w:tc>
          <w:tcPr>
            <w:tcW w:w="3274" w:type="dxa"/>
            <w:shd w:val="clear" w:color="auto" w:fill="F79646" w:themeFill="accent6"/>
            <w:vAlign w:val="center"/>
          </w:tcPr>
          <w:p w:rsidR="00311D0F" w:rsidRPr="00AA78DA" w:rsidRDefault="00311D0F" w:rsidP="00441764">
            <w:pPr>
              <w:jc w:val="center"/>
              <w:rPr>
                <w:rFonts w:ascii="Calibri" w:hAnsi="Calibri" w:cs="Calibri"/>
                <w:b/>
                <w:sz w:val="40"/>
                <w:szCs w:val="40"/>
                <w:lang w:val="ro-RO"/>
              </w:rPr>
            </w:pPr>
            <w:r w:rsidRPr="00AA78DA">
              <w:rPr>
                <w:rFonts w:ascii="Calibri" w:hAnsi="Calibri" w:cs="Calibri"/>
                <w:b/>
                <w:sz w:val="40"/>
                <w:szCs w:val="40"/>
                <w:lang w:val="ro-RO"/>
              </w:rPr>
              <w:t>Regulament</w:t>
            </w:r>
            <w:r w:rsidR="006F1C1E" w:rsidRPr="00AA78DA">
              <w:rPr>
                <w:rFonts w:ascii="Calibri" w:hAnsi="Calibri" w:cs="Calibri"/>
                <w:b/>
                <w:sz w:val="40"/>
                <w:szCs w:val="40"/>
                <w:lang w:val="ro-RO"/>
              </w:rPr>
              <w:t>ul 765</w:t>
            </w:r>
          </w:p>
          <w:p w:rsidR="00311D0F" w:rsidRPr="00AA78DA" w:rsidRDefault="00311D0F" w:rsidP="00441764">
            <w:pPr>
              <w:jc w:val="center"/>
              <w:rPr>
                <w:rFonts w:ascii="Calibri" w:hAnsi="Calibri" w:cs="Calibri"/>
                <w:b/>
                <w:sz w:val="40"/>
                <w:szCs w:val="40"/>
                <w:lang w:val="ro-RO"/>
              </w:rPr>
            </w:pPr>
            <w:r w:rsidRPr="00AA78DA">
              <w:rPr>
                <w:rFonts w:ascii="Calibri" w:hAnsi="Calibri" w:cs="Calibri"/>
                <w:b/>
                <w:sz w:val="40"/>
                <w:szCs w:val="40"/>
                <w:lang w:val="ro-RO"/>
              </w:rPr>
              <w:t>+</w:t>
            </w:r>
          </w:p>
          <w:p w:rsidR="00311D0F" w:rsidRPr="00AA78DA" w:rsidRDefault="00311D0F" w:rsidP="00441764">
            <w:pPr>
              <w:jc w:val="center"/>
              <w:rPr>
                <w:rFonts w:ascii="Calibri" w:hAnsi="Calibri" w:cs="Calibri"/>
                <w:sz w:val="40"/>
                <w:szCs w:val="40"/>
                <w:lang w:val="ro-RO"/>
              </w:rPr>
            </w:pPr>
            <w:r w:rsidRPr="00AA78DA">
              <w:rPr>
                <w:rFonts w:ascii="Calibri" w:hAnsi="Calibri" w:cs="Calibri"/>
                <w:b/>
                <w:sz w:val="40"/>
                <w:szCs w:val="40"/>
                <w:lang w:val="ro-RO"/>
              </w:rPr>
              <w:t>DSGP</w:t>
            </w:r>
          </w:p>
        </w:tc>
        <w:tc>
          <w:tcPr>
            <w:tcW w:w="2710" w:type="dxa"/>
            <w:shd w:val="clear" w:color="auto" w:fill="F2DBDB" w:themeFill="accent2" w:themeFillTint="33"/>
            <w:vAlign w:val="center"/>
          </w:tcPr>
          <w:p w:rsidR="006F1C1E" w:rsidRPr="00AA78DA" w:rsidRDefault="006F1C1E" w:rsidP="00441764">
            <w:pPr>
              <w:jc w:val="center"/>
              <w:rPr>
                <w:rFonts w:ascii="Calibri" w:eastAsia="Times New Roman" w:hAnsi="Calibri" w:cs="Calibri"/>
                <w:b/>
                <w:bCs/>
                <w:color w:val="1A1A1A"/>
                <w:sz w:val="40"/>
                <w:szCs w:val="40"/>
                <w:lang w:val="ro-RO"/>
              </w:rPr>
            </w:pPr>
            <w:r w:rsidRPr="00AA78DA">
              <w:rPr>
                <w:rFonts w:ascii="Calibri" w:eastAsia="Times New Roman" w:hAnsi="Calibri" w:cs="Calibri"/>
                <w:b/>
                <w:bCs/>
                <w:color w:val="1A1A1A"/>
                <w:sz w:val="40"/>
                <w:szCs w:val="40"/>
                <w:lang w:val="ro-RO"/>
              </w:rPr>
              <w:t>Doar</w:t>
            </w:r>
          </w:p>
          <w:p w:rsidR="00311D0F" w:rsidRPr="00AA78DA" w:rsidRDefault="00311D0F" w:rsidP="00441764">
            <w:pPr>
              <w:jc w:val="center"/>
              <w:rPr>
                <w:rFonts w:ascii="Calibri" w:hAnsi="Calibri" w:cs="Calibri"/>
                <w:sz w:val="40"/>
                <w:szCs w:val="40"/>
                <w:lang w:val="ro-RO"/>
              </w:rPr>
            </w:pPr>
            <w:r w:rsidRPr="00AA78DA">
              <w:rPr>
                <w:rFonts w:ascii="Calibri" w:eastAsia="Times New Roman" w:hAnsi="Calibri" w:cs="Calibri"/>
                <w:b/>
                <w:bCs/>
                <w:color w:val="1A1A1A"/>
                <w:sz w:val="40"/>
                <w:szCs w:val="40"/>
                <w:lang w:val="ro-RO"/>
              </w:rPr>
              <w:t>Regulament</w:t>
            </w:r>
            <w:r w:rsidR="006F1C1E" w:rsidRPr="00AA78DA">
              <w:rPr>
                <w:rFonts w:ascii="Calibri" w:eastAsia="Times New Roman" w:hAnsi="Calibri" w:cs="Calibri"/>
                <w:b/>
                <w:bCs/>
                <w:color w:val="1A1A1A"/>
                <w:sz w:val="40"/>
                <w:szCs w:val="40"/>
                <w:lang w:val="ro-RO"/>
              </w:rPr>
              <w:t>ul 765</w:t>
            </w:r>
          </w:p>
        </w:tc>
      </w:tr>
      <w:tr w:rsidR="00311D0F" w:rsidRPr="00AA78DA" w:rsidTr="00D135C7">
        <w:trPr>
          <w:trHeight w:val="1745"/>
          <w:jc w:val="center"/>
        </w:trPr>
        <w:tc>
          <w:tcPr>
            <w:tcW w:w="2571" w:type="dxa"/>
            <w:shd w:val="clear" w:color="auto" w:fill="FFFF00"/>
            <w:vAlign w:val="center"/>
          </w:tcPr>
          <w:p w:rsidR="00311D0F" w:rsidRPr="00AA78DA" w:rsidRDefault="006F1C1E" w:rsidP="00441764">
            <w:pPr>
              <w:jc w:val="center"/>
              <w:rPr>
                <w:rFonts w:ascii="Calibri" w:eastAsia="Times New Roman" w:hAnsi="Calibri" w:cs="Calibri"/>
                <w:b/>
                <w:bCs/>
                <w:color w:val="1A1A1A"/>
                <w:sz w:val="40"/>
                <w:szCs w:val="40"/>
                <w:lang w:val="ro-RO"/>
              </w:rPr>
            </w:pPr>
            <w:r w:rsidRPr="00AA78DA">
              <w:rPr>
                <w:rFonts w:ascii="Calibri" w:eastAsia="Times New Roman" w:hAnsi="Calibri" w:cs="Calibri"/>
                <w:b/>
                <w:bCs/>
                <w:color w:val="1A1A1A"/>
                <w:sz w:val="40"/>
                <w:szCs w:val="40"/>
                <w:lang w:val="ro-RO"/>
              </w:rPr>
              <w:t>NEARMONIZATE</w:t>
            </w:r>
          </w:p>
        </w:tc>
        <w:tc>
          <w:tcPr>
            <w:tcW w:w="3274" w:type="dxa"/>
            <w:shd w:val="clear" w:color="auto" w:fill="E5DFEC" w:themeFill="accent4" w:themeFillTint="33"/>
            <w:vAlign w:val="center"/>
          </w:tcPr>
          <w:p w:rsidR="00311D0F" w:rsidRPr="00AA78DA" w:rsidRDefault="00311D0F" w:rsidP="00441764">
            <w:pPr>
              <w:jc w:val="center"/>
              <w:rPr>
                <w:rFonts w:ascii="Calibri" w:eastAsia="Times New Roman" w:hAnsi="Calibri" w:cs="Calibri"/>
                <w:b/>
                <w:bCs/>
                <w:color w:val="1A1A1A"/>
                <w:sz w:val="40"/>
                <w:szCs w:val="40"/>
                <w:lang w:val="ro-RO"/>
              </w:rPr>
            </w:pPr>
            <w:r w:rsidRPr="00AA78DA">
              <w:rPr>
                <w:rFonts w:ascii="Calibri" w:eastAsia="Times New Roman" w:hAnsi="Calibri" w:cs="Calibri"/>
                <w:b/>
                <w:bCs/>
                <w:color w:val="1A1A1A"/>
                <w:sz w:val="40"/>
                <w:szCs w:val="40"/>
                <w:lang w:val="ro-RO"/>
              </w:rPr>
              <w:t>Doar</w:t>
            </w:r>
          </w:p>
          <w:p w:rsidR="00311D0F" w:rsidRPr="00AA78DA" w:rsidRDefault="00311D0F" w:rsidP="00441764">
            <w:pPr>
              <w:jc w:val="center"/>
              <w:rPr>
                <w:rFonts w:ascii="Calibri" w:hAnsi="Calibri" w:cs="Calibri"/>
                <w:sz w:val="40"/>
                <w:szCs w:val="40"/>
                <w:lang w:val="ro-RO"/>
              </w:rPr>
            </w:pPr>
            <w:r w:rsidRPr="00AA78DA">
              <w:rPr>
                <w:rFonts w:ascii="Calibri" w:eastAsia="Times New Roman" w:hAnsi="Calibri" w:cs="Calibri"/>
                <w:b/>
                <w:bCs/>
                <w:color w:val="1A1A1A"/>
                <w:sz w:val="40"/>
                <w:szCs w:val="40"/>
                <w:lang w:val="ro-RO"/>
              </w:rPr>
              <w:t>DSGP</w:t>
            </w:r>
          </w:p>
        </w:tc>
        <w:tc>
          <w:tcPr>
            <w:tcW w:w="2710" w:type="dxa"/>
            <w:shd w:val="clear" w:color="auto" w:fill="DDD9C3" w:themeFill="background2" w:themeFillShade="E6"/>
            <w:vAlign w:val="center"/>
          </w:tcPr>
          <w:p w:rsidR="00311D0F" w:rsidRPr="00AA78DA" w:rsidRDefault="00311D0F" w:rsidP="00441764">
            <w:pPr>
              <w:jc w:val="center"/>
              <w:rPr>
                <w:rFonts w:ascii="Calibri" w:hAnsi="Calibri" w:cs="Calibri"/>
                <w:sz w:val="40"/>
                <w:szCs w:val="40"/>
                <w:lang w:val="ro-RO"/>
              </w:rPr>
            </w:pPr>
            <w:r w:rsidRPr="00AA78DA">
              <w:rPr>
                <w:rFonts w:ascii="Calibri" w:eastAsia="Times New Roman" w:hAnsi="Calibri" w:cs="Calibri"/>
                <w:b/>
                <w:bCs/>
                <w:color w:val="0A0A0A"/>
                <w:sz w:val="40"/>
                <w:szCs w:val="40"/>
                <w:lang w:val="ro-RO"/>
              </w:rPr>
              <w:t xml:space="preserve">NU </w:t>
            </w:r>
            <w:r w:rsidRPr="00050B80">
              <w:rPr>
                <w:rFonts w:ascii="Calibri" w:eastAsia="Times New Roman" w:hAnsi="Calibri" w:cs="Calibri"/>
                <w:b/>
                <w:bCs/>
                <w:color w:val="0A0A0A"/>
                <w:sz w:val="36"/>
                <w:szCs w:val="36"/>
                <w:lang w:val="ro-RO"/>
              </w:rPr>
              <w:t>există norme comunitare orizontale privind supravegherea pieței</w:t>
            </w:r>
          </w:p>
        </w:tc>
      </w:tr>
    </w:tbl>
    <w:p w:rsidR="00996C90" w:rsidRPr="00AA78DA" w:rsidRDefault="00996C90" w:rsidP="00441764">
      <w:pPr>
        <w:rPr>
          <w:rFonts w:ascii="Times New Roman" w:hAnsi="Times New Roman" w:cs="Times New Roman"/>
          <w:sz w:val="16"/>
          <w:szCs w:val="16"/>
          <w:lang w:val="ro-RO"/>
        </w:rPr>
      </w:pPr>
    </w:p>
    <w:p w:rsidR="00EB4E9D" w:rsidRPr="00AA78DA" w:rsidRDefault="00416F96" w:rsidP="00441764">
      <w:pPr>
        <w:tabs>
          <w:tab w:val="left" w:pos="3901"/>
          <w:tab w:val="left" w:pos="6579"/>
        </w:tabs>
        <w:jc w:val="both"/>
        <w:rPr>
          <w:rFonts w:ascii="Times New Roman" w:eastAsia="Times New Roman" w:hAnsi="Times New Roman" w:cs="Times New Roman"/>
          <w:strike/>
          <w:sz w:val="28"/>
          <w:szCs w:val="28"/>
          <w:lang w:val="ro-RO"/>
        </w:rPr>
      </w:pPr>
      <w:r w:rsidRPr="00AA78DA">
        <w:rPr>
          <w:rFonts w:ascii="Times New Roman" w:eastAsia="Times New Roman" w:hAnsi="Times New Roman" w:cs="Times New Roman"/>
          <w:sz w:val="28"/>
          <w:szCs w:val="28"/>
          <w:lang w:val="ro-RO"/>
        </w:rPr>
        <w:t>Pentru a lămuri care dintre dispozițiile de supraveghere a pieței prevăzute în DSGP și în Regulament se aplică produselor de consum armonizate, articolul 15 alineatul (3) a fost integrat în Regulament. Acesta prevede că</w:t>
      </w:r>
      <w:r w:rsidR="00050B80">
        <w:rPr>
          <w:rFonts w:ascii="Times New Roman" w:eastAsia="Times New Roman" w:hAnsi="Times New Roman" w:cs="Times New Roman"/>
          <w:sz w:val="28"/>
          <w:szCs w:val="28"/>
          <w:lang w:val="ro-RO"/>
        </w:rPr>
        <w:t xml:space="preserve">, </w:t>
      </w:r>
      <w:r w:rsidRPr="00AA78DA">
        <w:rPr>
          <w:rFonts w:ascii="Times New Roman" w:eastAsia="Times New Roman" w:hAnsi="Times New Roman" w:cs="Times New Roman"/>
          <w:sz w:val="28"/>
          <w:szCs w:val="28"/>
          <w:lang w:val="ro-RO"/>
        </w:rPr>
        <w:t xml:space="preserve"> </w:t>
      </w:r>
    </w:p>
    <w:p w:rsidR="001F601B" w:rsidRPr="00AA78DA" w:rsidRDefault="001F601B" w:rsidP="00441764">
      <w:pPr>
        <w:tabs>
          <w:tab w:val="left" w:pos="3901"/>
          <w:tab w:val="left" w:pos="6579"/>
        </w:tabs>
        <w:jc w:val="both"/>
        <w:rPr>
          <w:rFonts w:ascii="Times New Roman" w:eastAsia="Times New Roman" w:hAnsi="Times New Roman" w:cs="Times New Roman"/>
          <w:strike/>
          <w:sz w:val="16"/>
          <w:szCs w:val="16"/>
          <w:lang w:val="ro-RO"/>
        </w:rPr>
      </w:pPr>
    </w:p>
    <w:tbl>
      <w:tblPr>
        <w:tblStyle w:val="TableGrid"/>
        <w:tblW w:w="0" w:type="auto"/>
        <w:tblLook w:val="04A0" w:firstRow="1" w:lastRow="0" w:firstColumn="1" w:lastColumn="0" w:noHBand="0" w:noVBand="1"/>
      </w:tblPr>
      <w:tblGrid>
        <w:gridCol w:w="9343"/>
      </w:tblGrid>
      <w:tr w:rsidR="00D135C7" w:rsidRPr="00441764" w:rsidTr="00401382">
        <w:tc>
          <w:tcPr>
            <w:tcW w:w="9343" w:type="dxa"/>
            <w:shd w:val="clear" w:color="auto" w:fill="F79646" w:themeFill="accent6"/>
          </w:tcPr>
          <w:p w:rsidR="00896A4B" w:rsidRPr="00441764" w:rsidRDefault="00896A4B" w:rsidP="00441764">
            <w:pPr>
              <w:ind w:firstLine="697"/>
              <w:jc w:val="both"/>
              <w:rPr>
                <w:rFonts w:ascii="Times New Roman" w:hAnsi="Times New Roman" w:cs="Times New Roman"/>
                <w:b/>
                <w:sz w:val="24"/>
                <w:szCs w:val="24"/>
                <w:lang w:val="ro-RO"/>
              </w:rPr>
            </w:pPr>
            <w:r w:rsidRPr="00441764">
              <w:rPr>
                <w:rFonts w:ascii="Times New Roman" w:eastAsia="Times New Roman" w:hAnsi="Times New Roman" w:cs="Times New Roman"/>
                <w:b/>
                <w:sz w:val="24"/>
                <w:szCs w:val="24"/>
                <w:lang w:val="ro-RO"/>
              </w:rPr>
              <w:t>Articolul 15</w:t>
            </w:r>
            <w:r w:rsidR="00E750AC" w:rsidRPr="00441764">
              <w:rPr>
                <w:rFonts w:ascii="Times New Roman" w:eastAsia="Times New Roman" w:hAnsi="Times New Roman" w:cs="Times New Roman"/>
                <w:b/>
                <w:sz w:val="24"/>
                <w:szCs w:val="24"/>
                <w:lang w:val="ro-RO"/>
              </w:rPr>
              <w:t>.</w:t>
            </w:r>
            <w:r w:rsidRPr="00441764">
              <w:rPr>
                <w:rFonts w:ascii="Times New Roman" w:eastAsia="Times New Roman" w:hAnsi="Times New Roman" w:cs="Times New Roman"/>
                <w:b/>
                <w:sz w:val="24"/>
                <w:szCs w:val="24"/>
                <w:lang w:val="ro-RO"/>
              </w:rPr>
              <w:t xml:space="preserve"> Domeniul de aplicare</w:t>
            </w:r>
          </w:p>
          <w:p w:rsidR="00D135C7" w:rsidRPr="00441764" w:rsidRDefault="00D135C7" w:rsidP="00441764">
            <w:pPr>
              <w:ind w:firstLine="697"/>
              <w:jc w:val="both"/>
              <w:rPr>
                <w:rFonts w:ascii="Times New Roman" w:hAnsi="Times New Roman" w:cs="Times New Roman"/>
                <w:sz w:val="24"/>
                <w:szCs w:val="24"/>
                <w:lang w:val="ro-RO"/>
              </w:rPr>
            </w:pPr>
            <w:r w:rsidRPr="00441764">
              <w:rPr>
                <w:rFonts w:ascii="Times New Roman" w:hAnsi="Times New Roman" w:cs="Times New Roman"/>
                <w:sz w:val="24"/>
                <w:szCs w:val="24"/>
                <w:lang w:val="ro-RO"/>
              </w:rPr>
              <w:t xml:space="preserve">(3) </w:t>
            </w:r>
            <w:r w:rsidRPr="00441764">
              <w:rPr>
                <w:rFonts w:ascii="Times New Roman" w:eastAsia="Times New Roman" w:hAnsi="Times New Roman" w:cs="Times New Roman"/>
                <w:sz w:val="24"/>
                <w:szCs w:val="24"/>
                <w:lang w:val="ro-RO"/>
              </w:rPr>
              <w:t>Aplicarea Regulamentului nr. 765/2008 nu împiedică autoritățile de supraveghere a pieței să ia măsuri mai specifice în conformitate cu DSGP</w:t>
            </w:r>
          </w:p>
        </w:tc>
      </w:tr>
    </w:tbl>
    <w:p w:rsidR="00EB4E9D" w:rsidRPr="00AA78DA" w:rsidRDefault="00EB4E9D" w:rsidP="00441764">
      <w:pPr>
        <w:rPr>
          <w:rFonts w:ascii="Times New Roman" w:hAnsi="Times New Roman" w:cs="Times New Roman"/>
          <w:sz w:val="16"/>
          <w:szCs w:val="16"/>
          <w:lang w:val="ro-RO"/>
        </w:rPr>
      </w:pPr>
    </w:p>
    <w:p w:rsidR="002313B0" w:rsidRPr="00AA78DA" w:rsidRDefault="002313B0" w:rsidP="00441764">
      <w:pPr>
        <w:ind w:right="-7"/>
        <w:jc w:val="both"/>
        <w:rPr>
          <w:rFonts w:ascii="Times New Roman" w:eastAsia="Times New Roman" w:hAnsi="Times New Roman"/>
          <w:sz w:val="16"/>
          <w:szCs w:val="16"/>
          <w:lang w:val="ro-RO"/>
        </w:rPr>
      </w:pPr>
      <w:r w:rsidRPr="00AA78DA">
        <w:rPr>
          <w:rFonts w:ascii="Times New Roman" w:eastAsia="Times New Roman" w:hAnsi="Times New Roman"/>
          <w:sz w:val="28"/>
          <w:szCs w:val="28"/>
          <w:lang w:val="ro-RO"/>
        </w:rPr>
        <w:t>Aceasta înseamnă că toate dispozițiile de supraveghere a pieței prevăzute în Regulament, și anume articolele 16-26, se aplică bunurilor de consum armonizate. În plus, dispozițiile de supraveghere a pieței prevăzute în DSGP care conțin „</w:t>
      </w:r>
      <w:r w:rsidRPr="00AA78DA">
        <w:rPr>
          <w:rFonts w:ascii="Times New Roman" w:eastAsia="Times New Roman" w:hAnsi="Times New Roman"/>
          <w:i/>
          <w:sz w:val="28"/>
          <w:szCs w:val="28"/>
          <w:lang w:val="ro-RO"/>
        </w:rPr>
        <w:t>măsuri mai specifice</w:t>
      </w:r>
      <w:r w:rsidRPr="00AA78DA">
        <w:rPr>
          <w:rFonts w:ascii="Times New Roman" w:eastAsia="Times New Roman" w:hAnsi="Times New Roman"/>
          <w:sz w:val="28"/>
          <w:szCs w:val="28"/>
          <w:lang w:val="ro-RO"/>
        </w:rPr>
        <w:t>” – c</w:t>
      </w:r>
      <w:r w:rsidR="001344CD" w:rsidRPr="00AA78DA">
        <w:rPr>
          <w:rFonts w:ascii="Times New Roman" w:eastAsia="Times New Roman" w:hAnsi="Times New Roman"/>
          <w:sz w:val="28"/>
          <w:szCs w:val="28"/>
          <w:lang w:val="ro-RO"/>
        </w:rPr>
        <w:t>î</w:t>
      </w:r>
      <w:r w:rsidRPr="00AA78DA">
        <w:rPr>
          <w:rFonts w:ascii="Times New Roman" w:eastAsia="Times New Roman" w:hAnsi="Times New Roman"/>
          <w:sz w:val="28"/>
          <w:szCs w:val="28"/>
          <w:lang w:val="ro-RO"/>
        </w:rPr>
        <w:t>nd sunt comparate cu dispozițiile de supraveghere a pieței menționate anterior incluse în Regulament – se aplică și produselor de consum armonizate. Alte dispoziții de supraveghere a pieței prevăzute în DSGP, care nu presupun „</w:t>
      </w:r>
      <w:r w:rsidRPr="00AA78DA">
        <w:rPr>
          <w:rFonts w:ascii="Times New Roman" w:eastAsia="Times New Roman" w:hAnsi="Times New Roman"/>
          <w:i/>
          <w:sz w:val="28"/>
          <w:szCs w:val="28"/>
          <w:lang w:val="ro-RO"/>
        </w:rPr>
        <w:t>măsuri mai specifice</w:t>
      </w:r>
      <w:r w:rsidRPr="00AA78DA">
        <w:rPr>
          <w:rFonts w:ascii="Times New Roman" w:eastAsia="Times New Roman" w:hAnsi="Times New Roman"/>
          <w:sz w:val="28"/>
          <w:szCs w:val="28"/>
          <w:lang w:val="ro-RO"/>
        </w:rPr>
        <w:t>”, nu se mai aplică produselor de consum armonizate.</w:t>
      </w:r>
    </w:p>
    <w:p w:rsidR="00EB4E9D" w:rsidRPr="00AA78DA" w:rsidRDefault="00EB4E9D" w:rsidP="00441764">
      <w:pPr>
        <w:rPr>
          <w:rFonts w:ascii="Times New Roman" w:hAnsi="Times New Roman" w:cs="Times New Roman"/>
          <w:sz w:val="16"/>
          <w:szCs w:val="16"/>
          <w:lang w:val="ro-RO"/>
        </w:rPr>
      </w:pPr>
    </w:p>
    <w:p w:rsidR="002313B0" w:rsidRPr="00AA78DA" w:rsidRDefault="002313B0" w:rsidP="00441764">
      <w:pPr>
        <w:ind w:right="-7"/>
        <w:jc w:val="both"/>
        <w:rPr>
          <w:rFonts w:ascii="Times New Roman" w:eastAsia="Times New Roman" w:hAnsi="Times New Roman"/>
          <w:sz w:val="28"/>
          <w:szCs w:val="28"/>
          <w:lang w:val="ro-RO"/>
        </w:rPr>
      </w:pPr>
      <w:r w:rsidRPr="00AA78DA">
        <w:rPr>
          <w:rFonts w:ascii="Times New Roman" w:eastAsia="Times New Roman" w:hAnsi="Times New Roman"/>
          <w:sz w:val="28"/>
          <w:szCs w:val="28"/>
          <w:lang w:val="ro-RO"/>
        </w:rPr>
        <w:t>Dispozițiile de supraveghere a pieței prevăzute în DSGP care presupun astfel de „</w:t>
      </w:r>
      <w:r w:rsidRPr="00AA78DA">
        <w:rPr>
          <w:rFonts w:ascii="Times New Roman" w:eastAsia="Times New Roman" w:hAnsi="Times New Roman"/>
          <w:i/>
          <w:sz w:val="28"/>
          <w:szCs w:val="28"/>
          <w:lang w:val="ro-RO"/>
        </w:rPr>
        <w:t>măsuri mai specifice</w:t>
      </w:r>
      <w:r w:rsidRPr="00AA78DA">
        <w:rPr>
          <w:rFonts w:ascii="Times New Roman" w:eastAsia="Times New Roman" w:hAnsi="Times New Roman"/>
          <w:sz w:val="28"/>
          <w:szCs w:val="28"/>
          <w:lang w:val="ro-RO"/>
        </w:rPr>
        <w:t xml:space="preserve">” sunt incluse în directivă la </w:t>
      </w:r>
      <w:r w:rsidRPr="00AA78DA">
        <w:rPr>
          <w:rFonts w:ascii="Times New Roman" w:eastAsia="Times New Roman" w:hAnsi="Times New Roman"/>
          <w:i/>
          <w:sz w:val="28"/>
          <w:szCs w:val="28"/>
          <w:lang w:val="ro-RO"/>
        </w:rPr>
        <w:t>Capitolul IV – Obligațiile și prerogativele specifice statelor membre</w:t>
      </w:r>
      <w:r w:rsidRPr="00AA78DA">
        <w:rPr>
          <w:rFonts w:ascii="Times New Roman" w:eastAsia="Times New Roman" w:hAnsi="Times New Roman"/>
          <w:sz w:val="28"/>
          <w:szCs w:val="28"/>
          <w:lang w:val="ro-RO"/>
        </w:rPr>
        <w:t xml:space="preserve"> (articolele 6-9 din DSGP), </w:t>
      </w:r>
      <w:r w:rsidRPr="00AA78DA">
        <w:rPr>
          <w:rFonts w:ascii="Times New Roman" w:eastAsia="Times New Roman" w:hAnsi="Times New Roman"/>
          <w:i/>
          <w:sz w:val="28"/>
          <w:szCs w:val="28"/>
          <w:lang w:val="ro-RO"/>
        </w:rPr>
        <w:t>Capitolul V – Schimburile de informații și situațiile de intervenție rapidă</w:t>
      </w:r>
      <w:r w:rsidRPr="00AA78DA">
        <w:rPr>
          <w:rFonts w:ascii="Times New Roman" w:eastAsia="Times New Roman" w:hAnsi="Times New Roman"/>
          <w:sz w:val="28"/>
          <w:szCs w:val="28"/>
          <w:lang w:val="ro-RO"/>
        </w:rPr>
        <w:t xml:space="preserve"> (articolele 11 și 12 din DSGP) și </w:t>
      </w:r>
      <w:r w:rsidRPr="00AA78DA">
        <w:rPr>
          <w:rFonts w:ascii="Times New Roman" w:eastAsia="Times New Roman" w:hAnsi="Times New Roman"/>
          <w:i/>
          <w:sz w:val="28"/>
          <w:szCs w:val="28"/>
          <w:lang w:val="ro-RO"/>
        </w:rPr>
        <w:t>Capitolul VII – Dispoziții finale</w:t>
      </w:r>
      <w:r w:rsidRPr="00AA78DA">
        <w:rPr>
          <w:rFonts w:ascii="Times New Roman" w:eastAsia="Times New Roman" w:hAnsi="Times New Roman"/>
          <w:sz w:val="28"/>
          <w:szCs w:val="28"/>
          <w:lang w:val="ro-RO"/>
        </w:rPr>
        <w:t xml:space="preserve"> (articolele 16 și 18 din DSGP).</w:t>
      </w:r>
    </w:p>
    <w:p w:rsidR="00EB4E9D" w:rsidRPr="00AA78DA" w:rsidRDefault="00EB4E9D" w:rsidP="00441764">
      <w:pPr>
        <w:rPr>
          <w:rFonts w:ascii="Times New Roman" w:hAnsi="Times New Roman" w:cs="Times New Roman"/>
          <w:sz w:val="16"/>
          <w:szCs w:val="16"/>
          <w:lang w:val="ro-RO"/>
        </w:rPr>
      </w:pPr>
    </w:p>
    <w:p w:rsidR="00390F6D" w:rsidRPr="00AA78DA" w:rsidRDefault="002313B0" w:rsidP="00441764">
      <w:pPr>
        <w:ind w:right="-7"/>
        <w:jc w:val="both"/>
        <w:rPr>
          <w:rFonts w:ascii="Times New Roman" w:eastAsia="Times New Roman" w:hAnsi="Times New Roman"/>
          <w:sz w:val="28"/>
          <w:szCs w:val="28"/>
          <w:lang w:val="ro-RO"/>
        </w:rPr>
      </w:pPr>
      <w:r w:rsidRPr="00AA78DA">
        <w:rPr>
          <w:rFonts w:ascii="Times New Roman" w:eastAsia="Times New Roman" w:hAnsi="Times New Roman"/>
          <w:sz w:val="28"/>
          <w:szCs w:val="28"/>
          <w:lang w:val="ro-RO"/>
        </w:rPr>
        <w:t xml:space="preserve">Pentru a determina care dintre măsurile de supraveghere a pieței, incluse în aceste articole din DSGP, sunt mai specifice, trebuie să fie comparate în detaliu cu măsurile </w:t>
      </w:r>
      <w:r w:rsidRPr="00AA78DA">
        <w:rPr>
          <w:rFonts w:ascii="Times New Roman" w:eastAsia="Times New Roman" w:hAnsi="Times New Roman"/>
          <w:sz w:val="28"/>
          <w:szCs w:val="28"/>
          <w:lang w:val="ro-RO"/>
        </w:rPr>
        <w:lastRenderedPageBreak/>
        <w:t xml:space="preserve">corespondente incluse în </w:t>
      </w:r>
      <w:r w:rsidR="00206672" w:rsidRPr="00AA78DA">
        <w:rPr>
          <w:rFonts w:ascii="Times New Roman" w:eastAsia="Times New Roman" w:hAnsi="Times New Roman"/>
          <w:sz w:val="28"/>
          <w:szCs w:val="28"/>
          <w:lang w:val="ro-RO"/>
        </w:rPr>
        <w:t>R</w:t>
      </w:r>
      <w:r w:rsidRPr="00AA78DA">
        <w:rPr>
          <w:rFonts w:ascii="Times New Roman" w:eastAsia="Times New Roman" w:hAnsi="Times New Roman"/>
          <w:sz w:val="28"/>
          <w:szCs w:val="28"/>
          <w:lang w:val="ro-RO"/>
        </w:rPr>
        <w:t>egulament.</w:t>
      </w:r>
    </w:p>
    <w:p w:rsidR="0057489F" w:rsidRPr="00AA78DA" w:rsidRDefault="0057489F" w:rsidP="00441764">
      <w:pPr>
        <w:ind w:right="-7"/>
        <w:jc w:val="both"/>
        <w:rPr>
          <w:rFonts w:ascii="Times New Roman" w:eastAsia="Times New Roman" w:hAnsi="Times New Roman"/>
          <w:sz w:val="16"/>
          <w:szCs w:val="16"/>
          <w:lang w:val="ro-RO"/>
        </w:rPr>
      </w:pPr>
    </w:p>
    <w:p w:rsidR="00390F6D" w:rsidRPr="00AA78DA" w:rsidRDefault="00390F6D" w:rsidP="00441764">
      <w:pPr>
        <w:pStyle w:val="BodyText"/>
        <w:ind w:left="0" w:right="-7"/>
        <w:jc w:val="both"/>
        <w:rPr>
          <w:sz w:val="28"/>
          <w:szCs w:val="28"/>
          <w:lang w:val="ro-RO"/>
        </w:rPr>
      </w:pPr>
      <w:r w:rsidRPr="00AA78DA">
        <w:rPr>
          <w:sz w:val="28"/>
          <w:szCs w:val="28"/>
          <w:lang w:val="ro-RO"/>
        </w:rPr>
        <w:t>Pe baza unei astfel de comparații realizate de serviciile Comisiei, măsurile de supraveghere a pieței incluse în DGSP și descrise în capitolul următor au fost identificate ca av</w:t>
      </w:r>
      <w:r w:rsidR="001344CD" w:rsidRPr="00AA78DA">
        <w:rPr>
          <w:sz w:val="28"/>
          <w:szCs w:val="28"/>
          <w:lang w:val="ro-RO"/>
        </w:rPr>
        <w:t>î</w:t>
      </w:r>
      <w:r w:rsidRPr="00AA78DA">
        <w:rPr>
          <w:sz w:val="28"/>
          <w:szCs w:val="28"/>
          <w:lang w:val="ro-RO"/>
        </w:rPr>
        <w:t>nd fiind mai specifice dec</w:t>
      </w:r>
      <w:r w:rsidR="001344CD" w:rsidRPr="00AA78DA">
        <w:rPr>
          <w:sz w:val="28"/>
          <w:szCs w:val="28"/>
          <w:lang w:val="ro-RO"/>
        </w:rPr>
        <w:t>î</w:t>
      </w:r>
      <w:r w:rsidRPr="00AA78DA">
        <w:rPr>
          <w:sz w:val="28"/>
          <w:szCs w:val="28"/>
          <w:lang w:val="ro-RO"/>
        </w:rPr>
        <w:t xml:space="preserve">t cele prevăzute în </w:t>
      </w:r>
      <w:r w:rsidR="00206672" w:rsidRPr="00AA78DA">
        <w:rPr>
          <w:sz w:val="28"/>
          <w:szCs w:val="28"/>
          <w:lang w:val="ro-RO"/>
        </w:rPr>
        <w:t>R</w:t>
      </w:r>
      <w:r w:rsidRPr="00AA78DA">
        <w:rPr>
          <w:sz w:val="28"/>
          <w:szCs w:val="28"/>
          <w:lang w:val="ro-RO"/>
        </w:rPr>
        <w:t>egulament.</w:t>
      </w:r>
    </w:p>
    <w:p w:rsidR="005D713C" w:rsidRPr="00AA78DA" w:rsidRDefault="00206672" w:rsidP="00441764">
      <w:pPr>
        <w:pStyle w:val="BodyText"/>
        <w:ind w:left="0" w:right="-7"/>
        <w:jc w:val="both"/>
        <w:rPr>
          <w:sz w:val="28"/>
          <w:szCs w:val="28"/>
          <w:lang w:val="ro-RO"/>
        </w:rPr>
      </w:pPr>
      <w:r w:rsidRPr="00AA78DA">
        <w:rPr>
          <w:sz w:val="28"/>
          <w:szCs w:val="28"/>
          <w:lang w:val="ro-RO"/>
        </w:rPr>
        <w:t xml:space="preserve">Consecințele articolului 15 alineatul (3) din Regulament asupra schimbului de informații și funcționării sistemului RAPEX (articolele 11 și 12 din DSGP) sunt explicate în cadrul unui capitol separat </w:t>
      </w:r>
      <w:r w:rsidR="005D713C" w:rsidRPr="00AA78DA">
        <w:rPr>
          <w:sz w:val="28"/>
          <w:szCs w:val="28"/>
          <w:lang w:val="ro-RO"/>
        </w:rPr>
        <w:t>(capitolul 2.3).</w:t>
      </w:r>
    </w:p>
    <w:p w:rsidR="00EB4E9D" w:rsidRPr="00AA78DA" w:rsidRDefault="00EB4E9D" w:rsidP="00441764">
      <w:pPr>
        <w:rPr>
          <w:rFonts w:ascii="Times New Roman" w:hAnsi="Times New Roman" w:cs="Times New Roman"/>
          <w:sz w:val="16"/>
          <w:szCs w:val="16"/>
          <w:lang w:val="ro-RO"/>
        </w:rPr>
      </w:pPr>
    </w:p>
    <w:p w:rsidR="00EB4E9D" w:rsidRPr="00AA78DA" w:rsidRDefault="00AE591C" w:rsidP="00441764">
      <w:pPr>
        <w:pStyle w:val="BodyText"/>
        <w:tabs>
          <w:tab w:val="left" w:pos="553"/>
        </w:tabs>
        <w:ind w:left="0" w:right="-7"/>
        <w:jc w:val="both"/>
        <w:rPr>
          <w:b/>
          <w:sz w:val="28"/>
          <w:szCs w:val="28"/>
          <w:lang w:val="ro-RO"/>
        </w:rPr>
      </w:pPr>
      <w:r w:rsidRPr="00AA78DA">
        <w:rPr>
          <w:b/>
          <w:w w:val="105"/>
          <w:sz w:val="28"/>
          <w:szCs w:val="28"/>
          <w:lang w:val="ro-RO"/>
        </w:rPr>
        <w:t>2.2.</w:t>
      </w:r>
      <w:r w:rsidRPr="00AA78DA">
        <w:rPr>
          <w:w w:val="105"/>
          <w:sz w:val="28"/>
          <w:szCs w:val="28"/>
          <w:lang w:val="ro-RO"/>
        </w:rPr>
        <w:t xml:space="preserve"> </w:t>
      </w:r>
      <w:r w:rsidR="005D713C" w:rsidRPr="00AA78DA">
        <w:rPr>
          <w:b/>
          <w:w w:val="105"/>
          <w:sz w:val="28"/>
          <w:szCs w:val="28"/>
          <w:lang w:val="ro-RO"/>
        </w:rPr>
        <w:t xml:space="preserve">Măsuri mai specifice ale DGSP care se aplică </w:t>
      </w:r>
      <w:r w:rsidRPr="00AA78DA">
        <w:rPr>
          <w:b/>
          <w:w w:val="105"/>
          <w:sz w:val="28"/>
          <w:szCs w:val="28"/>
          <w:lang w:val="ro-RO"/>
        </w:rPr>
        <w:t>suplimentar la</w:t>
      </w:r>
      <w:r w:rsidR="005D713C" w:rsidRPr="00AA78DA">
        <w:rPr>
          <w:b/>
          <w:w w:val="105"/>
          <w:sz w:val="28"/>
          <w:szCs w:val="28"/>
          <w:lang w:val="ro-RO"/>
        </w:rPr>
        <w:t xml:space="preserve"> Regulamen</w:t>
      </w:r>
      <w:r w:rsidR="00915228">
        <w:rPr>
          <w:b/>
          <w:w w:val="105"/>
          <w:sz w:val="28"/>
          <w:szCs w:val="28"/>
          <w:lang w:val="ro-RO"/>
        </w:rPr>
        <w:t>t</w:t>
      </w:r>
    </w:p>
    <w:p w:rsidR="00EB4E9D" w:rsidRPr="00AA78DA" w:rsidRDefault="00EB4E9D" w:rsidP="00441764">
      <w:pPr>
        <w:ind w:right="-7"/>
        <w:rPr>
          <w:rFonts w:ascii="Times New Roman" w:hAnsi="Times New Roman" w:cs="Times New Roman"/>
          <w:sz w:val="16"/>
          <w:szCs w:val="16"/>
          <w:lang w:val="ro-RO"/>
        </w:rPr>
      </w:pPr>
    </w:p>
    <w:p w:rsidR="008121AD" w:rsidRPr="00AA78DA" w:rsidRDefault="008121AD" w:rsidP="00441764">
      <w:pPr>
        <w:pStyle w:val="BodyText"/>
        <w:ind w:left="0" w:right="-7"/>
        <w:jc w:val="both"/>
        <w:rPr>
          <w:sz w:val="28"/>
          <w:szCs w:val="28"/>
          <w:lang w:val="ro-RO"/>
        </w:rPr>
      </w:pPr>
      <w:r w:rsidRPr="00AA78DA">
        <w:rPr>
          <w:sz w:val="28"/>
          <w:szCs w:val="28"/>
          <w:lang w:val="ro-RO"/>
        </w:rPr>
        <w:t>Măsurile de supraveghere a pieței prevăzute în DSGP, descrise la punctele următoare (2.2.1-2.2.8), au fost identificate ca fiind mai specifice dec</w:t>
      </w:r>
      <w:r w:rsidR="001344CD" w:rsidRPr="00AA78DA">
        <w:rPr>
          <w:sz w:val="28"/>
          <w:szCs w:val="28"/>
          <w:lang w:val="ro-RO"/>
        </w:rPr>
        <w:t>î</w:t>
      </w:r>
      <w:r w:rsidRPr="00AA78DA">
        <w:rPr>
          <w:sz w:val="28"/>
          <w:szCs w:val="28"/>
          <w:lang w:val="ro-RO"/>
        </w:rPr>
        <w:t>t cele prevăzute în Regulament. Prin urmare, astfel cum a fost stabilit în articolul 15 alineatul (3) din Regulament, acestea se aplică, pe l</w:t>
      </w:r>
      <w:r w:rsidR="001344CD" w:rsidRPr="00AA78DA">
        <w:rPr>
          <w:sz w:val="28"/>
          <w:szCs w:val="28"/>
          <w:lang w:val="ro-RO"/>
        </w:rPr>
        <w:t>î</w:t>
      </w:r>
      <w:r w:rsidRPr="00AA78DA">
        <w:rPr>
          <w:sz w:val="28"/>
          <w:szCs w:val="28"/>
          <w:lang w:val="ro-RO"/>
        </w:rPr>
        <w:t>ngă dispozițiile Regulamentului, produselor de consum armonizate. Baza juridică a adoptării lor este DSGP și anume, actele juridice care transpun DSGP în legislația națională.</w:t>
      </w:r>
    </w:p>
    <w:p w:rsidR="005D713C" w:rsidRPr="00AA78DA" w:rsidRDefault="005D713C" w:rsidP="00441764">
      <w:pPr>
        <w:pStyle w:val="BodyText"/>
        <w:ind w:left="0" w:right="-7"/>
        <w:jc w:val="both"/>
        <w:rPr>
          <w:sz w:val="16"/>
          <w:szCs w:val="16"/>
          <w:lang w:val="ro-RO"/>
        </w:rPr>
      </w:pPr>
    </w:p>
    <w:p w:rsidR="00EB4E9D" w:rsidRPr="00441764" w:rsidRDefault="008121AD" w:rsidP="00441764">
      <w:pPr>
        <w:tabs>
          <w:tab w:val="left" w:pos="823"/>
        </w:tabs>
        <w:ind w:right="148"/>
        <w:jc w:val="both"/>
        <w:rPr>
          <w:rFonts w:ascii="Times New Roman" w:eastAsia="Times New Roman" w:hAnsi="Times New Roman" w:cs="Times New Roman"/>
          <w:sz w:val="28"/>
          <w:szCs w:val="28"/>
          <w:lang w:val="ro-RO"/>
        </w:rPr>
      </w:pPr>
      <w:r w:rsidRPr="00AA78DA">
        <w:rPr>
          <w:rFonts w:ascii="Times New Roman" w:hAnsi="Times New Roman" w:cs="Times New Roman"/>
          <w:b/>
          <w:sz w:val="28"/>
          <w:szCs w:val="28"/>
          <w:lang w:val="ro-RO"/>
        </w:rPr>
        <w:t>2.2.1</w:t>
      </w:r>
      <w:r w:rsidRPr="00AA78DA">
        <w:rPr>
          <w:rFonts w:ascii="Times New Roman" w:hAnsi="Times New Roman" w:cs="Times New Roman"/>
          <w:i/>
          <w:sz w:val="28"/>
          <w:szCs w:val="28"/>
          <w:lang w:val="ro-RO"/>
        </w:rPr>
        <w:t xml:space="preserve"> </w:t>
      </w:r>
      <w:r w:rsidR="00E1645E" w:rsidRPr="00441764">
        <w:rPr>
          <w:rFonts w:ascii="Times New Roman" w:eastAsia="Times New Roman" w:hAnsi="Times New Roman" w:cs="Times New Roman"/>
          <w:sz w:val="28"/>
          <w:szCs w:val="28"/>
          <w:lang w:val="ro-RO"/>
        </w:rPr>
        <w:t>Măsuri în temeiul articolului 8 alineatul (1) litera (b) din DSGP (avertismente</w:t>
      </w:r>
      <w:r w:rsidR="0074654C" w:rsidRPr="00441764">
        <w:rPr>
          <w:rFonts w:ascii="Times New Roman" w:eastAsia="Times New Roman" w:hAnsi="Times New Roman" w:cs="Times New Roman"/>
          <w:sz w:val="28"/>
          <w:szCs w:val="28"/>
          <w:lang w:val="ro-RO"/>
        </w:rPr>
        <w:t>le</w:t>
      </w:r>
      <w:r w:rsidR="00E1645E" w:rsidRPr="00441764">
        <w:rPr>
          <w:rFonts w:ascii="Times New Roman" w:eastAsia="Times New Roman" w:hAnsi="Times New Roman" w:cs="Times New Roman"/>
          <w:sz w:val="28"/>
          <w:szCs w:val="28"/>
          <w:lang w:val="ro-RO"/>
        </w:rPr>
        <w:t xml:space="preserve"> și impunerea condițiilor prealabile pentru comercializare)</w:t>
      </w:r>
    </w:p>
    <w:p w:rsidR="001F601B" w:rsidRPr="00AA78DA" w:rsidRDefault="001F601B" w:rsidP="00441764">
      <w:pPr>
        <w:tabs>
          <w:tab w:val="left" w:pos="823"/>
        </w:tabs>
        <w:ind w:right="148"/>
        <w:jc w:val="both"/>
        <w:rPr>
          <w:rFonts w:ascii="Times New Roman" w:eastAsia="Times New Roman" w:hAnsi="Times New Roman" w:cs="Times New Roman"/>
          <w:i/>
          <w:sz w:val="16"/>
          <w:szCs w:val="16"/>
          <w:lang w:val="ro-RO"/>
        </w:rPr>
      </w:pPr>
    </w:p>
    <w:tbl>
      <w:tblPr>
        <w:tblStyle w:val="TableGrid"/>
        <w:tblW w:w="0" w:type="auto"/>
        <w:tblLook w:val="04A0" w:firstRow="1" w:lastRow="0" w:firstColumn="1" w:lastColumn="0" w:noHBand="0" w:noVBand="1"/>
      </w:tblPr>
      <w:tblGrid>
        <w:gridCol w:w="9343"/>
      </w:tblGrid>
      <w:tr w:rsidR="001904A4" w:rsidRPr="00AA78DA" w:rsidTr="00862008">
        <w:tc>
          <w:tcPr>
            <w:tcW w:w="9343" w:type="dxa"/>
            <w:shd w:val="clear" w:color="auto" w:fill="E5DFEC" w:themeFill="accent4" w:themeFillTint="33"/>
          </w:tcPr>
          <w:p w:rsidR="00896A4B" w:rsidRPr="00441764" w:rsidRDefault="00896A4B" w:rsidP="00441764">
            <w:pPr>
              <w:ind w:firstLine="697"/>
              <w:jc w:val="both"/>
              <w:rPr>
                <w:rFonts w:ascii="Times New Roman" w:eastAsia="Times New Roman" w:hAnsi="Times New Roman" w:cs="Times New Roman"/>
                <w:b/>
                <w:sz w:val="24"/>
                <w:szCs w:val="24"/>
                <w:lang w:val="ro-RO"/>
              </w:rPr>
            </w:pPr>
            <w:r w:rsidRPr="00441764">
              <w:rPr>
                <w:rFonts w:ascii="Times New Roman" w:eastAsia="Times New Roman" w:hAnsi="Times New Roman" w:cs="Times New Roman"/>
                <w:b/>
                <w:sz w:val="24"/>
                <w:szCs w:val="24"/>
                <w:lang w:val="ro-RO"/>
              </w:rPr>
              <w:t xml:space="preserve">Articolului 8 alineatul (1) </w:t>
            </w:r>
            <w:r w:rsidR="00A134EB">
              <w:rPr>
                <w:rFonts w:ascii="Times New Roman" w:eastAsia="Times New Roman" w:hAnsi="Times New Roman" w:cs="Times New Roman"/>
                <w:b/>
                <w:sz w:val="24"/>
                <w:szCs w:val="24"/>
                <w:lang w:val="ro-RO"/>
              </w:rPr>
              <w:t>litera b)</w:t>
            </w:r>
          </w:p>
          <w:p w:rsidR="001904A4" w:rsidRPr="00441764" w:rsidRDefault="00414644" w:rsidP="00441764">
            <w:pPr>
              <w:ind w:firstLine="697"/>
              <w:jc w:val="both"/>
              <w:rPr>
                <w:rFonts w:ascii="Times New Roman" w:hAnsi="Times New Roman" w:cs="Times New Roman"/>
                <w:sz w:val="24"/>
                <w:szCs w:val="24"/>
                <w:lang w:val="ro-RO"/>
              </w:rPr>
            </w:pPr>
            <w:r w:rsidRPr="00441764">
              <w:rPr>
                <w:rFonts w:ascii="Times New Roman" w:eastAsia="Times New Roman" w:hAnsi="Times New Roman" w:cs="Times New Roman"/>
                <w:sz w:val="24"/>
                <w:szCs w:val="24"/>
                <w:lang w:val="ro-RO"/>
              </w:rPr>
              <w:t xml:space="preserve">(b) </w:t>
            </w:r>
            <w:r w:rsidR="001904A4" w:rsidRPr="00441764">
              <w:rPr>
                <w:rFonts w:ascii="Times New Roman" w:hAnsi="Times New Roman" w:cs="Times New Roman"/>
                <w:sz w:val="24"/>
                <w:szCs w:val="24"/>
                <w:lang w:val="ro-RO"/>
              </w:rPr>
              <w:t>pentru orice produs care ar</w:t>
            </w:r>
            <w:r w:rsidR="001904A4" w:rsidRPr="00441764">
              <w:rPr>
                <w:rFonts w:ascii="Times New Roman" w:eastAsia="Arial Unicode MS" w:hAnsi="Times New Roman" w:cs="Times New Roman"/>
                <w:sz w:val="24"/>
                <w:szCs w:val="24"/>
                <w:lang w:val="ro-RO" w:eastAsia="en-GB"/>
              </w:rPr>
              <w:t xml:space="preserve"> putea prezenta riscuri în anumite condiții:</w:t>
            </w:r>
          </w:p>
          <w:p w:rsidR="001904A4" w:rsidRPr="00441764" w:rsidRDefault="001904A4" w:rsidP="00441764">
            <w:pPr>
              <w:spacing w:before="14"/>
              <w:ind w:firstLine="697"/>
              <w:jc w:val="both"/>
              <w:rPr>
                <w:rFonts w:ascii="Times New Roman" w:eastAsia="Arial Unicode MS" w:hAnsi="Times New Roman" w:cs="Times New Roman"/>
                <w:sz w:val="24"/>
                <w:szCs w:val="24"/>
                <w:lang w:val="ro-RO" w:eastAsia="en-GB"/>
              </w:rPr>
            </w:pPr>
            <w:r w:rsidRPr="00441764">
              <w:rPr>
                <w:rFonts w:ascii="Times New Roman" w:eastAsia="Arial Unicode MS" w:hAnsi="Times New Roman" w:cs="Times New Roman"/>
                <w:sz w:val="24"/>
                <w:szCs w:val="24"/>
                <w:lang w:val="ro-RO" w:eastAsia="en-GB"/>
              </w:rPr>
              <w:t>(i)</w:t>
            </w:r>
            <w:r w:rsidR="00414644" w:rsidRPr="00441764">
              <w:rPr>
                <w:rFonts w:ascii="Times New Roman" w:eastAsia="Arial Unicode MS" w:hAnsi="Times New Roman" w:cs="Times New Roman"/>
                <w:sz w:val="24"/>
                <w:szCs w:val="24"/>
                <w:lang w:val="ro-RO" w:eastAsia="en-GB"/>
              </w:rPr>
              <w:t xml:space="preserve"> </w:t>
            </w:r>
            <w:r w:rsidRPr="00441764">
              <w:rPr>
                <w:rFonts w:ascii="Times New Roman" w:eastAsia="Arial Unicode MS" w:hAnsi="Times New Roman" w:cs="Times New Roman"/>
                <w:sz w:val="24"/>
                <w:szCs w:val="24"/>
                <w:lang w:val="ro-RO" w:eastAsia="en-GB"/>
              </w:rPr>
              <w:t>marcarea sa cu avertizări adecvate, clar formulate și ușor de înțeles, în limbile oficiale ale statului membru în care este comercializat produsul, în privința riscurilor pe care le poate prezenta</w:t>
            </w:r>
            <w:r w:rsidR="00414644" w:rsidRPr="00441764">
              <w:rPr>
                <w:rFonts w:ascii="Times New Roman" w:eastAsia="Arial Unicode MS" w:hAnsi="Times New Roman" w:cs="Times New Roman"/>
                <w:sz w:val="24"/>
                <w:szCs w:val="24"/>
                <w:lang w:val="ro-RO" w:eastAsia="en-GB"/>
              </w:rPr>
              <w:t>;</w:t>
            </w:r>
          </w:p>
          <w:p w:rsidR="00414644" w:rsidRPr="00AA78DA" w:rsidRDefault="00414644" w:rsidP="00441764">
            <w:pPr>
              <w:spacing w:before="14"/>
              <w:ind w:firstLine="697"/>
              <w:jc w:val="both"/>
              <w:rPr>
                <w:rFonts w:ascii="Times New Roman" w:hAnsi="Times New Roman" w:cs="Times New Roman"/>
                <w:sz w:val="16"/>
                <w:szCs w:val="16"/>
                <w:lang w:val="ro-RO"/>
              </w:rPr>
            </w:pPr>
            <w:r w:rsidRPr="00441764">
              <w:rPr>
                <w:rFonts w:ascii="Times New Roman" w:eastAsia="Arial Unicode MS" w:hAnsi="Times New Roman" w:cs="Times New Roman"/>
                <w:sz w:val="24"/>
                <w:szCs w:val="24"/>
                <w:lang w:val="ro-RO" w:eastAsia="en-GB"/>
              </w:rPr>
              <w:t>(ii) să condiționeze comercializarea sa de anumite condiții anterioare, astfel încât să facă din el un produs sigur;</w:t>
            </w:r>
          </w:p>
        </w:tc>
      </w:tr>
    </w:tbl>
    <w:p w:rsidR="00EB4E9D" w:rsidRPr="00AA78DA" w:rsidRDefault="00EB4E9D" w:rsidP="00441764">
      <w:pPr>
        <w:rPr>
          <w:rFonts w:ascii="Times New Roman" w:hAnsi="Times New Roman" w:cs="Times New Roman"/>
          <w:sz w:val="16"/>
          <w:szCs w:val="16"/>
          <w:lang w:val="ro-RO"/>
        </w:rPr>
      </w:pPr>
    </w:p>
    <w:p w:rsidR="00A134EB" w:rsidRDefault="00A134EB" w:rsidP="00A134EB">
      <w:pPr>
        <w:shd w:val="clear" w:color="auto" w:fill="FFFFFF"/>
        <w:spacing w:before="120" w:line="312" w:lineRule="atLeast"/>
        <w:ind w:firstLine="360"/>
        <w:jc w:val="both"/>
        <w:rPr>
          <w:rFonts w:ascii="Arial Unicode MS" w:eastAsia="Arial Unicode MS" w:hAnsi="Arial Unicode MS" w:cs="Arial Unicode MS"/>
          <w:color w:val="444444"/>
          <w:sz w:val="21"/>
          <w:szCs w:val="21"/>
          <w:lang w:val="ro-RO" w:eastAsia="en-GB"/>
        </w:rPr>
      </w:pPr>
      <w:r>
        <w:rPr>
          <w:rFonts w:ascii="Arial Unicode MS" w:eastAsia="Arial Unicode MS" w:hAnsi="Arial Unicode MS" w:cs="Arial Unicode MS" w:hint="eastAsia"/>
          <w:color w:val="444444"/>
          <w:sz w:val="21"/>
          <w:szCs w:val="21"/>
          <w:lang w:val="ro-RO" w:eastAsia="en-GB"/>
        </w:rPr>
        <w:t>autorită</w:t>
      </w:r>
      <w:r>
        <w:rPr>
          <w:rFonts w:ascii="Calibri" w:eastAsia="Arial Unicode MS" w:hAnsi="Calibri" w:cs="Calibri"/>
          <w:color w:val="444444"/>
          <w:sz w:val="21"/>
          <w:szCs w:val="21"/>
          <w:lang w:val="ro-RO" w:eastAsia="en-GB"/>
        </w:rPr>
        <w:t>ț</w:t>
      </w:r>
      <w:r>
        <w:rPr>
          <w:rFonts w:ascii="Arial Unicode MS" w:eastAsia="Arial Unicode MS" w:hAnsi="Arial Unicode MS" w:cs="Arial Unicode MS" w:hint="eastAsia"/>
          <w:color w:val="444444"/>
          <w:sz w:val="21"/>
          <w:szCs w:val="21"/>
          <w:lang w:val="ro-RO" w:eastAsia="en-GB"/>
        </w:rPr>
        <w:t>ile competente din statele membre au dreptul să ia, </w:t>
      </w:r>
      <w:r>
        <w:rPr>
          <w:rFonts w:ascii="Arial Unicode MS" w:eastAsia="Arial Unicode MS" w:hAnsi="Arial Unicode MS" w:cs="Arial Unicode MS" w:hint="eastAsia"/>
          <w:i/>
          <w:iCs/>
          <w:color w:val="444444"/>
          <w:sz w:val="21"/>
          <w:szCs w:val="21"/>
          <w:lang w:val="ro-RO" w:eastAsia="en-GB"/>
        </w:rPr>
        <w:t>inter alia</w:t>
      </w:r>
      <w:r>
        <w:rPr>
          <w:rFonts w:ascii="Arial Unicode MS" w:eastAsia="Arial Unicode MS" w:hAnsi="Arial Unicode MS" w:cs="Arial Unicode MS" w:hint="eastAsia"/>
          <w:color w:val="444444"/>
          <w:sz w:val="21"/>
          <w:szCs w:val="21"/>
          <w:lang w:val="ro-RO" w:eastAsia="en-GB"/>
        </w:rPr>
        <w:t xml:space="preserve">, măsurile prevăzute la litera (a) </w:t>
      </w:r>
      <w:r>
        <w:rPr>
          <w:rFonts w:ascii="Calibri" w:eastAsia="Arial Unicode MS" w:hAnsi="Calibri" w:cs="Calibri"/>
          <w:color w:val="444444"/>
          <w:sz w:val="21"/>
          <w:szCs w:val="21"/>
          <w:lang w:val="ro-RO" w:eastAsia="en-GB"/>
        </w:rPr>
        <w:t>ș</w:t>
      </w:r>
      <w:r>
        <w:rPr>
          <w:rFonts w:ascii="Arial Unicode MS" w:eastAsia="Arial Unicode MS" w:hAnsi="Arial Unicode MS" w:cs="Arial Unicode MS" w:hint="eastAsia"/>
          <w:color w:val="444444"/>
          <w:sz w:val="21"/>
          <w:szCs w:val="21"/>
          <w:lang w:val="ro-RO" w:eastAsia="en-GB"/>
        </w:rPr>
        <w:t>i literele. (b)-(f) de mai jos, după caz:</w:t>
      </w:r>
    </w:p>
    <w:p w:rsidR="00EB4E9D" w:rsidRPr="00AA78DA" w:rsidRDefault="008121AD" w:rsidP="00441764">
      <w:pPr>
        <w:pStyle w:val="BodyText"/>
        <w:ind w:left="0" w:right="-7"/>
        <w:jc w:val="both"/>
        <w:rPr>
          <w:sz w:val="28"/>
          <w:szCs w:val="28"/>
          <w:lang w:val="ro-RO"/>
        </w:rPr>
      </w:pPr>
      <w:r w:rsidRPr="00AA78DA">
        <w:rPr>
          <w:sz w:val="28"/>
          <w:szCs w:val="28"/>
          <w:lang w:val="ro-RO"/>
        </w:rPr>
        <w:t>Articolul 8 alineatul (1) litera (b) din DSGP prevede că, pentru orice produs care ar putea prezenta riscuri în anumite condiții, autoritățile de supraveghere a pieței pot solicita marcarea respectivului produs cu avertismente adecvate și pot condiționa comercializarea sa de anumite condiții anterioare. Regulamentul nu conține o astfel de dispoziție. Prin urmare, măsurile prevăzute la articolul 8 alineatul (1) litera (b) din DSGP sunt mai specifice dec</w:t>
      </w:r>
      <w:r w:rsidR="001344CD" w:rsidRPr="00AA78DA">
        <w:rPr>
          <w:sz w:val="28"/>
          <w:szCs w:val="28"/>
          <w:lang w:val="ro-RO"/>
        </w:rPr>
        <w:t>î</w:t>
      </w:r>
      <w:r w:rsidRPr="00AA78DA">
        <w:rPr>
          <w:sz w:val="28"/>
          <w:szCs w:val="28"/>
          <w:lang w:val="ro-RO"/>
        </w:rPr>
        <w:t>t cele stabilite în Regulament și, în consecință, acestea ar trebui să fie aplicate în domeniul produselor de consum armonizate.</w:t>
      </w:r>
      <w:r w:rsidR="00E1645E" w:rsidRPr="00AA78DA">
        <w:rPr>
          <w:sz w:val="28"/>
          <w:szCs w:val="28"/>
          <w:lang w:val="ro-RO"/>
        </w:rPr>
        <w:t xml:space="preserve"> </w:t>
      </w:r>
    </w:p>
    <w:p w:rsidR="00EB4E9D" w:rsidRPr="00AA78DA" w:rsidRDefault="00EB4E9D" w:rsidP="00441764">
      <w:pPr>
        <w:spacing w:before="3"/>
        <w:rPr>
          <w:rFonts w:ascii="Times New Roman" w:hAnsi="Times New Roman" w:cs="Times New Roman"/>
          <w:sz w:val="16"/>
          <w:szCs w:val="16"/>
          <w:lang w:val="ro-RO"/>
        </w:rPr>
      </w:pPr>
    </w:p>
    <w:p w:rsidR="00EB4E9D" w:rsidRPr="00441764" w:rsidRDefault="0074654C" w:rsidP="00441764">
      <w:pPr>
        <w:tabs>
          <w:tab w:val="left" w:pos="819"/>
        </w:tabs>
        <w:ind w:right="135"/>
        <w:jc w:val="both"/>
        <w:rPr>
          <w:rFonts w:ascii="Times New Roman" w:eastAsia="Times New Roman" w:hAnsi="Times New Roman" w:cs="Times New Roman"/>
          <w:sz w:val="28"/>
          <w:szCs w:val="28"/>
          <w:lang w:val="ro-RO"/>
        </w:rPr>
      </w:pPr>
      <w:r w:rsidRPr="00AA78DA">
        <w:rPr>
          <w:rFonts w:ascii="Times New Roman" w:hAnsi="Times New Roman" w:cs="Times New Roman"/>
          <w:b/>
          <w:sz w:val="28"/>
          <w:szCs w:val="28"/>
          <w:lang w:val="ro-RO"/>
        </w:rPr>
        <w:t xml:space="preserve">2.2.2 </w:t>
      </w:r>
      <w:r w:rsidR="008F2591" w:rsidRPr="00441764">
        <w:rPr>
          <w:rFonts w:ascii="Times New Roman" w:eastAsia="Times New Roman" w:hAnsi="Times New Roman" w:cs="Times New Roman"/>
          <w:sz w:val="28"/>
          <w:szCs w:val="28"/>
          <w:lang w:val="ro-RO"/>
        </w:rPr>
        <w:t xml:space="preserve">Măsurile prevăzute </w:t>
      </w:r>
      <w:r w:rsidR="00A36C3F" w:rsidRPr="00441764">
        <w:rPr>
          <w:rFonts w:ascii="Times New Roman" w:eastAsia="Times New Roman" w:hAnsi="Times New Roman" w:cs="Times New Roman"/>
          <w:sz w:val="28"/>
          <w:szCs w:val="28"/>
          <w:lang w:val="ro-RO"/>
        </w:rPr>
        <w:t>în</w:t>
      </w:r>
      <w:r w:rsidR="008F2591" w:rsidRPr="00441764">
        <w:rPr>
          <w:rFonts w:ascii="Times New Roman" w:eastAsia="Times New Roman" w:hAnsi="Times New Roman" w:cs="Times New Roman"/>
          <w:sz w:val="28"/>
          <w:szCs w:val="28"/>
          <w:lang w:val="ro-RO"/>
        </w:rPr>
        <w:t xml:space="preserve"> articolul 8 alineatul (1) litera (c) din DSGP (avertismente</w:t>
      </w:r>
      <w:r w:rsidRPr="00441764">
        <w:rPr>
          <w:rFonts w:ascii="Times New Roman" w:eastAsia="Times New Roman" w:hAnsi="Times New Roman" w:cs="Times New Roman"/>
          <w:sz w:val="28"/>
          <w:szCs w:val="28"/>
          <w:lang w:val="ro-RO"/>
        </w:rPr>
        <w:t>le</w:t>
      </w:r>
      <w:r w:rsidR="008F2591" w:rsidRPr="00441764">
        <w:rPr>
          <w:rFonts w:ascii="Times New Roman" w:eastAsia="Times New Roman" w:hAnsi="Times New Roman" w:cs="Times New Roman"/>
          <w:sz w:val="28"/>
          <w:szCs w:val="28"/>
          <w:lang w:val="ro-RO"/>
        </w:rPr>
        <w:t xml:space="preserve"> pentru anumite persoane expuse riscului)</w:t>
      </w:r>
    </w:p>
    <w:p w:rsidR="001F601B" w:rsidRPr="00AA78DA" w:rsidRDefault="001F601B" w:rsidP="00441764">
      <w:pPr>
        <w:tabs>
          <w:tab w:val="left" w:pos="819"/>
        </w:tabs>
        <w:ind w:right="135"/>
        <w:jc w:val="both"/>
        <w:rPr>
          <w:rFonts w:ascii="Times New Roman" w:eastAsia="Times New Roman" w:hAnsi="Times New Roman" w:cs="Times New Roman"/>
          <w:sz w:val="16"/>
          <w:szCs w:val="16"/>
          <w:lang w:val="ro-RO"/>
        </w:rPr>
      </w:pPr>
    </w:p>
    <w:tbl>
      <w:tblPr>
        <w:tblStyle w:val="TableGrid"/>
        <w:tblW w:w="0" w:type="auto"/>
        <w:tblLook w:val="04A0" w:firstRow="1" w:lastRow="0" w:firstColumn="1" w:lastColumn="0" w:noHBand="0" w:noVBand="1"/>
      </w:tblPr>
      <w:tblGrid>
        <w:gridCol w:w="9343"/>
      </w:tblGrid>
      <w:tr w:rsidR="00414644" w:rsidRPr="00AA78DA" w:rsidTr="00862008">
        <w:tc>
          <w:tcPr>
            <w:tcW w:w="9343" w:type="dxa"/>
            <w:shd w:val="clear" w:color="auto" w:fill="E5DFEC" w:themeFill="accent4" w:themeFillTint="33"/>
          </w:tcPr>
          <w:p w:rsidR="00896A4B" w:rsidRPr="00A134EB" w:rsidRDefault="00896A4B" w:rsidP="00A134EB">
            <w:pPr>
              <w:spacing w:before="14"/>
              <w:ind w:firstLine="697"/>
              <w:jc w:val="both"/>
              <w:rPr>
                <w:rFonts w:ascii="Times New Roman" w:eastAsia="Times New Roman" w:hAnsi="Times New Roman" w:cs="Times New Roman"/>
                <w:sz w:val="24"/>
                <w:szCs w:val="24"/>
                <w:lang w:val="ro-RO"/>
              </w:rPr>
            </w:pPr>
            <w:r w:rsidRPr="00A134EB">
              <w:rPr>
                <w:rFonts w:ascii="Times New Roman" w:eastAsia="Times New Roman" w:hAnsi="Times New Roman" w:cs="Times New Roman"/>
                <w:b/>
                <w:sz w:val="24"/>
                <w:szCs w:val="24"/>
                <w:lang w:val="ro-RO"/>
              </w:rPr>
              <w:t>Articolului 8 alineatul (1)</w:t>
            </w:r>
            <w:r w:rsidR="00A134EB" w:rsidRPr="00A134EB">
              <w:rPr>
                <w:rFonts w:ascii="Times New Roman" w:eastAsia="Times New Roman" w:hAnsi="Times New Roman" w:cs="Times New Roman"/>
                <w:b/>
                <w:sz w:val="24"/>
                <w:szCs w:val="24"/>
                <w:lang w:val="ro-RO"/>
              </w:rPr>
              <w:t xml:space="preserve"> litera c)</w:t>
            </w:r>
          </w:p>
          <w:p w:rsidR="00414644" w:rsidRPr="00A134EB" w:rsidRDefault="00414644" w:rsidP="00A134EB">
            <w:pPr>
              <w:spacing w:before="14"/>
              <w:ind w:firstLine="697"/>
              <w:jc w:val="both"/>
              <w:rPr>
                <w:rFonts w:ascii="Times New Roman" w:eastAsia="Arial Unicode MS" w:hAnsi="Times New Roman" w:cs="Times New Roman"/>
                <w:sz w:val="24"/>
                <w:szCs w:val="24"/>
                <w:lang w:val="ro-RO" w:eastAsia="en-GB"/>
              </w:rPr>
            </w:pPr>
            <w:r w:rsidRPr="00A134EB">
              <w:rPr>
                <w:rFonts w:ascii="Times New Roman" w:eastAsia="Times New Roman" w:hAnsi="Times New Roman" w:cs="Times New Roman"/>
                <w:sz w:val="24"/>
                <w:szCs w:val="24"/>
                <w:lang w:val="ro-RO"/>
              </w:rPr>
              <w:t xml:space="preserve">(c) </w:t>
            </w:r>
            <w:r w:rsidRPr="00A134EB">
              <w:rPr>
                <w:rFonts w:ascii="Times New Roman" w:hAnsi="Times New Roman" w:cs="Times New Roman"/>
                <w:sz w:val="24"/>
                <w:szCs w:val="24"/>
                <w:lang w:val="ro-RO"/>
              </w:rPr>
              <w:t xml:space="preserve">pentru orice produs </w:t>
            </w:r>
            <w:r w:rsidRPr="00A134EB">
              <w:rPr>
                <w:rFonts w:ascii="Times New Roman" w:eastAsia="Arial Unicode MS" w:hAnsi="Times New Roman" w:cs="Times New Roman"/>
                <w:sz w:val="24"/>
                <w:szCs w:val="24"/>
                <w:lang w:val="ro-RO" w:eastAsia="en-GB"/>
              </w:rPr>
              <w:t>care ar putea prezenta riscuri pentru anumite persoane:</w:t>
            </w:r>
          </w:p>
          <w:p w:rsidR="00414644" w:rsidRPr="00AA78DA" w:rsidRDefault="00862008" w:rsidP="00A134EB">
            <w:pPr>
              <w:spacing w:before="14"/>
              <w:ind w:firstLine="697"/>
              <w:jc w:val="both"/>
              <w:rPr>
                <w:rFonts w:ascii="Times New Roman" w:hAnsi="Times New Roman" w:cs="Times New Roman"/>
                <w:i/>
                <w:sz w:val="28"/>
                <w:szCs w:val="28"/>
                <w:lang w:val="ro-RO"/>
              </w:rPr>
            </w:pPr>
            <w:r w:rsidRPr="00A134EB">
              <w:rPr>
                <w:rFonts w:ascii="Times New Roman" w:eastAsia="Arial Unicode MS" w:hAnsi="Times New Roman" w:cs="Times New Roman"/>
                <w:sz w:val="24"/>
                <w:szCs w:val="24"/>
                <w:lang w:val="ro-RO" w:eastAsia="en-GB"/>
              </w:rPr>
              <w:t>să dea instrucțiuni pentru</w:t>
            </w:r>
            <w:r w:rsidR="00414644" w:rsidRPr="00A134EB">
              <w:rPr>
                <w:rFonts w:ascii="Times New Roman" w:hAnsi="Times New Roman" w:cs="Times New Roman"/>
                <w:sz w:val="24"/>
                <w:szCs w:val="24"/>
                <w:lang w:val="ro-RO"/>
              </w:rPr>
              <w:t xml:space="preserve"> </w:t>
            </w:r>
            <w:r w:rsidRPr="00A134EB">
              <w:rPr>
                <w:rFonts w:ascii="Times New Roman" w:eastAsia="Arial Unicode MS" w:hAnsi="Times New Roman" w:cs="Times New Roman"/>
                <w:sz w:val="24"/>
                <w:szCs w:val="24"/>
                <w:lang w:val="ro-RO" w:eastAsia="en-GB"/>
              </w:rPr>
              <w:t>ca acestea să fie avertizate la timp și într-o formă adecvată în legătură cu riscul, inclusiv prin publicarea unor avertizări speciale;</w:t>
            </w:r>
            <w:r w:rsidR="00414644" w:rsidRPr="00A134EB">
              <w:rPr>
                <w:rFonts w:ascii="Times New Roman" w:hAnsi="Times New Roman" w:cs="Times New Roman"/>
                <w:i/>
                <w:sz w:val="24"/>
                <w:szCs w:val="24"/>
                <w:lang w:val="ro-RO"/>
              </w:rPr>
              <w:t xml:space="preserve"> </w:t>
            </w:r>
          </w:p>
        </w:tc>
      </w:tr>
    </w:tbl>
    <w:p w:rsidR="00EB4E9D" w:rsidRPr="00AA78DA" w:rsidRDefault="00EB4E9D" w:rsidP="00441764">
      <w:pPr>
        <w:spacing w:before="14"/>
        <w:rPr>
          <w:rFonts w:ascii="Times New Roman" w:hAnsi="Times New Roman" w:cs="Times New Roman"/>
          <w:sz w:val="16"/>
          <w:szCs w:val="16"/>
          <w:lang w:val="ro-RO"/>
        </w:rPr>
      </w:pPr>
    </w:p>
    <w:p w:rsidR="00401382" w:rsidRPr="00AA78DA" w:rsidRDefault="0074654C" w:rsidP="00441764">
      <w:pPr>
        <w:pStyle w:val="BodyText"/>
        <w:ind w:left="0" w:right="-7"/>
        <w:jc w:val="both"/>
        <w:rPr>
          <w:sz w:val="28"/>
          <w:szCs w:val="28"/>
          <w:lang w:val="ro-RO"/>
        </w:rPr>
      </w:pPr>
      <w:r w:rsidRPr="00AA78DA">
        <w:rPr>
          <w:sz w:val="28"/>
          <w:szCs w:val="28"/>
          <w:lang w:val="ro-RO"/>
        </w:rPr>
        <w:t xml:space="preserve">În conformitate cu articolul 8 alineatul (1) litera (c) din DSGP, autoritățile de </w:t>
      </w:r>
      <w:r w:rsidRPr="00AA78DA">
        <w:rPr>
          <w:sz w:val="28"/>
          <w:szCs w:val="28"/>
          <w:lang w:val="ro-RO"/>
        </w:rPr>
        <w:lastRenderedPageBreak/>
        <w:t xml:space="preserve">supraveghere a pieței pot decide transmiterea de avertismente anumitor persoane pentru care produsele ar putea prezenta riscuri. </w:t>
      </w:r>
    </w:p>
    <w:p w:rsidR="001F601B" w:rsidRPr="00AA78DA" w:rsidRDefault="001F601B" w:rsidP="00441764">
      <w:pPr>
        <w:pStyle w:val="BodyText"/>
        <w:ind w:left="0" w:right="-7"/>
        <w:jc w:val="both"/>
        <w:rPr>
          <w:sz w:val="16"/>
          <w:szCs w:val="16"/>
          <w:lang w:val="ro-RO"/>
        </w:rPr>
      </w:pPr>
    </w:p>
    <w:p w:rsidR="00A76BB7" w:rsidRPr="00AA78DA" w:rsidRDefault="001F601B" w:rsidP="00441764">
      <w:pPr>
        <w:pStyle w:val="BodyText"/>
        <w:ind w:left="0" w:right="-7"/>
        <w:jc w:val="both"/>
        <w:rPr>
          <w:sz w:val="28"/>
          <w:szCs w:val="28"/>
          <w:lang w:val="ro-RO"/>
        </w:rPr>
      </w:pPr>
      <w:r w:rsidRPr="00AA78DA">
        <w:rPr>
          <w:sz w:val="28"/>
          <w:szCs w:val="28"/>
          <w:lang w:val="ro-RO"/>
        </w:rPr>
        <w:t xml:space="preserve">La </w:t>
      </w:r>
      <w:r w:rsidR="00441764">
        <w:rPr>
          <w:sz w:val="28"/>
          <w:szCs w:val="28"/>
          <w:lang w:val="ro-RO"/>
        </w:rPr>
        <w:t>r</w:t>
      </w:r>
      <w:r w:rsidRPr="00AA78DA">
        <w:rPr>
          <w:sz w:val="28"/>
          <w:szCs w:val="28"/>
          <w:lang w:val="ro-RO"/>
        </w:rPr>
        <w:t xml:space="preserve">îndul său articolul 19 alineatul (2)  al </w:t>
      </w:r>
      <w:r w:rsidR="005E0C4E" w:rsidRPr="00AA78DA">
        <w:rPr>
          <w:sz w:val="28"/>
          <w:szCs w:val="28"/>
          <w:lang w:val="ro-RO"/>
        </w:rPr>
        <w:t>R</w:t>
      </w:r>
      <w:r w:rsidRPr="00AA78DA">
        <w:rPr>
          <w:sz w:val="28"/>
          <w:szCs w:val="28"/>
          <w:lang w:val="ro-RO"/>
        </w:rPr>
        <w:t>egulamnetului prevede:</w:t>
      </w:r>
    </w:p>
    <w:tbl>
      <w:tblPr>
        <w:tblStyle w:val="TableGrid"/>
        <w:tblW w:w="0" w:type="auto"/>
        <w:tblLook w:val="04A0" w:firstRow="1" w:lastRow="0" w:firstColumn="1" w:lastColumn="0" w:noHBand="0" w:noVBand="1"/>
      </w:tblPr>
      <w:tblGrid>
        <w:gridCol w:w="9343"/>
      </w:tblGrid>
      <w:tr w:rsidR="00401382" w:rsidRPr="00AA78DA" w:rsidTr="00401382">
        <w:tc>
          <w:tcPr>
            <w:tcW w:w="9343" w:type="dxa"/>
            <w:shd w:val="clear" w:color="auto" w:fill="F79646" w:themeFill="accent6"/>
          </w:tcPr>
          <w:p w:rsidR="00A76BB7" w:rsidRPr="00441764" w:rsidRDefault="00A76BB7" w:rsidP="00441764">
            <w:pPr>
              <w:pStyle w:val="BodyText"/>
              <w:ind w:left="0" w:right="-7" w:firstLine="697"/>
              <w:jc w:val="both"/>
              <w:rPr>
                <w:rFonts w:cs="Times New Roman"/>
                <w:b/>
                <w:lang w:val="ro-RO" w:eastAsia="en-GB"/>
              </w:rPr>
            </w:pPr>
            <w:r w:rsidRPr="00441764">
              <w:rPr>
                <w:rFonts w:cs="Times New Roman"/>
                <w:b/>
                <w:lang w:val="ro-RO" w:eastAsia="en-GB"/>
              </w:rPr>
              <w:t>Articolul 19. Masurile de supraveghere a pieței</w:t>
            </w:r>
          </w:p>
          <w:p w:rsidR="00401382" w:rsidRPr="00AA78DA" w:rsidRDefault="00401382" w:rsidP="00441764">
            <w:pPr>
              <w:pStyle w:val="BodyText"/>
              <w:ind w:left="0" w:right="-7" w:firstLine="697"/>
              <w:jc w:val="both"/>
              <w:rPr>
                <w:sz w:val="28"/>
                <w:szCs w:val="28"/>
                <w:lang w:val="ro-RO"/>
              </w:rPr>
            </w:pPr>
            <w:r w:rsidRPr="00441764">
              <w:rPr>
                <w:rFonts w:cs="Times New Roman"/>
                <w:lang w:val="ro-RO" w:eastAsia="en-GB"/>
              </w:rPr>
              <w:t>(2)</w:t>
            </w:r>
            <w:r w:rsidR="00DF0FED" w:rsidRPr="00441764">
              <w:rPr>
                <w:rFonts w:cs="Times New Roman"/>
                <w:lang w:val="ro-RO" w:eastAsia="en-GB"/>
              </w:rPr>
              <w:t xml:space="preserve"> </w:t>
            </w:r>
            <w:r w:rsidRPr="00441764">
              <w:rPr>
                <w:rFonts w:cs="Times New Roman"/>
                <w:lang w:val="ro-RO" w:eastAsia="en-GB"/>
              </w:rPr>
              <w:t>Autoritățile de supraveghere a pieței iau măsurile necesare pentru a atenționa utilizatorii de pe teritoriile lor, într-un interval de timp corespunzător, cu privire la riscurile pe care le-au identificat în legătură cu orice produs, pentru a reduce riscul de vătămare sau de producere a vreunei alte daune.</w:t>
            </w:r>
          </w:p>
        </w:tc>
      </w:tr>
    </w:tbl>
    <w:p w:rsidR="00401382" w:rsidRPr="00AA78DA" w:rsidRDefault="00401382" w:rsidP="00441764">
      <w:pPr>
        <w:pStyle w:val="BodyText"/>
        <w:ind w:left="0" w:right="-7"/>
        <w:jc w:val="both"/>
        <w:rPr>
          <w:sz w:val="16"/>
          <w:szCs w:val="16"/>
          <w:lang w:val="ro-RO"/>
        </w:rPr>
      </w:pPr>
    </w:p>
    <w:p w:rsidR="0074654C" w:rsidRPr="00AA78DA" w:rsidRDefault="0074654C" w:rsidP="00441764">
      <w:pPr>
        <w:pStyle w:val="BodyText"/>
        <w:ind w:left="0" w:right="-7"/>
        <w:jc w:val="both"/>
        <w:rPr>
          <w:sz w:val="28"/>
          <w:szCs w:val="28"/>
          <w:lang w:val="ro-RO"/>
        </w:rPr>
      </w:pPr>
      <w:r w:rsidRPr="00AA78DA">
        <w:rPr>
          <w:sz w:val="28"/>
          <w:szCs w:val="28"/>
          <w:lang w:val="ro-RO"/>
        </w:rPr>
        <w:t xml:space="preserve">Dispoziția privind avertismentele prevăzută în </w:t>
      </w:r>
      <w:r w:rsidR="00E669B5" w:rsidRPr="00AA78DA">
        <w:rPr>
          <w:sz w:val="28"/>
          <w:szCs w:val="28"/>
          <w:lang w:val="ro-RO"/>
        </w:rPr>
        <w:t>R</w:t>
      </w:r>
      <w:r w:rsidRPr="00AA78DA">
        <w:rPr>
          <w:sz w:val="28"/>
          <w:szCs w:val="28"/>
          <w:lang w:val="ro-RO"/>
        </w:rPr>
        <w:t>egulament [articolul 19 alineatul (2)] este mai generală. Prin urmare, măsurile stabilite la articolul 8 alineatul (1) litera (c) din DSGP sunt mai specifice dec</w:t>
      </w:r>
      <w:r w:rsidR="003362B9" w:rsidRPr="00AA78DA">
        <w:rPr>
          <w:sz w:val="28"/>
          <w:szCs w:val="28"/>
          <w:lang w:val="ro-RO"/>
        </w:rPr>
        <w:t>î</w:t>
      </w:r>
      <w:r w:rsidRPr="00AA78DA">
        <w:rPr>
          <w:sz w:val="28"/>
          <w:szCs w:val="28"/>
          <w:lang w:val="ro-RO"/>
        </w:rPr>
        <w:t xml:space="preserve">t cele prevăzute în </w:t>
      </w:r>
      <w:r w:rsidR="003362B9" w:rsidRPr="00AA78DA">
        <w:rPr>
          <w:sz w:val="28"/>
          <w:szCs w:val="28"/>
          <w:lang w:val="ro-RO"/>
        </w:rPr>
        <w:t>R</w:t>
      </w:r>
      <w:r w:rsidRPr="00AA78DA">
        <w:rPr>
          <w:sz w:val="28"/>
          <w:szCs w:val="28"/>
          <w:lang w:val="ro-RO"/>
        </w:rPr>
        <w:t xml:space="preserve">egulament și, în consecință, acestea ar trebui fie aplicate în domeniul produselor de consum armonizate, în plus față de articolul 19 alineatul (2) din </w:t>
      </w:r>
      <w:r w:rsidR="003362B9" w:rsidRPr="00AA78DA">
        <w:rPr>
          <w:sz w:val="28"/>
          <w:szCs w:val="28"/>
          <w:lang w:val="ro-RO"/>
        </w:rPr>
        <w:t>R</w:t>
      </w:r>
      <w:r w:rsidRPr="00AA78DA">
        <w:rPr>
          <w:sz w:val="28"/>
          <w:szCs w:val="28"/>
          <w:lang w:val="ro-RO"/>
        </w:rPr>
        <w:t>egulament.</w:t>
      </w:r>
    </w:p>
    <w:p w:rsidR="00EB4E9D" w:rsidRPr="00AA78DA" w:rsidRDefault="00EB4E9D" w:rsidP="00441764">
      <w:pPr>
        <w:rPr>
          <w:rFonts w:ascii="Times New Roman" w:hAnsi="Times New Roman" w:cs="Times New Roman"/>
          <w:sz w:val="16"/>
          <w:szCs w:val="16"/>
          <w:lang w:val="ro-RO"/>
        </w:rPr>
      </w:pPr>
    </w:p>
    <w:p w:rsidR="00EB4E9D" w:rsidRPr="00441764" w:rsidRDefault="0074654C" w:rsidP="00441764">
      <w:pPr>
        <w:tabs>
          <w:tab w:val="left" w:pos="823"/>
        </w:tabs>
        <w:ind w:right="128"/>
        <w:jc w:val="both"/>
        <w:rPr>
          <w:rFonts w:ascii="Times New Roman" w:eastAsia="Times New Roman" w:hAnsi="Times New Roman" w:cs="Times New Roman"/>
          <w:sz w:val="16"/>
          <w:szCs w:val="16"/>
          <w:lang w:val="ro-RO"/>
        </w:rPr>
      </w:pPr>
      <w:r w:rsidRPr="00AA78DA">
        <w:rPr>
          <w:rFonts w:ascii="Times New Roman" w:hAnsi="Times New Roman" w:cs="Times New Roman"/>
          <w:b/>
          <w:sz w:val="28"/>
          <w:szCs w:val="28"/>
          <w:lang w:val="ro-RO"/>
        </w:rPr>
        <w:t>2.2.3</w:t>
      </w:r>
      <w:r w:rsidRPr="00AA78DA">
        <w:rPr>
          <w:rFonts w:ascii="Times New Roman" w:hAnsi="Times New Roman" w:cs="Times New Roman"/>
          <w:sz w:val="28"/>
          <w:szCs w:val="28"/>
          <w:lang w:val="ro-RO"/>
        </w:rPr>
        <w:t xml:space="preserve"> </w:t>
      </w:r>
      <w:r w:rsidR="003D1847" w:rsidRPr="00441764">
        <w:rPr>
          <w:rFonts w:ascii="Times New Roman" w:eastAsia="Times New Roman" w:hAnsi="Times New Roman" w:cs="Times New Roman"/>
          <w:sz w:val="28"/>
          <w:szCs w:val="28"/>
          <w:lang w:val="ro-RO"/>
        </w:rPr>
        <w:t>Măsuri în temeiul articolului 8 alineatul (1) litera (d) din DSGP (</w:t>
      </w:r>
      <w:r w:rsidR="00C11CDE" w:rsidRPr="00441764">
        <w:rPr>
          <w:rFonts w:ascii="Times New Roman" w:eastAsia="Times New Roman" w:hAnsi="Times New Roman" w:cs="Times New Roman"/>
          <w:sz w:val="28"/>
          <w:szCs w:val="28"/>
          <w:lang w:val="ro-RO"/>
        </w:rPr>
        <w:t>interzicerea temporară pe perioada de evaluare</w:t>
      </w:r>
      <w:r w:rsidR="003D1847" w:rsidRPr="00441764">
        <w:rPr>
          <w:rFonts w:ascii="Times New Roman" w:eastAsia="Times New Roman" w:hAnsi="Times New Roman" w:cs="Times New Roman"/>
          <w:sz w:val="28"/>
          <w:szCs w:val="28"/>
          <w:lang w:val="ro-RO"/>
        </w:rPr>
        <w:t>)</w:t>
      </w:r>
    </w:p>
    <w:p w:rsidR="001F601B" w:rsidRPr="00AA78DA" w:rsidRDefault="001F601B" w:rsidP="00441764">
      <w:pPr>
        <w:tabs>
          <w:tab w:val="left" w:pos="823"/>
        </w:tabs>
        <w:ind w:right="128"/>
        <w:jc w:val="both"/>
        <w:rPr>
          <w:rFonts w:ascii="Times New Roman" w:eastAsia="Times New Roman" w:hAnsi="Times New Roman" w:cs="Times New Roman"/>
          <w:sz w:val="16"/>
          <w:szCs w:val="16"/>
          <w:lang w:val="ro-RO"/>
        </w:rPr>
      </w:pPr>
    </w:p>
    <w:tbl>
      <w:tblPr>
        <w:tblStyle w:val="TableGrid"/>
        <w:tblW w:w="0" w:type="auto"/>
        <w:tblLook w:val="04A0" w:firstRow="1" w:lastRow="0" w:firstColumn="1" w:lastColumn="0" w:noHBand="0" w:noVBand="1"/>
      </w:tblPr>
      <w:tblGrid>
        <w:gridCol w:w="9343"/>
      </w:tblGrid>
      <w:tr w:rsidR="00DF0FED" w:rsidRPr="00AA78DA" w:rsidTr="00DF0FED">
        <w:tc>
          <w:tcPr>
            <w:tcW w:w="9343" w:type="dxa"/>
            <w:shd w:val="clear" w:color="auto" w:fill="E5DFEC" w:themeFill="accent4" w:themeFillTint="33"/>
          </w:tcPr>
          <w:p w:rsidR="00A76BB7" w:rsidRPr="00441764" w:rsidRDefault="00A76BB7" w:rsidP="00441764">
            <w:pPr>
              <w:ind w:firstLine="697"/>
              <w:jc w:val="both"/>
              <w:rPr>
                <w:rFonts w:ascii="Times New Roman" w:eastAsia="Arial Unicode MS" w:hAnsi="Times New Roman" w:cs="Times New Roman"/>
                <w:sz w:val="24"/>
                <w:szCs w:val="24"/>
                <w:lang w:val="ro-RO" w:eastAsia="en-GB"/>
              </w:rPr>
            </w:pPr>
            <w:r w:rsidRPr="00441764">
              <w:rPr>
                <w:rFonts w:ascii="Times New Roman" w:eastAsia="Times New Roman" w:hAnsi="Times New Roman" w:cs="Times New Roman"/>
                <w:b/>
                <w:sz w:val="24"/>
                <w:szCs w:val="24"/>
                <w:lang w:val="ro-RO"/>
              </w:rPr>
              <w:t>Articolului 8 alineatul (1)</w:t>
            </w:r>
            <w:r w:rsidRPr="00441764">
              <w:rPr>
                <w:rFonts w:ascii="Times New Roman" w:eastAsia="Arial Unicode MS" w:hAnsi="Times New Roman" w:cs="Times New Roman"/>
                <w:sz w:val="24"/>
                <w:szCs w:val="24"/>
                <w:lang w:val="ro-RO" w:eastAsia="en-GB"/>
              </w:rPr>
              <w:t xml:space="preserve"> </w:t>
            </w:r>
            <w:r w:rsidR="00A134EB">
              <w:rPr>
                <w:rFonts w:ascii="Times New Roman" w:eastAsia="Times New Roman" w:hAnsi="Times New Roman" w:cs="Times New Roman"/>
                <w:b/>
                <w:sz w:val="24"/>
                <w:szCs w:val="24"/>
                <w:lang w:val="ro-RO"/>
              </w:rPr>
              <w:t>litera d)</w:t>
            </w:r>
          </w:p>
          <w:p w:rsidR="00DF0FED" w:rsidRPr="00441764" w:rsidRDefault="00DF0FED" w:rsidP="00441764">
            <w:pPr>
              <w:ind w:firstLine="697"/>
              <w:jc w:val="both"/>
              <w:rPr>
                <w:rFonts w:ascii="Times New Roman" w:eastAsia="Arial Unicode MS" w:hAnsi="Times New Roman" w:cs="Times New Roman"/>
                <w:sz w:val="24"/>
                <w:szCs w:val="24"/>
                <w:lang w:val="ro-RO" w:eastAsia="en-GB"/>
              </w:rPr>
            </w:pPr>
            <w:r w:rsidRPr="00441764">
              <w:rPr>
                <w:rFonts w:ascii="Times New Roman" w:eastAsia="Arial Unicode MS" w:hAnsi="Times New Roman" w:cs="Times New Roman"/>
                <w:sz w:val="24"/>
                <w:szCs w:val="24"/>
                <w:lang w:val="ro-RO" w:eastAsia="en-GB"/>
              </w:rPr>
              <w:t xml:space="preserve">(d) pentru orice produs care ar putea fi periculos: </w:t>
            </w:r>
          </w:p>
          <w:p w:rsidR="00DF0FED" w:rsidRPr="00AA78DA" w:rsidRDefault="00DF0FED" w:rsidP="00441764">
            <w:pPr>
              <w:ind w:firstLine="697"/>
              <w:jc w:val="both"/>
              <w:rPr>
                <w:rFonts w:ascii="Times New Roman" w:hAnsi="Times New Roman" w:cs="Times New Roman"/>
                <w:sz w:val="16"/>
                <w:szCs w:val="16"/>
                <w:lang w:val="ro-RO"/>
              </w:rPr>
            </w:pPr>
            <w:r w:rsidRPr="00441764">
              <w:rPr>
                <w:rFonts w:ascii="Times New Roman" w:eastAsia="Arial Unicode MS" w:hAnsi="Times New Roman" w:cs="Times New Roman"/>
                <w:sz w:val="24"/>
                <w:szCs w:val="24"/>
                <w:lang w:val="ro-RO" w:eastAsia="en-GB"/>
              </w:rPr>
              <w:t>pentru perioada necesară în vederea diferitelor evaluări ale siguranței, verificări și controale, să interzică temporar furnizarea, oferta de furnizare sau expunerea;</w:t>
            </w:r>
            <w:r w:rsidRPr="00441764">
              <w:rPr>
                <w:rFonts w:ascii="Arial Unicode MS" w:eastAsia="Arial Unicode MS" w:hAnsi="Arial Unicode MS" w:cs="Arial Unicode MS"/>
                <w:sz w:val="21"/>
                <w:szCs w:val="21"/>
                <w:lang w:val="ro-RO" w:eastAsia="en-GB"/>
              </w:rPr>
              <w:t xml:space="preserve"> </w:t>
            </w:r>
          </w:p>
        </w:tc>
      </w:tr>
    </w:tbl>
    <w:p w:rsidR="00EB4E9D" w:rsidRPr="00AA78DA" w:rsidRDefault="00EB4E9D" w:rsidP="00441764">
      <w:pPr>
        <w:rPr>
          <w:rFonts w:ascii="Times New Roman" w:hAnsi="Times New Roman" w:cs="Times New Roman"/>
          <w:sz w:val="16"/>
          <w:szCs w:val="16"/>
          <w:lang w:val="ro-RO"/>
        </w:rPr>
      </w:pPr>
    </w:p>
    <w:p w:rsidR="003D1847" w:rsidRPr="00AA78DA" w:rsidRDefault="003D1847" w:rsidP="00441764">
      <w:pPr>
        <w:pStyle w:val="BodyText"/>
        <w:ind w:left="0" w:right="-7" w:firstLine="7"/>
        <w:jc w:val="both"/>
        <w:rPr>
          <w:sz w:val="28"/>
          <w:szCs w:val="28"/>
          <w:lang w:val="ro-RO"/>
        </w:rPr>
      </w:pPr>
      <w:r w:rsidRPr="00AA78DA">
        <w:rPr>
          <w:sz w:val="28"/>
          <w:szCs w:val="28"/>
          <w:lang w:val="ro-RO"/>
        </w:rPr>
        <w:t xml:space="preserve">Articolul 8 alineatul (1) litera (d) din DSGP permite autorităților de supraveghere a pieței să impună o interdicție temporară asupra produselor potențial periculoase pentru perioada necesară evaluării. Regulamentul nu prevede în mod expres o interdicție temporară. Prin urmare, măsurile prevăzute </w:t>
      </w:r>
      <w:r w:rsidR="00A36C3F" w:rsidRPr="00AA78DA">
        <w:rPr>
          <w:sz w:val="28"/>
          <w:szCs w:val="28"/>
          <w:lang w:val="ro-RO"/>
        </w:rPr>
        <w:t>în</w:t>
      </w:r>
      <w:r w:rsidRPr="00AA78DA">
        <w:rPr>
          <w:sz w:val="28"/>
          <w:szCs w:val="28"/>
          <w:lang w:val="ro-RO"/>
        </w:rPr>
        <w:t xml:space="preserve"> articolul 8 alineatul (1) litera (c) din DSGP sunt mai spe</w:t>
      </w:r>
      <w:r w:rsidR="003362B9" w:rsidRPr="00AA78DA">
        <w:rPr>
          <w:sz w:val="28"/>
          <w:szCs w:val="28"/>
          <w:lang w:val="ro-RO"/>
        </w:rPr>
        <w:t>cifice decît cele prevăzute în R</w:t>
      </w:r>
      <w:r w:rsidRPr="00AA78DA">
        <w:rPr>
          <w:sz w:val="28"/>
          <w:szCs w:val="28"/>
          <w:lang w:val="ro-RO"/>
        </w:rPr>
        <w:t>egulament și, prin urmare, ar trebui aplicate în domeniul produselor de consum armonizate.</w:t>
      </w:r>
    </w:p>
    <w:p w:rsidR="003D1847" w:rsidRPr="00AA78DA" w:rsidRDefault="003D1847" w:rsidP="00441764">
      <w:pPr>
        <w:pStyle w:val="BodyText"/>
        <w:ind w:left="0" w:right="118" w:firstLine="7"/>
        <w:jc w:val="both"/>
        <w:rPr>
          <w:sz w:val="16"/>
          <w:szCs w:val="16"/>
          <w:lang w:val="ro-RO"/>
        </w:rPr>
      </w:pPr>
    </w:p>
    <w:p w:rsidR="001344CD" w:rsidRPr="00441764" w:rsidRDefault="0074654C" w:rsidP="00441764">
      <w:pPr>
        <w:spacing w:before="4"/>
        <w:ind w:right="83"/>
        <w:jc w:val="both"/>
        <w:rPr>
          <w:rFonts w:ascii="Times New Roman" w:hAnsi="Times New Roman" w:cs="Times New Roman"/>
          <w:sz w:val="16"/>
          <w:szCs w:val="16"/>
          <w:lang w:val="ro-RO"/>
        </w:rPr>
      </w:pPr>
      <w:r w:rsidRPr="00AA78DA">
        <w:rPr>
          <w:rFonts w:ascii="Times New Roman" w:hAnsi="Times New Roman" w:cs="Times New Roman"/>
          <w:b/>
          <w:sz w:val="28"/>
          <w:szCs w:val="28"/>
          <w:lang w:val="ro-RO"/>
        </w:rPr>
        <w:t>2.2.4</w:t>
      </w:r>
      <w:r w:rsidRPr="00AA78DA">
        <w:rPr>
          <w:rFonts w:ascii="Times New Roman" w:hAnsi="Times New Roman" w:cs="Times New Roman"/>
          <w:sz w:val="28"/>
          <w:szCs w:val="28"/>
          <w:lang w:val="ro-RO"/>
        </w:rPr>
        <w:t xml:space="preserve"> </w:t>
      </w:r>
      <w:r w:rsidR="001344CD" w:rsidRPr="00441764">
        <w:rPr>
          <w:rFonts w:ascii="Times New Roman" w:hAnsi="Times New Roman" w:cs="Times New Roman"/>
          <w:sz w:val="28"/>
          <w:szCs w:val="28"/>
          <w:lang w:val="ro-RO"/>
        </w:rPr>
        <w:t>Măsuri conexe necesare pentru asigurarea respectării de către Comisie și alte state membre a interdicției de comercializare, alta decît informarea publică, prevăzute la articolul 8 alineatul (1) litera (e) din DSGP</w:t>
      </w:r>
    </w:p>
    <w:p w:rsidR="001F601B" w:rsidRPr="00AA78DA" w:rsidRDefault="001F601B" w:rsidP="00441764">
      <w:pPr>
        <w:spacing w:before="4"/>
        <w:ind w:right="83"/>
        <w:jc w:val="both"/>
        <w:rPr>
          <w:rFonts w:ascii="Times New Roman" w:hAnsi="Times New Roman" w:cs="Times New Roman"/>
          <w:i/>
          <w:sz w:val="16"/>
          <w:szCs w:val="16"/>
          <w:lang w:val="ro-RO"/>
        </w:rPr>
      </w:pPr>
    </w:p>
    <w:tbl>
      <w:tblPr>
        <w:tblStyle w:val="TableGrid"/>
        <w:tblW w:w="0" w:type="auto"/>
        <w:tblLook w:val="04A0" w:firstRow="1" w:lastRow="0" w:firstColumn="1" w:lastColumn="0" w:noHBand="0" w:noVBand="1"/>
      </w:tblPr>
      <w:tblGrid>
        <w:gridCol w:w="9343"/>
      </w:tblGrid>
      <w:tr w:rsidR="00DF0FED" w:rsidRPr="00AA78DA" w:rsidTr="00DF0FED">
        <w:tc>
          <w:tcPr>
            <w:tcW w:w="9343" w:type="dxa"/>
            <w:shd w:val="clear" w:color="auto" w:fill="E5DFEC" w:themeFill="accent4" w:themeFillTint="33"/>
          </w:tcPr>
          <w:p w:rsidR="00A76BB7" w:rsidRPr="00441764" w:rsidRDefault="00A76BB7" w:rsidP="00441764">
            <w:pPr>
              <w:tabs>
                <w:tab w:val="left" w:pos="826"/>
              </w:tabs>
              <w:ind w:right="83" w:firstLine="697"/>
              <w:jc w:val="both"/>
              <w:rPr>
                <w:rFonts w:ascii="Times New Roman" w:eastAsia="Arial Unicode MS" w:hAnsi="Times New Roman" w:cs="Times New Roman"/>
                <w:sz w:val="24"/>
                <w:szCs w:val="24"/>
                <w:lang w:val="ro-RO" w:eastAsia="en-GB"/>
              </w:rPr>
            </w:pPr>
            <w:r w:rsidRPr="00441764">
              <w:rPr>
                <w:rFonts w:ascii="Times New Roman" w:eastAsia="Times New Roman" w:hAnsi="Times New Roman" w:cs="Times New Roman"/>
                <w:b/>
                <w:sz w:val="24"/>
                <w:szCs w:val="24"/>
                <w:lang w:val="ro-RO"/>
              </w:rPr>
              <w:t>Articolului 8 alineatul (1)</w:t>
            </w:r>
            <w:r w:rsidRPr="00441764">
              <w:rPr>
                <w:rFonts w:ascii="Times New Roman" w:eastAsia="Arial Unicode MS" w:hAnsi="Times New Roman" w:cs="Times New Roman"/>
                <w:sz w:val="24"/>
                <w:szCs w:val="24"/>
                <w:lang w:val="ro-RO" w:eastAsia="en-GB"/>
              </w:rPr>
              <w:t xml:space="preserve"> </w:t>
            </w:r>
            <w:r w:rsidR="00A134EB">
              <w:rPr>
                <w:rFonts w:ascii="Times New Roman" w:eastAsia="Times New Roman" w:hAnsi="Times New Roman" w:cs="Times New Roman"/>
                <w:b/>
                <w:sz w:val="24"/>
                <w:szCs w:val="24"/>
                <w:lang w:val="ro-RO"/>
              </w:rPr>
              <w:t>litera e)</w:t>
            </w:r>
          </w:p>
          <w:p w:rsidR="00040031" w:rsidRPr="00441764" w:rsidRDefault="00DF0FED" w:rsidP="00441764">
            <w:pPr>
              <w:tabs>
                <w:tab w:val="left" w:pos="826"/>
              </w:tabs>
              <w:ind w:right="83" w:firstLine="697"/>
              <w:jc w:val="both"/>
              <w:rPr>
                <w:rFonts w:ascii="Times New Roman" w:eastAsia="Arial Unicode MS" w:hAnsi="Times New Roman" w:cs="Times New Roman"/>
                <w:sz w:val="24"/>
                <w:szCs w:val="24"/>
                <w:lang w:val="ro-RO" w:eastAsia="en-GB"/>
              </w:rPr>
            </w:pPr>
            <w:r w:rsidRPr="00441764">
              <w:rPr>
                <w:rFonts w:ascii="Times New Roman" w:eastAsia="Arial Unicode MS" w:hAnsi="Times New Roman" w:cs="Times New Roman"/>
                <w:sz w:val="24"/>
                <w:szCs w:val="24"/>
                <w:lang w:val="ro-RO" w:eastAsia="en-GB"/>
              </w:rPr>
              <w:t>(e)</w:t>
            </w:r>
            <w:r w:rsidR="00040031" w:rsidRPr="00441764">
              <w:rPr>
                <w:rFonts w:ascii="Times New Roman" w:eastAsia="Arial Unicode MS" w:hAnsi="Times New Roman" w:cs="Times New Roman"/>
                <w:sz w:val="24"/>
                <w:szCs w:val="24"/>
                <w:lang w:val="ro-RO" w:eastAsia="en-GB"/>
              </w:rPr>
              <w:t xml:space="preserve"> </w:t>
            </w:r>
            <w:r w:rsidRPr="00441764">
              <w:rPr>
                <w:rFonts w:ascii="Times New Roman" w:eastAsia="Arial Unicode MS" w:hAnsi="Times New Roman" w:cs="Times New Roman"/>
                <w:sz w:val="24"/>
                <w:szCs w:val="24"/>
                <w:lang w:val="ro-RO" w:eastAsia="en-GB"/>
              </w:rPr>
              <w:t xml:space="preserve">pentru orice produs periculos: </w:t>
            </w:r>
          </w:p>
          <w:p w:rsidR="00DF0FED" w:rsidRPr="00AA78DA" w:rsidRDefault="00DF0FED" w:rsidP="00441764">
            <w:pPr>
              <w:tabs>
                <w:tab w:val="left" w:pos="826"/>
              </w:tabs>
              <w:ind w:right="83" w:firstLine="697"/>
              <w:jc w:val="both"/>
              <w:rPr>
                <w:rFonts w:ascii="Times New Roman" w:hAnsi="Times New Roman" w:cs="Times New Roman"/>
                <w:sz w:val="16"/>
                <w:szCs w:val="16"/>
                <w:lang w:val="ro-RO"/>
              </w:rPr>
            </w:pPr>
            <w:r w:rsidRPr="00441764">
              <w:rPr>
                <w:rFonts w:ascii="Times New Roman" w:eastAsia="Arial Unicode MS" w:hAnsi="Times New Roman" w:cs="Times New Roman"/>
                <w:sz w:val="24"/>
                <w:szCs w:val="24"/>
                <w:lang w:val="ro-RO" w:eastAsia="en-GB"/>
              </w:rPr>
              <w:t>să interzică comercializarea și introducerea măsurilor aferente necesare pentru a asigura respectarea interdicției;</w:t>
            </w:r>
          </w:p>
        </w:tc>
      </w:tr>
    </w:tbl>
    <w:p w:rsidR="001344CD" w:rsidRPr="00AA78DA" w:rsidRDefault="001344CD" w:rsidP="00441764">
      <w:pPr>
        <w:tabs>
          <w:tab w:val="left" w:pos="826"/>
        </w:tabs>
        <w:ind w:right="83"/>
        <w:jc w:val="both"/>
        <w:rPr>
          <w:rFonts w:ascii="Times New Roman" w:hAnsi="Times New Roman" w:cs="Times New Roman"/>
          <w:sz w:val="16"/>
          <w:szCs w:val="16"/>
          <w:lang w:val="ro-RO"/>
        </w:rPr>
      </w:pPr>
    </w:p>
    <w:p w:rsidR="00EB4E9D" w:rsidRPr="00AA78DA" w:rsidRDefault="001344CD" w:rsidP="00441764">
      <w:pPr>
        <w:tabs>
          <w:tab w:val="left" w:pos="826"/>
        </w:tabs>
        <w:ind w:right="83"/>
        <w:jc w:val="both"/>
        <w:rPr>
          <w:rFonts w:ascii="Times New Roman" w:hAnsi="Times New Roman" w:cs="Times New Roman"/>
          <w:sz w:val="28"/>
          <w:szCs w:val="28"/>
          <w:lang w:val="ro-RO"/>
        </w:rPr>
      </w:pPr>
      <w:r w:rsidRPr="00AA78DA">
        <w:rPr>
          <w:rFonts w:ascii="Times New Roman" w:hAnsi="Times New Roman" w:cs="Times New Roman"/>
          <w:sz w:val="28"/>
          <w:szCs w:val="28"/>
          <w:lang w:val="ro-RO"/>
        </w:rPr>
        <w:t>Articolul 8 alineatul (1) litera (e) din DSGP prevede posibilitatea adoptării unor măsuri conexe, împreună cu interdicția de comercializare, care sunt necesare pentru a asigura respectarea interdicției. Regulamentul stabilește că publicul, Comisia și celelalte state membre trebuie să fie informate cu privire la interdicțiile de comercializare [articolul 19 alineatul (2), articolul 22 și articolul 23], dar nu conține alte prevederi specifice cu privire la măsurile conexe de asigurare a respectării interdicției. Prin urmare, orice altă măsură conexă care asigură respectarea interdicției de comercializare, este o măsură a DSGP mai specifică și, în consecință, ar trebui să fie aplicată în domeniul bunurilor de consum armonizate.</w:t>
      </w:r>
    </w:p>
    <w:p w:rsidR="001344CD" w:rsidRPr="00AA78DA" w:rsidRDefault="001344CD" w:rsidP="00441764">
      <w:pPr>
        <w:tabs>
          <w:tab w:val="left" w:pos="834"/>
        </w:tabs>
        <w:ind w:right="126"/>
        <w:rPr>
          <w:rFonts w:ascii="Times New Roman" w:hAnsi="Times New Roman" w:cs="Times New Roman"/>
          <w:sz w:val="16"/>
          <w:szCs w:val="16"/>
          <w:lang w:val="ro-RO"/>
        </w:rPr>
      </w:pPr>
    </w:p>
    <w:p w:rsidR="00EB4E9D" w:rsidRPr="00441764" w:rsidRDefault="0074654C" w:rsidP="00441764">
      <w:pPr>
        <w:tabs>
          <w:tab w:val="left" w:pos="834"/>
        </w:tabs>
        <w:ind w:right="126"/>
        <w:jc w:val="both"/>
        <w:rPr>
          <w:rFonts w:ascii="Times New Roman" w:eastAsia="Times New Roman" w:hAnsi="Times New Roman" w:cs="Times New Roman"/>
          <w:sz w:val="16"/>
          <w:szCs w:val="16"/>
          <w:lang w:val="ro-RO"/>
        </w:rPr>
      </w:pPr>
      <w:r w:rsidRPr="00AA78DA">
        <w:rPr>
          <w:rFonts w:ascii="Times New Roman" w:hAnsi="Times New Roman" w:cs="Times New Roman"/>
          <w:b/>
          <w:sz w:val="28"/>
          <w:szCs w:val="28"/>
          <w:lang w:val="ro-RO"/>
        </w:rPr>
        <w:lastRenderedPageBreak/>
        <w:t>2.2.5</w:t>
      </w:r>
      <w:r w:rsidRPr="00AA78DA">
        <w:rPr>
          <w:rFonts w:ascii="Times New Roman" w:hAnsi="Times New Roman" w:cs="Times New Roman"/>
          <w:sz w:val="28"/>
          <w:szCs w:val="28"/>
          <w:lang w:val="ro-RO"/>
        </w:rPr>
        <w:t xml:space="preserve"> </w:t>
      </w:r>
      <w:r w:rsidR="003D1847" w:rsidRPr="00441764">
        <w:rPr>
          <w:rFonts w:ascii="Times New Roman" w:eastAsia="Times New Roman" w:hAnsi="Times New Roman" w:cs="Times New Roman"/>
          <w:sz w:val="28"/>
          <w:szCs w:val="28"/>
          <w:lang w:val="ro-RO"/>
        </w:rPr>
        <w:t xml:space="preserve">Măsurile prevăzute </w:t>
      </w:r>
      <w:r w:rsidR="00A36C3F" w:rsidRPr="00441764">
        <w:rPr>
          <w:rFonts w:ascii="Times New Roman" w:eastAsia="Times New Roman" w:hAnsi="Times New Roman" w:cs="Times New Roman"/>
          <w:sz w:val="28"/>
          <w:szCs w:val="28"/>
          <w:lang w:val="ro-RO"/>
        </w:rPr>
        <w:t>în</w:t>
      </w:r>
      <w:r w:rsidR="003D1847" w:rsidRPr="00441764">
        <w:rPr>
          <w:rFonts w:ascii="Times New Roman" w:eastAsia="Times New Roman" w:hAnsi="Times New Roman" w:cs="Times New Roman"/>
          <w:sz w:val="28"/>
          <w:szCs w:val="28"/>
          <w:lang w:val="ro-RO"/>
        </w:rPr>
        <w:t xml:space="preserve"> articolul 8 alineatul (1) litera (f) punctul (ii) din DSGP (rechemarea și distrugerea produselor periculoase, dar care nu prezintă un risc </w:t>
      </w:r>
      <w:r w:rsidR="00151708" w:rsidRPr="00441764">
        <w:rPr>
          <w:rFonts w:ascii="Times New Roman" w:eastAsia="Times New Roman" w:hAnsi="Times New Roman" w:cs="Times New Roman"/>
          <w:sz w:val="28"/>
          <w:szCs w:val="28"/>
          <w:lang w:val="ro-RO"/>
        </w:rPr>
        <w:t>mar</w:t>
      </w:r>
      <w:r w:rsidR="008A25D8" w:rsidRPr="00441764">
        <w:rPr>
          <w:rFonts w:ascii="Times New Roman" w:eastAsia="Times New Roman" w:hAnsi="Times New Roman" w:cs="Times New Roman"/>
          <w:sz w:val="28"/>
          <w:szCs w:val="28"/>
          <w:lang w:val="ro-RO"/>
        </w:rPr>
        <w:t>e</w:t>
      </w:r>
      <w:r w:rsidR="003D1847" w:rsidRPr="00441764">
        <w:rPr>
          <w:rFonts w:ascii="Times New Roman" w:eastAsia="Times New Roman" w:hAnsi="Times New Roman" w:cs="Times New Roman"/>
          <w:sz w:val="28"/>
          <w:szCs w:val="28"/>
          <w:lang w:val="ro-RO"/>
        </w:rPr>
        <w:t>)</w:t>
      </w:r>
    </w:p>
    <w:p w:rsidR="001F601B" w:rsidRPr="00AA78DA" w:rsidRDefault="001F601B" w:rsidP="00441764">
      <w:pPr>
        <w:tabs>
          <w:tab w:val="left" w:pos="834"/>
        </w:tabs>
        <w:ind w:right="126"/>
        <w:jc w:val="both"/>
        <w:rPr>
          <w:rFonts w:ascii="Times New Roman" w:eastAsia="Times New Roman" w:hAnsi="Times New Roman" w:cs="Times New Roman"/>
          <w:i/>
          <w:sz w:val="16"/>
          <w:szCs w:val="16"/>
          <w:lang w:val="ro-RO"/>
        </w:rPr>
      </w:pPr>
    </w:p>
    <w:tbl>
      <w:tblPr>
        <w:tblStyle w:val="TableGrid"/>
        <w:tblW w:w="0" w:type="auto"/>
        <w:tblLook w:val="04A0" w:firstRow="1" w:lastRow="0" w:firstColumn="1" w:lastColumn="0" w:noHBand="0" w:noVBand="1"/>
      </w:tblPr>
      <w:tblGrid>
        <w:gridCol w:w="9343"/>
      </w:tblGrid>
      <w:tr w:rsidR="00040031" w:rsidRPr="00E970F4" w:rsidTr="0086379F">
        <w:tc>
          <w:tcPr>
            <w:tcW w:w="9343" w:type="dxa"/>
            <w:shd w:val="clear" w:color="auto" w:fill="E5DFEC" w:themeFill="accent4" w:themeFillTint="33"/>
          </w:tcPr>
          <w:p w:rsidR="00A76BB7" w:rsidRPr="00441764" w:rsidRDefault="00A76BB7" w:rsidP="00441764">
            <w:pPr>
              <w:tabs>
                <w:tab w:val="left" w:pos="834"/>
              </w:tabs>
              <w:ind w:right="126" w:firstLine="697"/>
              <w:jc w:val="both"/>
              <w:rPr>
                <w:rFonts w:ascii="Times New Roman" w:eastAsia="Arial Unicode MS" w:hAnsi="Times New Roman" w:cs="Times New Roman"/>
                <w:sz w:val="24"/>
                <w:szCs w:val="24"/>
                <w:lang w:val="ro-RO" w:eastAsia="en-GB"/>
              </w:rPr>
            </w:pPr>
            <w:r w:rsidRPr="00441764">
              <w:rPr>
                <w:rFonts w:ascii="Times New Roman" w:eastAsia="Times New Roman" w:hAnsi="Times New Roman" w:cs="Times New Roman"/>
                <w:b/>
                <w:sz w:val="24"/>
                <w:szCs w:val="24"/>
                <w:lang w:val="ro-RO"/>
              </w:rPr>
              <w:t>Articolului 8 alineatul (1)</w:t>
            </w:r>
            <w:r w:rsidRPr="00441764">
              <w:rPr>
                <w:rFonts w:ascii="Times New Roman" w:eastAsia="Arial Unicode MS" w:hAnsi="Times New Roman" w:cs="Times New Roman"/>
                <w:sz w:val="24"/>
                <w:szCs w:val="24"/>
                <w:lang w:val="ro-RO" w:eastAsia="en-GB"/>
              </w:rPr>
              <w:t xml:space="preserve"> </w:t>
            </w:r>
            <w:r w:rsidR="00A134EB">
              <w:rPr>
                <w:rFonts w:ascii="Times New Roman" w:eastAsia="Times New Roman" w:hAnsi="Times New Roman" w:cs="Times New Roman"/>
                <w:b/>
                <w:sz w:val="24"/>
                <w:szCs w:val="24"/>
                <w:lang w:val="ro-RO"/>
              </w:rPr>
              <w:t>litera f)</w:t>
            </w:r>
          </w:p>
          <w:p w:rsidR="00040031" w:rsidRPr="00441764" w:rsidRDefault="00040031" w:rsidP="00441764">
            <w:pPr>
              <w:tabs>
                <w:tab w:val="left" w:pos="834"/>
              </w:tabs>
              <w:ind w:right="126" w:firstLine="697"/>
              <w:jc w:val="both"/>
              <w:rPr>
                <w:rFonts w:ascii="Times New Roman" w:eastAsia="Arial Unicode MS" w:hAnsi="Times New Roman" w:cs="Times New Roman"/>
                <w:sz w:val="24"/>
                <w:szCs w:val="24"/>
                <w:lang w:val="ro-RO" w:eastAsia="en-GB"/>
              </w:rPr>
            </w:pPr>
            <w:r w:rsidRPr="00441764">
              <w:rPr>
                <w:rFonts w:ascii="Times New Roman" w:eastAsia="Arial Unicode MS" w:hAnsi="Times New Roman" w:cs="Times New Roman"/>
                <w:sz w:val="24"/>
                <w:szCs w:val="24"/>
                <w:lang w:val="ro-RO" w:eastAsia="en-GB"/>
              </w:rPr>
              <w:t xml:space="preserve">(f) pentru orice produs periculos aflat deja pe piață: </w:t>
            </w:r>
          </w:p>
          <w:p w:rsidR="00040031" w:rsidRPr="00AA78DA" w:rsidRDefault="00040031" w:rsidP="00441764">
            <w:pPr>
              <w:tabs>
                <w:tab w:val="left" w:pos="834"/>
              </w:tabs>
              <w:ind w:right="126" w:firstLine="697"/>
              <w:jc w:val="both"/>
              <w:rPr>
                <w:rFonts w:ascii="Times New Roman" w:eastAsia="Times New Roman" w:hAnsi="Times New Roman" w:cs="Times New Roman"/>
                <w:sz w:val="16"/>
                <w:szCs w:val="16"/>
                <w:lang w:val="ro-RO"/>
              </w:rPr>
            </w:pPr>
            <w:r w:rsidRPr="00441764">
              <w:rPr>
                <w:rFonts w:ascii="Times New Roman" w:eastAsia="Arial Unicode MS" w:hAnsi="Times New Roman" w:cs="Times New Roman"/>
                <w:sz w:val="24"/>
                <w:szCs w:val="24"/>
                <w:lang w:val="ro-RO" w:eastAsia="en-GB"/>
              </w:rPr>
              <w:t>(ii) să dea instrucțiuni sau să coordoneze, sau, după caz, să organizeze împreună cu producătorii și distribuitorii returnarea sa de la cumpărători și distrugerea sa în condiții adecvate.</w:t>
            </w:r>
          </w:p>
        </w:tc>
      </w:tr>
    </w:tbl>
    <w:p w:rsidR="005A038A" w:rsidRPr="00AA78DA" w:rsidRDefault="005A038A" w:rsidP="00441764">
      <w:pPr>
        <w:tabs>
          <w:tab w:val="left" w:pos="834"/>
        </w:tabs>
        <w:ind w:right="126"/>
        <w:jc w:val="both"/>
        <w:rPr>
          <w:rFonts w:ascii="Times New Roman" w:eastAsia="Times New Roman" w:hAnsi="Times New Roman" w:cs="Times New Roman"/>
          <w:sz w:val="16"/>
          <w:szCs w:val="16"/>
          <w:lang w:val="ro-RO"/>
        </w:rPr>
      </w:pPr>
    </w:p>
    <w:p w:rsidR="0086379F" w:rsidRPr="00AA78DA" w:rsidRDefault="008A25D8" w:rsidP="00441764">
      <w:pPr>
        <w:spacing w:before="18"/>
        <w:jc w:val="both"/>
        <w:rPr>
          <w:rFonts w:ascii="Times New Roman" w:hAnsi="Times New Roman" w:cs="Times New Roman"/>
          <w:sz w:val="16"/>
          <w:szCs w:val="16"/>
          <w:lang w:val="ro-RO"/>
        </w:rPr>
      </w:pPr>
      <w:r w:rsidRPr="00AA78DA">
        <w:rPr>
          <w:rFonts w:ascii="Times New Roman" w:hAnsi="Times New Roman" w:cs="Times New Roman"/>
          <w:sz w:val="28"/>
          <w:szCs w:val="28"/>
          <w:lang w:val="ro-RO"/>
        </w:rPr>
        <w:t xml:space="preserve">Articolul 8 alineatul (1) litera (f) punctul (ii) din DSGP permite autorităților de supraveghere a pieței să dea instrucțiuni, să coordoneze sau să organizeze rechemarea tuturor produselor periculoase și distrugerea lor. </w:t>
      </w:r>
    </w:p>
    <w:p w:rsidR="004B295B" w:rsidRPr="00AA78DA" w:rsidRDefault="004B295B" w:rsidP="00441764">
      <w:pPr>
        <w:spacing w:before="18"/>
        <w:jc w:val="both"/>
        <w:rPr>
          <w:rFonts w:ascii="Times New Roman" w:hAnsi="Times New Roman" w:cs="Times New Roman"/>
          <w:sz w:val="16"/>
          <w:szCs w:val="16"/>
          <w:lang w:val="ro-RO"/>
        </w:rPr>
      </w:pPr>
    </w:p>
    <w:p w:rsidR="004B295B" w:rsidRPr="00AA78DA" w:rsidRDefault="004B295B" w:rsidP="00441764">
      <w:pPr>
        <w:spacing w:before="18"/>
        <w:jc w:val="both"/>
        <w:rPr>
          <w:rFonts w:ascii="Times New Roman" w:hAnsi="Times New Roman" w:cs="Times New Roman"/>
          <w:sz w:val="28"/>
          <w:szCs w:val="28"/>
          <w:lang w:val="ro-RO"/>
        </w:rPr>
      </w:pPr>
      <w:r w:rsidRPr="00AA78DA">
        <w:rPr>
          <w:rFonts w:ascii="Times New Roman" w:hAnsi="Times New Roman" w:cs="Times New Roman"/>
          <w:sz w:val="28"/>
          <w:szCs w:val="28"/>
          <w:lang w:val="ro-RO"/>
        </w:rPr>
        <w:t>Regulamentul prevede doar rechemările de produse care prezintă un risc mare (articolul 20) și permite autorităților să distrugă produsele care prezintă un risc mare [articolul 19 alineatul (1)].</w:t>
      </w:r>
    </w:p>
    <w:p w:rsidR="004B295B" w:rsidRPr="00441764" w:rsidRDefault="004B295B" w:rsidP="00441764">
      <w:pPr>
        <w:spacing w:before="18"/>
        <w:jc w:val="both"/>
        <w:rPr>
          <w:rFonts w:ascii="Times New Roman" w:hAnsi="Times New Roman" w:cs="Times New Roman"/>
          <w:sz w:val="16"/>
          <w:szCs w:val="16"/>
          <w:lang w:val="ro-RO"/>
        </w:rPr>
      </w:pPr>
    </w:p>
    <w:tbl>
      <w:tblPr>
        <w:tblStyle w:val="TableGrid"/>
        <w:tblW w:w="0" w:type="auto"/>
        <w:tblLook w:val="04A0" w:firstRow="1" w:lastRow="0" w:firstColumn="1" w:lastColumn="0" w:noHBand="0" w:noVBand="1"/>
      </w:tblPr>
      <w:tblGrid>
        <w:gridCol w:w="9343"/>
      </w:tblGrid>
      <w:tr w:rsidR="004B295B" w:rsidRPr="00441764" w:rsidTr="004B295B">
        <w:tc>
          <w:tcPr>
            <w:tcW w:w="9343" w:type="dxa"/>
            <w:shd w:val="clear" w:color="auto" w:fill="F79646" w:themeFill="accent6"/>
          </w:tcPr>
          <w:p w:rsidR="004B295B" w:rsidRPr="00441764" w:rsidRDefault="004B295B" w:rsidP="00441764">
            <w:pPr>
              <w:pStyle w:val="BodyText"/>
              <w:ind w:left="0" w:right="-7" w:firstLine="697"/>
              <w:jc w:val="both"/>
              <w:rPr>
                <w:rFonts w:cs="Times New Roman"/>
                <w:b/>
                <w:lang w:val="ro-RO" w:eastAsia="en-GB"/>
              </w:rPr>
            </w:pPr>
            <w:r w:rsidRPr="00441764">
              <w:rPr>
                <w:rFonts w:cs="Times New Roman"/>
                <w:b/>
                <w:lang w:val="ro-RO" w:eastAsia="en-GB"/>
              </w:rPr>
              <w:t>Articolul 19. Masurile de supraveghere a pieței</w:t>
            </w:r>
          </w:p>
          <w:p w:rsidR="004B295B" w:rsidRPr="00441764" w:rsidRDefault="004B295B" w:rsidP="00441764">
            <w:pPr>
              <w:pStyle w:val="BodyText"/>
              <w:ind w:left="0" w:right="-7" w:firstLine="697"/>
              <w:jc w:val="both"/>
              <w:rPr>
                <w:rFonts w:cs="Times New Roman"/>
                <w:lang w:val="ro-RO" w:eastAsia="en-GB"/>
              </w:rPr>
            </w:pPr>
            <w:r w:rsidRPr="00441764">
              <w:rPr>
                <w:rFonts w:cs="Times New Roman"/>
                <w:color w:val="444444"/>
                <w:lang w:val="ro-RO" w:eastAsia="en-GB"/>
              </w:rPr>
              <w:t>(</w:t>
            </w:r>
            <w:r w:rsidRPr="00441764">
              <w:rPr>
                <w:rFonts w:cs="Times New Roman"/>
                <w:lang w:val="ro-RO" w:eastAsia="en-GB"/>
              </w:rPr>
              <w:t>1) paragraful 2</w:t>
            </w:r>
          </w:p>
          <w:p w:rsidR="004B295B" w:rsidRPr="00441764" w:rsidRDefault="004B295B" w:rsidP="00441764">
            <w:pPr>
              <w:spacing w:before="18"/>
              <w:ind w:firstLine="697"/>
              <w:jc w:val="both"/>
              <w:rPr>
                <w:rFonts w:cs="Times New Roman"/>
                <w:sz w:val="24"/>
                <w:szCs w:val="24"/>
                <w:lang w:val="ro-RO" w:eastAsia="en-GB"/>
              </w:rPr>
            </w:pPr>
            <w:r w:rsidRPr="00441764">
              <w:rPr>
                <w:rFonts w:ascii="Times New Roman" w:hAnsi="Times New Roman" w:cs="Times New Roman"/>
                <w:sz w:val="24"/>
                <w:szCs w:val="24"/>
                <w:lang w:val="ro-RO" w:eastAsia="en-GB"/>
              </w:rPr>
              <w:t xml:space="preserve">Autoritățile de supraveghere a pieței </w:t>
            </w:r>
            <w:r w:rsidRPr="00441764">
              <w:rPr>
                <w:rFonts w:ascii="Times New Roman" w:eastAsia="Times New Roman" w:hAnsi="Times New Roman" w:cs="Times New Roman"/>
                <w:sz w:val="24"/>
                <w:szCs w:val="24"/>
                <w:lang w:val="ro-RO" w:eastAsia="en-GB"/>
              </w:rPr>
              <w:t>pot să solicite operatorilor economici să pună la dispoziție documentația și informațiile pe care acestea le consideră necesare pentru îndeplinirea sarcinilor lor și, dacă este necesar și justificat, să intre în incintele operatorilor economici și să preleveze mostrele necesare din produse. În cazul în care consideră necesar, autoritățile respective pot distruge sau scoate din uz produsele care prezintă un risc grav.</w:t>
            </w:r>
          </w:p>
        </w:tc>
      </w:tr>
    </w:tbl>
    <w:p w:rsidR="004B295B" w:rsidRPr="00441764" w:rsidRDefault="004B295B" w:rsidP="00441764">
      <w:pPr>
        <w:spacing w:before="18"/>
        <w:jc w:val="both"/>
        <w:rPr>
          <w:rFonts w:ascii="Times New Roman" w:hAnsi="Times New Roman" w:cs="Times New Roman"/>
          <w:sz w:val="16"/>
          <w:szCs w:val="16"/>
          <w:lang w:val="ro-RO"/>
        </w:rPr>
      </w:pPr>
    </w:p>
    <w:tbl>
      <w:tblPr>
        <w:tblStyle w:val="TableGrid"/>
        <w:tblW w:w="0" w:type="auto"/>
        <w:tblLook w:val="04A0" w:firstRow="1" w:lastRow="0" w:firstColumn="1" w:lastColumn="0" w:noHBand="0" w:noVBand="1"/>
      </w:tblPr>
      <w:tblGrid>
        <w:gridCol w:w="9343"/>
      </w:tblGrid>
      <w:tr w:rsidR="0086379F" w:rsidRPr="00441764" w:rsidTr="0086379F">
        <w:tc>
          <w:tcPr>
            <w:tcW w:w="9343" w:type="dxa"/>
            <w:shd w:val="clear" w:color="auto" w:fill="F79646" w:themeFill="accent6"/>
          </w:tcPr>
          <w:p w:rsidR="0086379F" w:rsidRPr="00441764" w:rsidRDefault="0086379F" w:rsidP="00441764">
            <w:pPr>
              <w:spacing w:before="18"/>
              <w:ind w:firstLine="697"/>
              <w:jc w:val="both"/>
              <w:rPr>
                <w:rFonts w:ascii="Times New Roman" w:hAnsi="Times New Roman" w:cs="Times New Roman"/>
                <w:b/>
                <w:sz w:val="24"/>
                <w:szCs w:val="24"/>
                <w:lang w:val="ro-RO"/>
              </w:rPr>
            </w:pPr>
            <w:r w:rsidRPr="00441764">
              <w:rPr>
                <w:rFonts w:ascii="Times New Roman" w:hAnsi="Times New Roman" w:cs="Times New Roman"/>
                <w:b/>
                <w:sz w:val="24"/>
                <w:szCs w:val="24"/>
                <w:lang w:val="ro-RO"/>
              </w:rPr>
              <w:t>Articolul 20. Produse care prezintă risc</w:t>
            </w:r>
          </w:p>
          <w:p w:rsidR="0086379F" w:rsidRPr="00441764" w:rsidRDefault="0086379F" w:rsidP="00441764">
            <w:pPr>
              <w:spacing w:before="18"/>
              <w:ind w:firstLine="697"/>
              <w:jc w:val="both"/>
              <w:rPr>
                <w:rFonts w:ascii="Times New Roman" w:hAnsi="Times New Roman" w:cs="Times New Roman"/>
                <w:sz w:val="24"/>
                <w:szCs w:val="24"/>
                <w:lang w:val="ro-RO"/>
              </w:rPr>
            </w:pPr>
            <w:r w:rsidRPr="00441764">
              <w:rPr>
                <w:rFonts w:ascii="Times New Roman" w:eastAsia="Times New Roman" w:hAnsi="Times New Roman" w:cs="Times New Roman"/>
                <w:sz w:val="24"/>
                <w:szCs w:val="24"/>
                <w:lang w:val="ro-RO" w:eastAsia="en-GB"/>
              </w:rPr>
              <w:t xml:space="preserve">(1) Fiecare stat membru garantează că produsele care prezintă un risc grav care impune o intervenție rapidă, inclusiv un risc grav ale cărui efecte nu sunt imediate, fie sunt rechemate sau retrase de pe piață, fie este interzisă punerea la dispoziție pe piața acestora, iar Comisia este informată fără întârziere, în conformitate cu articolul 22. </w:t>
            </w:r>
          </w:p>
        </w:tc>
      </w:tr>
    </w:tbl>
    <w:p w:rsidR="005A038A" w:rsidRPr="00AA78DA" w:rsidRDefault="005A038A" w:rsidP="00441764">
      <w:pPr>
        <w:spacing w:before="18"/>
        <w:jc w:val="both"/>
        <w:rPr>
          <w:rFonts w:ascii="Times New Roman" w:hAnsi="Times New Roman" w:cs="Times New Roman"/>
          <w:sz w:val="16"/>
          <w:szCs w:val="16"/>
          <w:lang w:val="ro-RO"/>
        </w:rPr>
      </w:pPr>
    </w:p>
    <w:p w:rsidR="00EB4E9D" w:rsidRPr="00AA78DA" w:rsidRDefault="008A25D8" w:rsidP="00441764">
      <w:pPr>
        <w:spacing w:before="18"/>
        <w:jc w:val="both"/>
        <w:rPr>
          <w:rFonts w:ascii="Times New Roman" w:hAnsi="Times New Roman" w:cs="Times New Roman"/>
          <w:sz w:val="28"/>
          <w:szCs w:val="28"/>
          <w:lang w:val="ro-RO"/>
        </w:rPr>
      </w:pPr>
      <w:r w:rsidRPr="00AA78DA">
        <w:rPr>
          <w:rFonts w:ascii="Times New Roman" w:hAnsi="Times New Roman" w:cs="Times New Roman"/>
          <w:sz w:val="28"/>
          <w:szCs w:val="28"/>
          <w:lang w:val="ro-RO"/>
        </w:rPr>
        <w:t>Rechemările și distrugerea produselor care sunt periculoase, dar care nu prezintă un risc mare, prevăzute la articolul 8 alineatul (1) litera (f) punctul (ii) din DSGP, sunt măsuri mai specifice dec</w:t>
      </w:r>
      <w:r w:rsidR="003F4082" w:rsidRPr="00AA78DA">
        <w:rPr>
          <w:rFonts w:ascii="Times New Roman" w:hAnsi="Times New Roman" w:cs="Times New Roman"/>
          <w:sz w:val="28"/>
          <w:szCs w:val="28"/>
          <w:lang w:val="ro-RO"/>
        </w:rPr>
        <w:t>î</w:t>
      </w:r>
      <w:r w:rsidRPr="00AA78DA">
        <w:rPr>
          <w:rFonts w:ascii="Times New Roman" w:hAnsi="Times New Roman" w:cs="Times New Roman"/>
          <w:sz w:val="28"/>
          <w:szCs w:val="28"/>
          <w:lang w:val="ro-RO"/>
        </w:rPr>
        <w:t xml:space="preserve">t cele prevăzute în </w:t>
      </w:r>
      <w:r w:rsidR="005A038A" w:rsidRPr="00AA78DA">
        <w:rPr>
          <w:rFonts w:ascii="Times New Roman" w:hAnsi="Times New Roman" w:cs="Times New Roman"/>
          <w:sz w:val="28"/>
          <w:szCs w:val="28"/>
          <w:lang w:val="ro-RO"/>
        </w:rPr>
        <w:t>R</w:t>
      </w:r>
      <w:r w:rsidRPr="00AA78DA">
        <w:rPr>
          <w:rFonts w:ascii="Times New Roman" w:hAnsi="Times New Roman" w:cs="Times New Roman"/>
          <w:sz w:val="28"/>
          <w:szCs w:val="28"/>
          <w:lang w:val="ro-RO"/>
        </w:rPr>
        <w:t>egulament și, în consecință, ar trebui să fie aplicate în domeniul bunurilor de consum armonizate.</w:t>
      </w:r>
    </w:p>
    <w:p w:rsidR="00EB4E9D" w:rsidRPr="00AA78DA" w:rsidRDefault="00EB4E9D" w:rsidP="00441764">
      <w:pPr>
        <w:spacing w:before="5"/>
        <w:rPr>
          <w:rFonts w:ascii="Times New Roman" w:hAnsi="Times New Roman" w:cs="Times New Roman"/>
          <w:sz w:val="16"/>
          <w:szCs w:val="16"/>
          <w:lang w:val="ro-RO"/>
        </w:rPr>
      </w:pPr>
    </w:p>
    <w:p w:rsidR="00EB4E9D" w:rsidRPr="00441764" w:rsidRDefault="0074654C" w:rsidP="00441764">
      <w:pPr>
        <w:tabs>
          <w:tab w:val="left" w:pos="834"/>
        </w:tabs>
        <w:spacing w:before="9"/>
        <w:ind w:right="-7"/>
        <w:jc w:val="both"/>
        <w:rPr>
          <w:rFonts w:ascii="Times New Roman" w:hAnsi="Times New Roman" w:cs="Times New Roman"/>
          <w:sz w:val="28"/>
          <w:szCs w:val="28"/>
          <w:lang w:val="ro-RO"/>
        </w:rPr>
      </w:pPr>
      <w:r w:rsidRPr="00AA78DA">
        <w:rPr>
          <w:rFonts w:ascii="Times New Roman" w:hAnsi="Times New Roman" w:cs="Times New Roman"/>
          <w:b/>
          <w:sz w:val="28"/>
          <w:szCs w:val="28"/>
          <w:lang w:val="ro-RO"/>
        </w:rPr>
        <w:t xml:space="preserve">2.2.6 </w:t>
      </w:r>
      <w:r w:rsidR="0071384F" w:rsidRPr="00441764">
        <w:rPr>
          <w:rFonts w:ascii="Times New Roman" w:eastAsia="Times New Roman" w:hAnsi="Times New Roman" w:cs="Times New Roman"/>
          <w:sz w:val="28"/>
          <w:szCs w:val="28"/>
          <w:lang w:val="ro-RO"/>
        </w:rPr>
        <w:t xml:space="preserve">Încurajarea și promovarea acțiunilori voluntare, în conformitate cu articolul 8 alineatul (2) al doilea paragraf din DSGP </w:t>
      </w:r>
    </w:p>
    <w:p w:rsidR="0071384F" w:rsidRPr="00AA78DA" w:rsidRDefault="0071384F" w:rsidP="00441764">
      <w:pPr>
        <w:spacing w:before="9"/>
        <w:ind w:right="162"/>
        <w:rPr>
          <w:rFonts w:ascii="Times New Roman" w:hAnsi="Times New Roman" w:cs="Times New Roman"/>
          <w:sz w:val="16"/>
          <w:szCs w:val="16"/>
          <w:lang w:val="ro-RO"/>
        </w:rPr>
      </w:pPr>
    </w:p>
    <w:p w:rsidR="003B2E32" w:rsidRDefault="00494993" w:rsidP="00441764">
      <w:pPr>
        <w:ind w:right="132"/>
        <w:jc w:val="both"/>
        <w:rPr>
          <w:rFonts w:ascii="Times New Roman" w:eastAsia="Times New Roman" w:hAnsi="Times New Roman" w:cs="Times New Roman"/>
          <w:w w:val="105"/>
          <w:sz w:val="16"/>
          <w:szCs w:val="16"/>
          <w:lang w:val="ro-RO"/>
        </w:rPr>
      </w:pPr>
      <w:r w:rsidRPr="00AA78DA">
        <w:rPr>
          <w:rFonts w:ascii="Times New Roman" w:eastAsia="Times New Roman" w:hAnsi="Times New Roman" w:cs="Times New Roman"/>
          <w:w w:val="105"/>
          <w:sz w:val="28"/>
          <w:szCs w:val="28"/>
          <w:lang w:val="ro-RO"/>
        </w:rPr>
        <w:t xml:space="preserve">Al doilea paragraf al articolului 8 alineatul (2) din DSGP prevede ca autoritățile de supraveghere a pieței să încurajeze și să promoveze acțiunea voluntară, inclusiv dezvoltarea codurilor de bună conduită. </w:t>
      </w:r>
    </w:p>
    <w:p w:rsidR="00915228" w:rsidRPr="00915228" w:rsidRDefault="00915228" w:rsidP="00441764">
      <w:pPr>
        <w:ind w:right="132"/>
        <w:jc w:val="both"/>
        <w:rPr>
          <w:rFonts w:ascii="Times New Roman" w:eastAsia="Times New Roman" w:hAnsi="Times New Roman" w:cs="Times New Roman"/>
          <w:w w:val="105"/>
          <w:sz w:val="16"/>
          <w:szCs w:val="16"/>
          <w:lang w:val="ro-RO"/>
        </w:rPr>
      </w:pPr>
    </w:p>
    <w:tbl>
      <w:tblPr>
        <w:tblStyle w:val="TableGrid"/>
        <w:tblW w:w="0" w:type="auto"/>
        <w:tblLook w:val="04A0" w:firstRow="1" w:lastRow="0" w:firstColumn="1" w:lastColumn="0" w:noHBand="0" w:noVBand="1"/>
      </w:tblPr>
      <w:tblGrid>
        <w:gridCol w:w="9343"/>
      </w:tblGrid>
      <w:tr w:rsidR="003B2E32" w:rsidRPr="00AA78DA" w:rsidTr="003B2E32">
        <w:tc>
          <w:tcPr>
            <w:tcW w:w="9343" w:type="dxa"/>
            <w:shd w:val="clear" w:color="auto" w:fill="E5DFEC" w:themeFill="accent4" w:themeFillTint="33"/>
          </w:tcPr>
          <w:p w:rsidR="003B2E32" w:rsidRPr="00441764" w:rsidRDefault="003B2E32" w:rsidP="00441764">
            <w:pPr>
              <w:ind w:firstLine="787"/>
              <w:jc w:val="both"/>
              <w:rPr>
                <w:rFonts w:ascii="Times New Roman" w:eastAsia="Arial Unicode MS" w:hAnsi="Times New Roman" w:cs="Times New Roman"/>
                <w:color w:val="444444"/>
                <w:sz w:val="24"/>
                <w:szCs w:val="24"/>
                <w:lang w:val="ro-RO" w:eastAsia="en-GB"/>
              </w:rPr>
            </w:pPr>
            <w:r w:rsidRPr="00441764">
              <w:rPr>
                <w:rFonts w:ascii="Times New Roman" w:eastAsia="Times New Roman" w:hAnsi="Times New Roman" w:cs="Times New Roman"/>
                <w:b/>
                <w:sz w:val="24"/>
                <w:szCs w:val="24"/>
                <w:lang w:val="ro-RO"/>
              </w:rPr>
              <w:t>Articolul 8  alin</w:t>
            </w:r>
            <w:r w:rsidR="00A134EB">
              <w:rPr>
                <w:rFonts w:ascii="Times New Roman" w:eastAsia="Times New Roman" w:hAnsi="Times New Roman" w:cs="Times New Roman"/>
                <w:b/>
                <w:sz w:val="24"/>
                <w:szCs w:val="24"/>
                <w:lang w:val="ro-RO"/>
              </w:rPr>
              <w:t>eatul</w:t>
            </w:r>
            <w:r w:rsidRPr="00441764">
              <w:rPr>
                <w:rFonts w:ascii="Times New Roman" w:eastAsia="Times New Roman" w:hAnsi="Times New Roman" w:cs="Times New Roman"/>
                <w:b/>
                <w:sz w:val="24"/>
                <w:szCs w:val="24"/>
                <w:lang w:val="ro-RO"/>
              </w:rPr>
              <w:t xml:space="preserve"> </w:t>
            </w:r>
            <w:r w:rsidRPr="00441764">
              <w:rPr>
                <w:rFonts w:ascii="Times New Roman" w:eastAsia="Arial Unicode MS" w:hAnsi="Times New Roman" w:cs="Times New Roman"/>
                <w:b/>
                <w:color w:val="444444"/>
                <w:sz w:val="24"/>
                <w:szCs w:val="24"/>
                <w:lang w:val="ro-RO" w:eastAsia="en-GB"/>
              </w:rPr>
              <w:t>(2)  paragraful 2</w:t>
            </w:r>
          </w:p>
          <w:p w:rsidR="003B2E32" w:rsidRPr="00441764" w:rsidRDefault="003B2E32" w:rsidP="00441764">
            <w:pPr>
              <w:ind w:firstLine="787"/>
              <w:jc w:val="both"/>
              <w:rPr>
                <w:rFonts w:ascii="Times New Roman" w:eastAsia="Arial Unicode MS" w:hAnsi="Times New Roman" w:cs="Times New Roman"/>
                <w:sz w:val="24"/>
                <w:szCs w:val="24"/>
                <w:lang w:val="ro-RO" w:eastAsia="en-GB"/>
              </w:rPr>
            </w:pPr>
            <w:r w:rsidRPr="00441764">
              <w:rPr>
                <w:rFonts w:ascii="Times New Roman" w:eastAsia="Arial Unicode MS" w:hAnsi="Times New Roman" w:cs="Times New Roman"/>
                <w:sz w:val="24"/>
                <w:szCs w:val="24"/>
                <w:lang w:val="ro-RO" w:eastAsia="en-GB"/>
              </w:rPr>
              <w:t>În acest context, ele încurajează și promovează acțiunile voluntare ale producătorilor și distribuitorilor, în conformitate cu obligațiile ce le revin în temeiul prezentei directive, în special capitolul III, inclusiv, acolo unde este cazul, prin realizarea unor coduri de bună practică.</w:t>
            </w:r>
          </w:p>
          <w:p w:rsidR="003B2E32" w:rsidRPr="00AA78DA" w:rsidRDefault="003B2E32" w:rsidP="00441764">
            <w:pPr>
              <w:ind w:right="132"/>
              <w:jc w:val="both"/>
              <w:rPr>
                <w:rFonts w:ascii="Times New Roman" w:eastAsia="Times New Roman" w:hAnsi="Times New Roman" w:cs="Times New Roman"/>
                <w:w w:val="105"/>
                <w:sz w:val="28"/>
                <w:szCs w:val="28"/>
                <w:lang w:val="ro-RO"/>
              </w:rPr>
            </w:pPr>
          </w:p>
        </w:tc>
      </w:tr>
    </w:tbl>
    <w:p w:rsidR="003B2E32" w:rsidRPr="00915228" w:rsidRDefault="003B2E32" w:rsidP="00441764">
      <w:pPr>
        <w:ind w:right="132"/>
        <w:jc w:val="both"/>
        <w:rPr>
          <w:rFonts w:ascii="Times New Roman" w:eastAsia="Times New Roman" w:hAnsi="Times New Roman" w:cs="Times New Roman"/>
          <w:w w:val="105"/>
          <w:sz w:val="16"/>
          <w:szCs w:val="16"/>
          <w:lang w:val="ro-RO"/>
        </w:rPr>
      </w:pPr>
    </w:p>
    <w:p w:rsidR="00EB4E9D" w:rsidRPr="00AA78DA" w:rsidRDefault="00494993" w:rsidP="00441764">
      <w:pPr>
        <w:ind w:right="132"/>
        <w:jc w:val="both"/>
        <w:rPr>
          <w:rFonts w:ascii="Times New Roman" w:eastAsia="Times New Roman" w:hAnsi="Times New Roman" w:cs="Times New Roman"/>
          <w:w w:val="105"/>
          <w:sz w:val="28"/>
          <w:szCs w:val="28"/>
          <w:lang w:val="ro-RO"/>
        </w:rPr>
      </w:pPr>
      <w:r w:rsidRPr="00AA78DA">
        <w:rPr>
          <w:rFonts w:ascii="Times New Roman" w:eastAsia="Times New Roman" w:hAnsi="Times New Roman" w:cs="Times New Roman"/>
          <w:w w:val="105"/>
          <w:sz w:val="28"/>
          <w:szCs w:val="28"/>
          <w:lang w:val="ro-RO"/>
        </w:rPr>
        <w:t xml:space="preserve">O astfel de cerință nu este prevăzută în </w:t>
      </w:r>
      <w:r w:rsidR="00E669B5" w:rsidRPr="00AA78DA">
        <w:rPr>
          <w:rFonts w:ascii="Times New Roman" w:eastAsia="Times New Roman" w:hAnsi="Times New Roman" w:cs="Times New Roman"/>
          <w:w w:val="105"/>
          <w:sz w:val="28"/>
          <w:szCs w:val="28"/>
          <w:lang w:val="ro-RO"/>
        </w:rPr>
        <w:t>R</w:t>
      </w:r>
      <w:r w:rsidRPr="00AA78DA">
        <w:rPr>
          <w:rFonts w:ascii="Times New Roman" w:eastAsia="Times New Roman" w:hAnsi="Times New Roman" w:cs="Times New Roman"/>
          <w:w w:val="105"/>
          <w:sz w:val="28"/>
          <w:szCs w:val="28"/>
          <w:lang w:val="ro-RO"/>
        </w:rPr>
        <w:t xml:space="preserve">egulament. Dat fiind faptul că această </w:t>
      </w:r>
      <w:r w:rsidRPr="00AA78DA">
        <w:rPr>
          <w:rFonts w:ascii="Times New Roman" w:eastAsia="Times New Roman" w:hAnsi="Times New Roman" w:cs="Times New Roman"/>
          <w:w w:val="105"/>
          <w:sz w:val="28"/>
          <w:szCs w:val="28"/>
          <w:lang w:val="ro-RO"/>
        </w:rPr>
        <w:lastRenderedPageBreak/>
        <w:t>cerință este o măsură mai specifică stabilită în temeiul DSGP, aceasta ar trebui să fie aplicată, în funcție de caz, și în domeniul bunurilor de consum armonizate.</w:t>
      </w:r>
    </w:p>
    <w:p w:rsidR="003F4082" w:rsidRPr="00AA78DA" w:rsidRDefault="003F4082" w:rsidP="00441764">
      <w:pPr>
        <w:ind w:right="132"/>
        <w:jc w:val="both"/>
        <w:rPr>
          <w:rFonts w:ascii="Times New Roman" w:eastAsia="Times New Roman" w:hAnsi="Times New Roman" w:cs="Times New Roman"/>
          <w:sz w:val="16"/>
          <w:szCs w:val="16"/>
          <w:lang w:val="ro-RO"/>
        </w:rPr>
      </w:pPr>
    </w:p>
    <w:p w:rsidR="00EB4E9D" w:rsidRPr="00441764" w:rsidRDefault="0074654C" w:rsidP="00441764">
      <w:pPr>
        <w:tabs>
          <w:tab w:val="left" w:pos="826"/>
        </w:tabs>
        <w:ind w:right="-7"/>
        <w:jc w:val="both"/>
        <w:rPr>
          <w:rFonts w:ascii="Times New Roman" w:eastAsia="Times New Roman" w:hAnsi="Times New Roman" w:cs="Times New Roman"/>
          <w:sz w:val="28"/>
          <w:szCs w:val="28"/>
          <w:lang w:val="ro-RO"/>
        </w:rPr>
      </w:pPr>
      <w:r w:rsidRPr="00AA78DA">
        <w:rPr>
          <w:rFonts w:ascii="Times New Roman" w:hAnsi="Times New Roman" w:cs="Times New Roman"/>
          <w:b/>
          <w:sz w:val="28"/>
          <w:szCs w:val="28"/>
          <w:lang w:val="ro-RO"/>
        </w:rPr>
        <w:t>2.2.7</w:t>
      </w:r>
      <w:r w:rsidRPr="00AA78DA">
        <w:rPr>
          <w:rFonts w:ascii="Times New Roman" w:hAnsi="Times New Roman" w:cs="Times New Roman"/>
          <w:sz w:val="28"/>
          <w:szCs w:val="28"/>
          <w:lang w:val="ro-RO"/>
        </w:rPr>
        <w:t xml:space="preserve"> </w:t>
      </w:r>
      <w:r w:rsidR="0071384F" w:rsidRPr="00441764">
        <w:rPr>
          <w:rFonts w:ascii="Times New Roman" w:eastAsia="Times New Roman" w:hAnsi="Times New Roman" w:cs="Times New Roman"/>
          <w:sz w:val="28"/>
          <w:szCs w:val="28"/>
          <w:lang w:val="ro-RO"/>
        </w:rPr>
        <w:t xml:space="preserve">Informarea consumatorilor cu privire la procedurile de reclamație, după  cum este prevăzut în articolul 9 alineatul (2) din DSGP </w:t>
      </w:r>
    </w:p>
    <w:p w:rsidR="00EB4E9D" w:rsidRPr="00AA78DA" w:rsidRDefault="00EB4E9D" w:rsidP="00441764">
      <w:pPr>
        <w:spacing w:before="15"/>
        <w:rPr>
          <w:rFonts w:ascii="Times New Roman" w:hAnsi="Times New Roman" w:cs="Times New Roman"/>
          <w:sz w:val="16"/>
          <w:szCs w:val="16"/>
          <w:lang w:val="ro-RO"/>
        </w:rPr>
      </w:pPr>
    </w:p>
    <w:p w:rsidR="00FA0A93" w:rsidRPr="00AA78DA" w:rsidRDefault="003F4082" w:rsidP="00441764">
      <w:pPr>
        <w:ind w:right="-7" w:firstLine="18"/>
        <w:jc w:val="both"/>
        <w:rPr>
          <w:rFonts w:ascii="Times New Roman" w:eastAsia="Times New Roman" w:hAnsi="Times New Roman" w:cs="Times New Roman"/>
          <w:w w:val="105"/>
          <w:sz w:val="28"/>
          <w:szCs w:val="28"/>
          <w:lang w:val="ro-RO"/>
        </w:rPr>
      </w:pPr>
      <w:r w:rsidRPr="00AA78DA">
        <w:rPr>
          <w:rFonts w:ascii="Times New Roman" w:eastAsia="Times New Roman" w:hAnsi="Times New Roman" w:cs="Times New Roman"/>
          <w:w w:val="105"/>
          <w:sz w:val="28"/>
          <w:szCs w:val="28"/>
          <w:lang w:val="ro-RO"/>
        </w:rPr>
        <w:t xml:space="preserve">Articolul 18 alineatul (2) din </w:t>
      </w:r>
      <w:r w:rsidR="00E669B5" w:rsidRPr="00AA78DA">
        <w:rPr>
          <w:rFonts w:ascii="Times New Roman" w:eastAsia="Times New Roman" w:hAnsi="Times New Roman" w:cs="Times New Roman"/>
          <w:w w:val="105"/>
          <w:sz w:val="28"/>
          <w:szCs w:val="28"/>
          <w:lang w:val="ro-RO"/>
        </w:rPr>
        <w:t>R</w:t>
      </w:r>
      <w:r w:rsidRPr="00AA78DA">
        <w:rPr>
          <w:rFonts w:ascii="Times New Roman" w:eastAsia="Times New Roman" w:hAnsi="Times New Roman" w:cs="Times New Roman"/>
          <w:w w:val="105"/>
          <w:sz w:val="28"/>
          <w:szCs w:val="28"/>
          <w:lang w:val="ro-RO"/>
        </w:rPr>
        <w:t xml:space="preserve">egulament prevede ca statele membre să stabilească procedurile de urmărire a plîngerilor sau a rapoartelor care privesc aspecte legate de riscurile care decurg în legătură cu produsele. </w:t>
      </w:r>
    </w:p>
    <w:p w:rsidR="00E750AC" w:rsidRPr="00AA78DA" w:rsidRDefault="00E750AC" w:rsidP="00441764">
      <w:pPr>
        <w:ind w:right="-7" w:firstLine="18"/>
        <w:jc w:val="both"/>
        <w:rPr>
          <w:rFonts w:ascii="Times New Roman" w:eastAsia="Times New Roman" w:hAnsi="Times New Roman" w:cs="Times New Roman"/>
          <w:w w:val="105"/>
          <w:sz w:val="16"/>
          <w:szCs w:val="16"/>
          <w:lang w:val="ro-RO"/>
        </w:rPr>
      </w:pPr>
    </w:p>
    <w:tbl>
      <w:tblPr>
        <w:tblStyle w:val="TableGrid"/>
        <w:tblW w:w="0" w:type="auto"/>
        <w:tblLook w:val="04A0" w:firstRow="1" w:lastRow="0" w:firstColumn="1" w:lastColumn="0" w:noHBand="0" w:noVBand="1"/>
      </w:tblPr>
      <w:tblGrid>
        <w:gridCol w:w="9343"/>
      </w:tblGrid>
      <w:tr w:rsidR="00E750AC" w:rsidRPr="00AA78DA" w:rsidTr="00615D54">
        <w:tc>
          <w:tcPr>
            <w:tcW w:w="9343" w:type="dxa"/>
            <w:shd w:val="clear" w:color="auto" w:fill="F79646" w:themeFill="accent6"/>
          </w:tcPr>
          <w:p w:rsidR="00E750AC" w:rsidRPr="00441764" w:rsidRDefault="00E750AC" w:rsidP="00441764">
            <w:pPr>
              <w:ind w:right="-7" w:firstLine="697"/>
              <w:jc w:val="both"/>
              <w:rPr>
                <w:rFonts w:ascii="Times New Roman" w:eastAsia="Times New Roman" w:hAnsi="Times New Roman" w:cs="Times New Roman"/>
                <w:w w:val="105"/>
                <w:sz w:val="24"/>
                <w:szCs w:val="24"/>
                <w:lang w:val="ro-RO"/>
              </w:rPr>
            </w:pPr>
            <w:r w:rsidRPr="00441764">
              <w:rPr>
                <w:rFonts w:ascii="Times New Roman" w:hAnsi="Times New Roman" w:cs="Times New Roman"/>
                <w:b/>
                <w:sz w:val="24"/>
                <w:szCs w:val="24"/>
                <w:lang w:val="ro-RO" w:eastAsia="en-GB"/>
              </w:rPr>
              <w:t>Articolul 1</w:t>
            </w:r>
            <w:r w:rsidR="00686E6E" w:rsidRPr="00441764">
              <w:rPr>
                <w:rFonts w:ascii="Times New Roman" w:hAnsi="Times New Roman" w:cs="Times New Roman"/>
                <w:b/>
                <w:sz w:val="24"/>
                <w:szCs w:val="24"/>
                <w:lang w:val="ro-RO" w:eastAsia="en-GB"/>
              </w:rPr>
              <w:t>8</w:t>
            </w:r>
            <w:r w:rsidRPr="00441764">
              <w:rPr>
                <w:rFonts w:ascii="Times New Roman" w:hAnsi="Times New Roman" w:cs="Times New Roman"/>
                <w:b/>
                <w:sz w:val="24"/>
                <w:szCs w:val="24"/>
                <w:lang w:val="ro-RO" w:eastAsia="en-GB"/>
              </w:rPr>
              <w:t>.</w:t>
            </w:r>
            <w:r w:rsidRPr="00441764">
              <w:rPr>
                <w:rFonts w:ascii="Times New Roman" w:hAnsi="Times New Roman" w:cs="Times New Roman"/>
                <w:b/>
                <w:i/>
                <w:sz w:val="24"/>
                <w:szCs w:val="24"/>
                <w:lang w:val="ro-RO" w:eastAsia="en-GB"/>
              </w:rPr>
              <w:t xml:space="preserve"> </w:t>
            </w:r>
            <w:r w:rsidRPr="00441764">
              <w:rPr>
                <w:rFonts w:ascii="Times New Roman" w:eastAsia="Times New Roman" w:hAnsi="Times New Roman" w:cs="Times New Roman"/>
                <w:b/>
                <w:bCs/>
                <w:i/>
                <w:sz w:val="24"/>
                <w:szCs w:val="24"/>
                <w:lang w:val="ro-RO" w:eastAsia="en-GB"/>
              </w:rPr>
              <w:t>Obligațiile statelor membre cu privire la organizare</w:t>
            </w:r>
          </w:p>
          <w:p w:rsidR="00E750AC" w:rsidRPr="00441764" w:rsidRDefault="00E750AC" w:rsidP="00441764">
            <w:pPr>
              <w:ind w:right="-7" w:firstLine="697"/>
              <w:jc w:val="both"/>
              <w:rPr>
                <w:rFonts w:ascii="Times New Roman" w:eastAsia="Times New Roman" w:hAnsi="Times New Roman" w:cs="Times New Roman"/>
                <w:sz w:val="24"/>
                <w:szCs w:val="24"/>
                <w:lang w:val="ro-RO" w:eastAsia="en-GB"/>
              </w:rPr>
            </w:pPr>
            <w:r w:rsidRPr="00441764">
              <w:rPr>
                <w:rFonts w:ascii="Times New Roman" w:eastAsia="Times New Roman" w:hAnsi="Times New Roman" w:cs="Times New Roman"/>
                <w:sz w:val="24"/>
                <w:szCs w:val="24"/>
                <w:lang w:val="ro-RO" w:eastAsia="en-GB"/>
              </w:rPr>
              <w:t>(2) Statele membre stabilesc proceduri adecvate pentru:</w:t>
            </w:r>
          </w:p>
          <w:p w:rsidR="00E750AC" w:rsidRPr="00AA78DA" w:rsidRDefault="00E750AC" w:rsidP="00441764">
            <w:pPr>
              <w:ind w:right="-7" w:firstLine="697"/>
              <w:jc w:val="both"/>
              <w:rPr>
                <w:rFonts w:ascii="Times New Roman" w:eastAsia="Times New Roman" w:hAnsi="Times New Roman" w:cs="Times New Roman"/>
                <w:w w:val="105"/>
                <w:sz w:val="28"/>
                <w:szCs w:val="28"/>
                <w:lang w:val="ro-RO"/>
              </w:rPr>
            </w:pPr>
            <w:r w:rsidRPr="00441764">
              <w:rPr>
                <w:rFonts w:ascii="Times New Roman" w:eastAsia="Times New Roman" w:hAnsi="Times New Roman" w:cs="Times New Roman"/>
                <w:sz w:val="24"/>
                <w:szCs w:val="24"/>
                <w:lang w:val="ro-RO" w:eastAsia="en-GB"/>
              </w:rPr>
              <w:t>(a) urmărirea reclamațiilor sau a rapoartelor care privesc aspecte legate de riscurile care decurg în legătură cu produse care fac obiectul legislației comunitare de armonizare;</w:t>
            </w:r>
          </w:p>
        </w:tc>
      </w:tr>
    </w:tbl>
    <w:p w:rsidR="00B341F9" w:rsidRPr="00AA78DA" w:rsidRDefault="00B341F9" w:rsidP="00441764">
      <w:pPr>
        <w:ind w:right="-7" w:firstLine="18"/>
        <w:jc w:val="both"/>
        <w:rPr>
          <w:rFonts w:ascii="Times New Roman" w:eastAsia="Times New Roman" w:hAnsi="Times New Roman" w:cs="Times New Roman"/>
          <w:w w:val="105"/>
          <w:sz w:val="16"/>
          <w:szCs w:val="16"/>
          <w:lang w:val="ro-RO"/>
        </w:rPr>
      </w:pPr>
    </w:p>
    <w:p w:rsidR="00B341F9" w:rsidRDefault="003F4082" w:rsidP="00441764">
      <w:pPr>
        <w:ind w:right="-7" w:firstLine="18"/>
        <w:jc w:val="both"/>
        <w:rPr>
          <w:rFonts w:ascii="Times New Roman" w:eastAsia="Times New Roman" w:hAnsi="Times New Roman" w:cs="Times New Roman"/>
          <w:w w:val="105"/>
          <w:sz w:val="16"/>
          <w:szCs w:val="16"/>
          <w:lang w:val="ro-RO"/>
        </w:rPr>
      </w:pPr>
      <w:r w:rsidRPr="00AA78DA">
        <w:rPr>
          <w:rFonts w:ascii="Times New Roman" w:eastAsia="Times New Roman" w:hAnsi="Times New Roman" w:cs="Times New Roman"/>
          <w:w w:val="105"/>
          <w:sz w:val="28"/>
          <w:szCs w:val="28"/>
          <w:lang w:val="ro-RO"/>
        </w:rPr>
        <w:t xml:space="preserve">Articolul 9 alineatul (2) din DSGP conține o cerință similară care permite consumatorilor și altor părți interesate să depună plîngeri cu privire la siguranța produselor. </w:t>
      </w:r>
    </w:p>
    <w:p w:rsidR="00915228" w:rsidRPr="00915228" w:rsidRDefault="00915228" w:rsidP="00441764">
      <w:pPr>
        <w:ind w:right="-7" w:firstLine="18"/>
        <w:jc w:val="both"/>
        <w:rPr>
          <w:rFonts w:ascii="Times New Roman" w:eastAsia="Times New Roman" w:hAnsi="Times New Roman" w:cs="Times New Roman"/>
          <w:w w:val="105"/>
          <w:sz w:val="16"/>
          <w:szCs w:val="16"/>
          <w:lang w:val="ro-RO"/>
        </w:rPr>
      </w:pPr>
    </w:p>
    <w:tbl>
      <w:tblPr>
        <w:tblStyle w:val="TableGrid"/>
        <w:tblW w:w="9445" w:type="dxa"/>
        <w:tblLook w:val="04A0" w:firstRow="1" w:lastRow="0" w:firstColumn="1" w:lastColumn="0" w:noHBand="0" w:noVBand="1"/>
      </w:tblPr>
      <w:tblGrid>
        <w:gridCol w:w="9445"/>
      </w:tblGrid>
      <w:tr w:rsidR="00B341F9" w:rsidRPr="00AA78DA" w:rsidTr="00615D54">
        <w:tc>
          <w:tcPr>
            <w:tcW w:w="9445" w:type="dxa"/>
            <w:shd w:val="clear" w:color="auto" w:fill="E5DFEC" w:themeFill="accent4" w:themeFillTint="33"/>
          </w:tcPr>
          <w:p w:rsidR="00B341F9" w:rsidRPr="00441764" w:rsidRDefault="00B341F9" w:rsidP="00441764">
            <w:pPr>
              <w:ind w:right="-7" w:firstLine="697"/>
              <w:jc w:val="both"/>
              <w:rPr>
                <w:rFonts w:ascii="Times New Roman" w:eastAsia="Times New Roman" w:hAnsi="Times New Roman" w:cs="Times New Roman"/>
                <w:b/>
                <w:w w:val="105"/>
                <w:sz w:val="24"/>
                <w:szCs w:val="24"/>
                <w:lang w:val="ro-RO"/>
              </w:rPr>
            </w:pPr>
            <w:r w:rsidRPr="00441764">
              <w:rPr>
                <w:rFonts w:ascii="Times New Roman" w:eastAsia="Times New Roman" w:hAnsi="Times New Roman" w:cs="Times New Roman"/>
                <w:b/>
                <w:w w:val="105"/>
                <w:sz w:val="24"/>
                <w:szCs w:val="24"/>
                <w:lang w:val="ro-RO"/>
              </w:rPr>
              <w:t>Articolul 9</w:t>
            </w:r>
            <w:r w:rsidRPr="00441764">
              <w:rPr>
                <w:rFonts w:ascii="Times New Roman" w:eastAsia="Times New Roman" w:hAnsi="Times New Roman" w:cs="Times New Roman"/>
                <w:w w:val="105"/>
                <w:sz w:val="24"/>
                <w:szCs w:val="24"/>
                <w:lang w:val="ro-RO"/>
              </w:rPr>
              <w:t xml:space="preserve"> </w:t>
            </w:r>
            <w:r w:rsidRPr="00441764">
              <w:rPr>
                <w:rFonts w:ascii="Times New Roman" w:eastAsia="Times New Roman" w:hAnsi="Times New Roman" w:cs="Times New Roman"/>
                <w:b/>
                <w:w w:val="105"/>
                <w:sz w:val="24"/>
                <w:szCs w:val="24"/>
                <w:lang w:val="ro-RO"/>
              </w:rPr>
              <w:t>alineatul (2)</w:t>
            </w:r>
          </w:p>
          <w:p w:rsidR="00B341F9" w:rsidRPr="00AA78DA" w:rsidRDefault="00B341F9" w:rsidP="00441764">
            <w:pPr>
              <w:ind w:right="-7" w:firstLine="697"/>
              <w:jc w:val="both"/>
              <w:rPr>
                <w:rFonts w:ascii="Times New Roman" w:eastAsia="Times New Roman" w:hAnsi="Times New Roman" w:cs="Times New Roman"/>
                <w:w w:val="105"/>
                <w:sz w:val="28"/>
                <w:szCs w:val="28"/>
                <w:lang w:val="ro-RO"/>
              </w:rPr>
            </w:pPr>
            <w:r w:rsidRPr="00441764">
              <w:rPr>
                <w:rFonts w:ascii="Times New Roman" w:eastAsia="Times New Roman" w:hAnsi="Times New Roman" w:cs="Times New Roman"/>
                <w:w w:val="105"/>
                <w:sz w:val="24"/>
                <w:szCs w:val="24"/>
                <w:lang w:val="ro-RO"/>
              </w:rPr>
              <w:t>(</w:t>
            </w:r>
            <w:r w:rsidRPr="00441764">
              <w:rPr>
                <w:rFonts w:ascii="Times New Roman" w:eastAsia="Arial Unicode MS" w:hAnsi="Times New Roman" w:cs="Times New Roman"/>
                <w:sz w:val="24"/>
                <w:szCs w:val="24"/>
                <w:lang w:val="ro-RO" w:eastAsia="en-GB"/>
              </w:rPr>
              <w:t>2) Statele membre iau măsuri în așa fel încât consumatorilor și altor părți interesate să li se dea ocazia să înainteze reclamații autorităților competente în privința siguranței produselor și a activităților de supraveghere și control, iar aceste reclamații să fie urmărite în mod adecvat. Statele membre informează în mod activ consumatorii și alte părți interesate în privința procedurilor stabilite în acest scop.</w:t>
            </w:r>
          </w:p>
        </w:tc>
      </w:tr>
    </w:tbl>
    <w:p w:rsidR="00B341F9" w:rsidRPr="00AA78DA" w:rsidRDefault="00B341F9" w:rsidP="00441764">
      <w:pPr>
        <w:ind w:right="-7" w:firstLine="18"/>
        <w:jc w:val="both"/>
        <w:rPr>
          <w:rFonts w:ascii="Times New Roman" w:eastAsia="Times New Roman" w:hAnsi="Times New Roman" w:cs="Times New Roman"/>
          <w:w w:val="105"/>
          <w:sz w:val="16"/>
          <w:szCs w:val="16"/>
          <w:lang w:val="ro-RO"/>
        </w:rPr>
      </w:pPr>
    </w:p>
    <w:p w:rsidR="0071384F" w:rsidRPr="00AA78DA" w:rsidRDefault="003F4082" w:rsidP="00441764">
      <w:pPr>
        <w:ind w:right="-7" w:firstLine="18"/>
        <w:jc w:val="both"/>
        <w:rPr>
          <w:rFonts w:ascii="Times New Roman" w:eastAsia="Times New Roman" w:hAnsi="Times New Roman" w:cs="Times New Roman"/>
          <w:w w:val="105"/>
          <w:sz w:val="28"/>
          <w:szCs w:val="28"/>
          <w:lang w:val="ro-RO"/>
        </w:rPr>
      </w:pPr>
      <w:r w:rsidRPr="00AA78DA">
        <w:rPr>
          <w:rFonts w:ascii="Times New Roman" w:eastAsia="Times New Roman" w:hAnsi="Times New Roman" w:cs="Times New Roman"/>
          <w:w w:val="105"/>
          <w:sz w:val="28"/>
          <w:szCs w:val="28"/>
          <w:lang w:val="ro-RO"/>
        </w:rPr>
        <w:t>În plus, aceasta obligă autoritățile să informeze în mod activ consumatorii și părțile interesate cu privire la procedurile stabilite în scopul respectiv. Această obligație de a „</w:t>
      </w:r>
      <w:r w:rsidRPr="00AA78DA">
        <w:rPr>
          <w:rFonts w:ascii="Times New Roman" w:eastAsia="Times New Roman" w:hAnsi="Times New Roman" w:cs="Times New Roman"/>
          <w:i/>
          <w:w w:val="105"/>
          <w:sz w:val="28"/>
          <w:szCs w:val="28"/>
          <w:lang w:val="ro-RO"/>
        </w:rPr>
        <w:t>informa în mod activ consumatorii și părțile interesate în privința procedurilor stabilite în acest scop</w:t>
      </w:r>
      <w:r w:rsidRPr="00AA78DA">
        <w:rPr>
          <w:rFonts w:ascii="Times New Roman" w:eastAsia="Times New Roman" w:hAnsi="Times New Roman" w:cs="Times New Roman"/>
          <w:w w:val="105"/>
          <w:sz w:val="28"/>
          <w:szCs w:val="28"/>
          <w:lang w:val="ro-RO"/>
        </w:rPr>
        <w:t xml:space="preserve">” trece dincolo de </w:t>
      </w:r>
      <w:r w:rsidR="00E669B5" w:rsidRPr="00AA78DA">
        <w:rPr>
          <w:rFonts w:ascii="Times New Roman" w:eastAsia="Times New Roman" w:hAnsi="Times New Roman" w:cs="Times New Roman"/>
          <w:w w:val="105"/>
          <w:sz w:val="28"/>
          <w:szCs w:val="28"/>
          <w:lang w:val="ro-RO"/>
        </w:rPr>
        <w:t>R</w:t>
      </w:r>
      <w:r w:rsidRPr="00AA78DA">
        <w:rPr>
          <w:rFonts w:ascii="Times New Roman" w:eastAsia="Times New Roman" w:hAnsi="Times New Roman" w:cs="Times New Roman"/>
          <w:w w:val="105"/>
          <w:sz w:val="28"/>
          <w:szCs w:val="28"/>
          <w:lang w:val="ro-RO"/>
        </w:rPr>
        <w:t>egulament și, prin urmare, reprezintă o măsură specifică a DSGP care ar trebui să fie aplicată în domeniul produselor de consum armonizate, în plus față de articolul 18 alineatul (2) din Regulament.</w:t>
      </w:r>
    </w:p>
    <w:p w:rsidR="00EB4E9D" w:rsidRPr="00AA78DA" w:rsidRDefault="00EB4E9D" w:rsidP="00441764">
      <w:pPr>
        <w:spacing w:before="13"/>
        <w:rPr>
          <w:rFonts w:ascii="Times New Roman" w:hAnsi="Times New Roman" w:cs="Times New Roman"/>
          <w:sz w:val="16"/>
          <w:szCs w:val="16"/>
          <w:lang w:val="ro-RO"/>
        </w:rPr>
      </w:pPr>
    </w:p>
    <w:p w:rsidR="00754864" w:rsidRPr="00AA78DA" w:rsidRDefault="0074654C" w:rsidP="00441764">
      <w:pPr>
        <w:tabs>
          <w:tab w:val="left" w:pos="841"/>
        </w:tabs>
        <w:ind w:right="-7"/>
        <w:jc w:val="both"/>
        <w:rPr>
          <w:rFonts w:ascii="Times New Roman" w:eastAsia="Times New Roman" w:hAnsi="Times New Roman" w:cs="Times New Roman"/>
          <w:sz w:val="28"/>
          <w:szCs w:val="28"/>
          <w:lang w:val="ro-RO"/>
        </w:rPr>
      </w:pPr>
      <w:r w:rsidRPr="00AA78DA">
        <w:rPr>
          <w:rFonts w:ascii="Times New Roman" w:hAnsi="Times New Roman" w:cs="Times New Roman"/>
          <w:b/>
          <w:sz w:val="28"/>
          <w:szCs w:val="28"/>
          <w:lang w:val="ro-RO"/>
        </w:rPr>
        <w:t>2.2.8</w:t>
      </w:r>
      <w:r w:rsidRPr="00AA78DA">
        <w:rPr>
          <w:rFonts w:ascii="Times New Roman" w:hAnsi="Times New Roman" w:cs="Times New Roman"/>
          <w:sz w:val="28"/>
          <w:szCs w:val="28"/>
          <w:lang w:val="ro-RO"/>
        </w:rPr>
        <w:t xml:space="preserve"> </w:t>
      </w:r>
      <w:r w:rsidR="00754864" w:rsidRPr="00441764">
        <w:rPr>
          <w:rFonts w:ascii="Times New Roman" w:eastAsia="Times New Roman" w:hAnsi="Times New Roman" w:cs="Times New Roman"/>
          <w:sz w:val="28"/>
          <w:szCs w:val="28"/>
          <w:lang w:val="ro-RO"/>
        </w:rPr>
        <w:t>Informarea consumatorilor cu privire la produsele care prezintă riscuri în conformitate cu articolul 16 alineatul (1) din DSGP</w:t>
      </w:r>
      <w:r w:rsidR="00754864" w:rsidRPr="00AA78DA">
        <w:rPr>
          <w:rFonts w:ascii="Times New Roman" w:eastAsia="Times New Roman" w:hAnsi="Times New Roman" w:cs="Times New Roman"/>
          <w:i/>
          <w:sz w:val="28"/>
          <w:szCs w:val="28"/>
          <w:lang w:val="ro-RO"/>
        </w:rPr>
        <w:t xml:space="preserve"> </w:t>
      </w:r>
    </w:p>
    <w:p w:rsidR="00EB4E9D" w:rsidRPr="00AA78DA" w:rsidRDefault="00EB4E9D" w:rsidP="00441764">
      <w:pPr>
        <w:spacing w:before="4"/>
        <w:rPr>
          <w:rFonts w:ascii="Times New Roman" w:hAnsi="Times New Roman" w:cs="Times New Roman"/>
          <w:sz w:val="16"/>
          <w:szCs w:val="16"/>
          <w:lang w:val="ro-RO"/>
        </w:rPr>
      </w:pPr>
    </w:p>
    <w:p w:rsidR="00B341F9" w:rsidRPr="00AA78DA" w:rsidRDefault="006F6D31" w:rsidP="00441764">
      <w:pPr>
        <w:ind w:right="-7"/>
        <w:jc w:val="both"/>
        <w:rPr>
          <w:rFonts w:ascii="Times New Roman" w:eastAsia="Times New Roman" w:hAnsi="Times New Roman" w:cs="Times New Roman"/>
          <w:w w:val="105"/>
          <w:sz w:val="16"/>
          <w:szCs w:val="16"/>
          <w:lang w:val="ro-RO"/>
        </w:rPr>
      </w:pPr>
      <w:r w:rsidRPr="00AA78DA">
        <w:rPr>
          <w:rFonts w:ascii="Times New Roman" w:eastAsia="Times New Roman" w:hAnsi="Times New Roman" w:cs="Times New Roman"/>
          <w:w w:val="105"/>
          <w:sz w:val="28"/>
          <w:szCs w:val="28"/>
          <w:lang w:val="ro-RO"/>
        </w:rPr>
        <w:t xml:space="preserve">Articolul 19 alineatul (5) din Regulament prevede că informațiile trebuie să fie făcute publice în măsura în care este necesar în vederea protejării intereselor utilizatorilor din cadrul Comunității. </w:t>
      </w:r>
    </w:p>
    <w:p w:rsidR="00615D54" w:rsidRPr="00AA78DA" w:rsidRDefault="00615D54" w:rsidP="00441764">
      <w:pPr>
        <w:ind w:right="-7"/>
        <w:jc w:val="both"/>
        <w:rPr>
          <w:rFonts w:ascii="Times New Roman" w:eastAsia="Times New Roman" w:hAnsi="Times New Roman" w:cs="Times New Roman"/>
          <w:w w:val="105"/>
          <w:sz w:val="16"/>
          <w:szCs w:val="16"/>
          <w:lang w:val="ro-RO"/>
        </w:rPr>
      </w:pPr>
    </w:p>
    <w:tbl>
      <w:tblPr>
        <w:tblStyle w:val="TableGrid"/>
        <w:tblW w:w="9445" w:type="dxa"/>
        <w:tblLook w:val="04A0" w:firstRow="1" w:lastRow="0" w:firstColumn="1" w:lastColumn="0" w:noHBand="0" w:noVBand="1"/>
      </w:tblPr>
      <w:tblGrid>
        <w:gridCol w:w="9445"/>
      </w:tblGrid>
      <w:tr w:rsidR="00B341F9" w:rsidRPr="00AA78DA" w:rsidTr="00615D54">
        <w:tc>
          <w:tcPr>
            <w:tcW w:w="9445" w:type="dxa"/>
            <w:shd w:val="clear" w:color="auto" w:fill="F79646" w:themeFill="accent6"/>
          </w:tcPr>
          <w:p w:rsidR="00615D54" w:rsidRPr="003E395D" w:rsidRDefault="00615D54" w:rsidP="00441764">
            <w:pPr>
              <w:ind w:right="-7" w:firstLine="697"/>
              <w:jc w:val="both"/>
              <w:rPr>
                <w:rFonts w:ascii="Times New Roman" w:eastAsia="Times New Roman" w:hAnsi="Times New Roman" w:cs="Times New Roman"/>
                <w:w w:val="105"/>
                <w:sz w:val="24"/>
                <w:szCs w:val="24"/>
                <w:lang w:val="ro-RO"/>
              </w:rPr>
            </w:pPr>
            <w:r w:rsidRPr="003E395D">
              <w:rPr>
                <w:rFonts w:ascii="Times New Roman" w:hAnsi="Times New Roman" w:cs="Times New Roman"/>
                <w:b/>
                <w:sz w:val="24"/>
                <w:szCs w:val="24"/>
                <w:lang w:val="ro-RO" w:eastAsia="en-GB"/>
              </w:rPr>
              <w:t>Articolul 1</w:t>
            </w:r>
            <w:r w:rsidR="00686E6E" w:rsidRPr="003E395D">
              <w:rPr>
                <w:rFonts w:ascii="Times New Roman" w:hAnsi="Times New Roman" w:cs="Times New Roman"/>
                <w:b/>
                <w:sz w:val="24"/>
                <w:szCs w:val="24"/>
                <w:lang w:val="ro-RO" w:eastAsia="en-GB"/>
              </w:rPr>
              <w:t>8</w:t>
            </w:r>
            <w:r w:rsidRPr="003E395D">
              <w:rPr>
                <w:rFonts w:ascii="Times New Roman" w:hAnsi="Times New Roman" w:cs="Times New Roman"/>
                <w:b/>
                <w:sz w:val="24"/>
                <w:szCs w:val="24"/>
                <w:lang w:val="ro-RO" w:eastAsia="en-GB"/>
              </w:rPr>
              <w:t xml:space="preserve">. </w:t>
            </w:r>
            <w:r w:rsidRPr="003E395D">
              <w:rPr>
                <w:rFonts w:ascii="Times New Roman" w:eastAsia="Times New Roman" w:hAnsi="Times New Roman" w:cs="Times New Roman"/>
                <w:b/>
                <w:bCs/>
                <w:sz w:val="24"/>
                <w:szCs w:val="24"/>
                <w:lang w:val="ro-RO" w:eastAsia="en-GB"/>
              </w:rPr>
              <w:t>Obligațiile statelor membre cu privire la organizare</w:t>
            </w:r>
          </w:p>
          <w:p w:rsidR="00B341F9" w:rsidRPr="00AA78DA" w:rsidRDefault="00615D54" w:rsidP="00441764">
            <w:pPr>
              <w:ind w:right="-7" w:firstLine="697"/>
              <w:jc w:val="both"/>
              <w:rPr>
                <w:rFonts w:ascii="Times New Roman" w:eastAsia="Times New Roman" w:hAnsi="Times New Roman" w:cs="Times New Roman"/>
                <w:i/>
                <w:w w:val="105"/>
                <w:sz w:val="28"/>
                <w:szCs w:val="28"/>
                <w:lang w:val="ro-RO"/>
              </w:rPr>
            </w:pPr>
            <w:r w:rsidRPr="003E395D">
              <w:rPr>
                <w:rFonts w:ascii="Times New Roman" w:eastAsia="Times New Roman" w:hAnsi="Times New Roman" w:cs="Times New Roman"/>
                <w:sz w:val="24"/>
                <w:szCs w:val="24"/>
                <w:lang w:val="ro-RO" w:eastAsia="en-GB"/>
              </w:rPr>
              <w:t>(5) Autoritățile de supraveghere a pieței respectă confidențialitatea, în cazurile în care acest lucru este necesar, pentru a proteja secretele comerciale sau datele cu caracter personal în conformitate cu legislația națională, cu condiția ca informațiile să fie făcute publice în temeiul prezentului regulament, în măsura în care este necesar în vederea protejării intereselor utilizatorilor din cadrul Comunității.</w:t>
            </w:r>
          </w:p>
        </w:tc>
      </w:tr>
    </w:tbl>
    <w:p w:rsidR="00B341F9" w:rsidRPr="00AA78DA" w:rsidRDefault="00B341F9" w:rsidP="00441764">
      <w:pPr>
        <w:ind w:right="-7"/>
        <w:jc w:val="both"/>
        <w:rPr>
          <w:rFonts w:ascii="Times New Roman" w:eastAsia="Times New Roman" w:hAnsi="Times New Roman" w:cs="Times New Roman"/>
          <w:w w:val="105"/>
          <w:sz w:val="16"/>
          <w:szCs w:val="16"/>
          <w:lang w:val="ro-RO"/>
        </w:rPr>
      </w:pPr>
    </w:p>
    <w:p w:rsidR="00B667B2" w:rsidRPr="00AA78DA" w:rsidRDefault="006F6D31" w:rsidP="00441764">
      <w:pPr>
        <w:ind w:right="-7"/>
        <w:jc w:val="both"/>
        <w:rPr>
          <w:rFonts w:ascii="Times New Roman" w:eastAsia="Times New Roman" w:hAnsi="Times New Roman" w:cs="Times New Roman"/>
          <w:w w:val="105"/>
          <w:sz w:val="16"/>
          <w:szCs w:val="16"/>
          <w:lang w:val="ro-RO"/>
        </w:rPr>
      </w:pPr>
      <w:r w:rsidRPr="00AA78DA">
        <w:rPr>
          <w:rFonts w:ascii="Times New Roman" w:eastAsia="Times New Roman" w:hAnsi="Times New Roman" w:cs="Times New Roman"/>
          <w:w w:val="105"/>
          <w:sz w:val="28"/>
          <w:szCs w:val="28"/>
          <w:lang w:val="ro-RO"/>
        </w:rPr>
        <w:t>Articolul 16 alineatul (1) din DSGP stabilește același principiu.</w:t>
      </w:r>
    </w:p>
    <w:p w:rsidR="00B341F9" w:rsidRPr="00AA78DA" w:rsidRDefault="006F6D31" w:rsidP="00441764">
      <w:pPr>
        <w:ind w:right="-7"/>
        <w:jc w:val="both"/>
        <w:rPr>
          <w:rFonts w:ascii="Times New Roman" w:eastAsia="Times New Roman" w:hAnsi="Times New Roman" w:cs="Times New Roman"/>
          <w:w w:val="105"/>
          <w:sz w:val="16"/>
          <w:szCs w:val="16"/>
          <w:lang w:val="ro-RO"/>
        </w:rPr>
      </w:pPr>
      <w:r w:rsidRPr="00AA78DA">
        <w:rPr>
          <w:rFonts w:ascii="Times New Roman" w:eastAsia="Times New Roman" w:hAnsi="Times New Roman" w:cs="Times New Roman"/>
          <w:w w:val="105"/>
          <w:sz w:val="28"/>
          <w:szCs w:val="28"/>
          <w:lang w:val="ro-RO"/>
        </w:rPr>
        <w:t xml:space="preserve"> </w:t>
      </w:r>
    </w:p>
    <w:tbl>
      <w:tblPr>
        <w:tblStyle w:val="TableGrid"/>
        <w:tblW w:w="0" w:type="auto"/>
        <w:tblLook w:val="04A0" w:firstRow="1" w:lastRow="0" w:firstColumn="1" w:lastColumn="0" w:noHBand="0" w:noVBand="1"/>
      </w:tblPr>
      <w:tblGrid>
        <w:gridCol w:w="9343"/>
      </w:tblGrid>
      <w:tr w:rsidR="00B341F9" w:rsidRPr="00AA78DA" w:rsidTr="00B341F9">
        <w:tc>
          <w:tcPr>
            <w:tcW w:w="9343" w:type="dxa"/>
            <w:shd w:val="clear" w:color="auto" w:fill="E5DFEC" w:themeFill="accent4" w:themeFillTint="33"/>
          </w:tcPr>
          <w:p w:rsidR="00615D54" w:rsidRPr="00441764" w:rsidRDefault="00615D54" w:rsidP="00441764">
            <w:pPr>
              <w:ind w:right="-7" w:firstLine="697"/>
              <w:jc w:val="both"/>
              <w:rPr>
                <w:rFonts w:ascii="Arial Unicode MS" w:eastAsia="Arial Unicode MS" w:hAnsi="Arial Unicode MS" w:cs="Arial Unicode MS"/>
                <w:color w:val="444444"/>
                <w:sz w:val="24"/>
                <w:szCs w:val="24"/>
                <w:lang w:val="ro-RO" w:eastAsia="en-GB"/>
              </w:rPr>
            </w:pPr>
            <w:r w:rsidRPr="00441764">
              <w:rPr>
                <w:rFonts w:ascii="Times New Roman" w:eastAsia="Times New Roman" w:hAnsi="Times New Roman" w:cs="Times New Roman"/>
                <w:b/>
                <w:sz w:val="24"/>
                <w:szCs w:val="24"/>
                <w:lang w:val="ro-RO"/>
              </w:rPr>
              <w:lastRenderedPageBreak/>
              <w:t xml:space="preserve">Articolului </w:t>
            </w:r>
            <w:r w:rsidR="00B667B2" w:rsidRPr="00441764">
              <w:rPr>
                <w:rFonts w:ascii="Times New Roman" w:eastAsia="Times New Roman" w:hAnsi="Times New Roman" w:cs="Times New Roman"/>
                <w:b/>
                <w:sz w:val="24"/>
                <w:szCs w:val="24"/>
                <w:lang w:val="ro-RO"/>
              </w:rPr>
              <w:t>16</w:t>
            </w:r>
            <w:r w:rsidRPr="00441764">
              <w:rPr>
                <w:rFonts w:ascii="Times New Roman" w:eastAsia="Times New Roman" w:hAnsi="Times New Roman" w:cs="Times New Roman"/>
                <w:b/>
                <w:sz w:val="24"/>
                <w:szCs w:val="24"/>
                <w:lang w:val="ro-RO"/>
              </w:rPr>
              <w:t xml:space="preserve"> alineatul (1)</w:t>
            </w:r>
            <w:r w:rsidRPr="00441764">
              <w:rPr>
                <w:rFonts w:ascii="Arial Unicode MS" w:eastAsia="Arial Unicode MS" w:hAnsi="Arial Unicode MS" w:cs="Arial Unicode MS"/>
                <w:color w:val="444444"/>
                <w:sz w:val="24"/>
                <w:szCs w:val="24"/>
                <w:lang w:val="ro-RO" w:eastAsia="en-GB"/>
              </w:rPr>
              <w:t xml:space="preserve"> </w:t>
            </w:r>
          </w:p>
          <w:p w:rsidR="00B341F9" w:rsidRPr="00AA78DA" w:rsidRDefault="00615D54" w:rsidP="00441764">
            <w:pPr>
              <w:ind w:right="-7" w:firstLine="697"/>
              <w:jc w:val="both"/>
              <w:rPr>
                <w:rFonts w:ascii="Times New Roman" w:eastAsia="Times New Roman" w:hAnsi="Times New Roman" w:cs="Times New Roman"/>
                <w:w w:val="105"/>
                <w:sz w:val="28"/>
                <w:szCs w:val="28"/>
                <w:lang w:val="ro-RO"/>
              </w:rPr>
            </w:pPr>
            <w:r w:rsidRPr="00441764">
              <w:rPr>
                <w:rFonts w:ascii="Times New Roman" w:eastAsia="Arial Unicode MS" w:hAnsi="Times New Roman" w:cs="Times New Roman"/>
                <w:sz w:val="24"/>
                <w:szCs w:val="24"/>
                <w:lang w:val="ro-RO" w:eastAsia="en-GB"/>
              </w:rPr>
              <w:t>(1)</w:t>
            </w:r>
            <w:r w:rsidR="00B667B2" w:rsidRPr="00441764">
              <w:rPr>
                <w:rFonts w:ascii="Times New Roman" w:eastAsia="Arial Unicode MS" w:hAnsi="Times New Roman" w:cs="Times New Roman"/>
                <w:sz w:val="24"/>
                <w:szCs w:val="24"/>
                <w:lang w:val="ro-RO" w:eastAsia="en-GB"/>
              </w:rPr>
              <w:t xml:space="preserve"> </w:t>
            </w:r>
            <w:r w:rsidRPr="00441764">
              <w:rPr>
                <w:rFonts w:ascii="Times New Roman" w:eastAsia="Arial Unicode MS" w:hAnsi="Times New Roman" w:cs="Times New Roman"/>
                <w:sz w:val="24"/>
                <w:szCs w:val="24"/>
                <w:lang w:val="ro-RO" w:eastAsia="en-GB"/>
              </w:rPr>
              <w:t>Informațiile disponibile autorităților din statele membre</w:t>
            </w:r>
            <w:r w:rsidR="00B667B2" w:rsidRPr="00441764">
              <w:rPr>
                <w:rFonts w:ascii="Times New Roman" w:eastAsia="Arial Unicode MS" w:hAnsi="Times New Roman" w:cs="Times New Roman"/>
                <w:sz w:val="24"/>
                <w:szCs w:val="24"/>
                <w:lang w:val="ro-RO" w:eastAsia="en-GB"/>
              </w:rPr>
              <w:t xml:space="preserve"> sau Comisiei cu privire la riscurile prezentate de produse la adresa sănătății și siguranței consumatorilor sunt în general disponibile publicului, în conformitate cu cerințele de transparență și fără a aduce atingere restricțiilor necesare pentru activitățile de monitorizare și investigare. Publicul are acces în special la informațiile referitoare la identificarea produselor, natura riscului și măsurile luate.</w:t>
            </w:r>
          </w:p>
        </w:tc>
      </w:tr>
    </w:tbl>
    <w:p w:rsidR="00615D54" w:rsidRPr="00AA78DA" w:rsidRDefault="00615D54" w:rsidP="00441764">
      <w:pPr>
        <w:ind w:right="-7"/>
        <w:jc w:val="both"/>
        <w:rPr>
          <w:rFonts w:ascii="Times New Roman" w:eastAsia="Times New Roman" w:hAnsi="Times New Roman" w:cs="Times New Roman"/>
          <w:w w:val="105"/>
          <w:sz w:val="16"/>
          <w:szCs w:val="16"/>
          <w:lang w:val="ro-RO"/>
        </w:rPr>
      </w:pPr>
    </w:p>
    <w:p w:rsidR="00B341F9" w:rsidRPr="00AA78DA" w:rsidRDefault="00615D54" w:rsidP="00441764">
      <w:pPr>
        <w:ind w:right="-7"/>
        <w:jc w:val="both"/>
        <w:rPr>
          <w:rFonts w:ascii="Times New Roman" w:eastAsia="Times New Roman" w:hAnsi="Times New Roman" w:cs="Times New Roman"/>
          <w:w w:val="105"/>
          <w:sz w:val="28"/>
          <w:szCs w:val="28"/>
          <w:lang w:val="ro-RO"/>
        </w:rPr>
      </w:pPr>
      <w:r w:rsidRPr="00AA78DA">
        <w:rPr>
          <w:rFonts w:ascii="Times New Roman" w:eastAsia="Times New Roman" w:hAnsi="Times New Roman" w:cs="Times New Roman"/>
          <w:w w:val="105"/>
          <w:sz w:val="28"/>
          <w:szCs w:val="28"/>
          <w:lang w:val="ro-RO"/>
        </w:rPr>
        <w:t>Cu toate acestea, articolul 16 alineatul (1) primul paragraf din DSGP specifică în plus faptul că publicul are acces la informațiile referitoare la identificarea produselor, natura riscului și măsurile luate.</w:t>
      </w:r>
    </w:p>
    <w:p w:rsidR="00615D54" w:rsidRPr="00AA78DA" w:rsidRDefault="00615D54" w:rsidP="00441764">
      <w:pPr>
        <w:ind w:right="-7"/>
        <w:jc w:val="both"/>
        <w:rPr>
          <w:rFonts w:ascii="Times New Roman" w:eastAsia="Times New Roman" w:hAnsi="Times New Roman" w:cs="Times New Roman"/>
          <w:w w:val="105"/>
          <w:sz w:val="16"/>
          <w:szCs w:val="16"/>
          <w:lang w:val="ro-RO"/>
        </w:rPr>
      </w:pPr>
    </w:p>
    <w:p w:rsidR="00EB4E9D" w:rsidRPr="00AA78DA" w:rsidRDefault="006F6D31" w:rsidP="00441764">
      <w:pPr>
        <w:ind w:right="-7"/>
        <w:jc w:val="both"/>
        <w:rPr>
          <w:rFonts w:ascii="Times New Roman" w:eastAsia="Times New Roman" w:hAnsi="Times New Roman" w:cs="Times New Roman"/>
          <w:w w:val="105"/>
          <w:sz w:val="28"/>
          <w:szCs w:val="28"/>
          <w:lang w:val="ro-RO"/>
        </w:rPr>
      </w:pPr>
      <w:r w:rsidRPr="00AA78DA">
        <w:rPr>
          <w:rFonts w:ascii="Times New Roman" w:eastAsia="Times New Roman" w:hAnsi="Times New Roman" w:cs="Times New Roman"/>
          <w:w w:val="105"/>
          <w:sz w:val="28"/>
          <w:szCs w:val="28"/>
          <w:lang w:val="ro-RO"/>
        </w:rPr>
        <w:t xml:space="preserve">Dat fiind faptul că această obligație de a permite publicului să aibă acces la informațiile privind identificarea produselor, natura riscului și măsurile luate nu este precizată în Regulament, aceasta reprezintă o măsură a DSGP mai specifică care ar trebui să fie aplicată în domeniul bunurilor de consum armonizate, în plus față de articolul 19 alineatul (5) din </w:t>
      </w:r>
      <w:r w:rsidR="00C84CBF" w:rsidRPr="00AA78DA">
        <w:rPr>
          <w:rFonts w:ascii="Times New Roman" w:eastAsia="Times New Roman" w:hAnsi="Times New Roman" w:cs="Times New Roman"/>
          <w:w w:val="105"/>
          <w:sz w:val="28"/>
          <w:szCs w:val="28"/>
          <w:lang w:val="ro-RO"/>
        </w:rPr>
        <w:t>R</w:t>
      </w:r>
      <w:r w:rsidRPr="00AA78DA">
        <w:rPr>
          <w:rFonts w:ascii="Times New Roman" w:eastAsia="Times New Roman" w:hAnsi="Times New Roman" w:cs="Times New Roman"/>
          <w:w w:val="105"/>
          <w:sz w:val="28"/>
          <w:szCs w:val="28"/>
          <w:lang w:val="ro-RO"/>
        </w:rPr>
        <w:t>egulament.</w:t>
      </w:r>
    </w:p>
    <w:p w:rsidR="00C84CBF" w:rsidRPr="00AA78DA" w:rsidRDefault="00C84CBF" w:rsidP="00441764">
      <w:pPr>
        <w:ind w:right="-7"/>
        <w:jc w:val="both"/>
        <w:rPr>
          <w:rFonts w:ascii="Times New Roman" w:eastAsia="Times New Roman" w:hAnsi="Times New Roman" w:cs="Times New Roman"/>
          <w:sz w:val="16"/>
          <w:szCs w:val="16"/>
          <w:lang w:val="ro-RO"/>
        </w:rPr>
      </w:pPr>
    </w:p>
    <w:p w:rsidR="00A36C3F" w:rsidRPr="00441764" w:rsidRDefault="0074654C" w:rsidP="00441764">
      <w:pPr>
        <w:tabs>
          <w:tab w:val="left" w:pos="868"/>
        </w:tabs>
        <w:ind w:right="-7"/>
        <w:jc w:val="both"/>
        <w:rPr>
          <w:rFonts w:ascii="Times New Roman" w:eastAsia="Times New Roman" w:hAnsi="Times New Roman" w:cs="Times New Roman"/>
          <w:sz w:val="16"/>
          <w:szCs w:val="16"/>
          <w:lang w:val="ro-RO"/>
        </w:rPr>
      </w:pPr>
      <w:r w:rsidRPr="00AA78DA">
        <w:rPr>
          <w:rFonts w:ascii="Times New Roman" w:hAnsi="Times New Roman" w:cs="Times New Roman"/>
          <w:b/>
          <w:sz w:val="28"/>
          <w:szCs w:val="28"/>
          <w:lang w:val="ro-RO"/>
        </w:rPr>
        <w:t>2.2.9</w:t>
      </w:r>
      <w:r w:rsidRPr="00AA78DA">
        <w:rPr>
          <w:rFonts w:ascii="Times New Roman" w:hAnsi="Times New Roman" w:cs="Times New Roman"/>
          <w:sz w:val="28"/>
          <w:szCs w:val="28"/>
          <w:lang w:val="ro-RO"/>
        </w:rPr>
        <w:t xml:space="preserve"> </w:t>
      </w:r>
      <w:r w:rsidR="00C84CBF" w:rsidRPr="00441764">
        <w:rPr>
          <w:rFonts w:ascii="Times New Roman" w:eastAsia="Times New Roman" w:hAnsi="Times New Roman" w:cs="Times New Roman"/>
          <w:sz w:val="28"/>
          <w:szCs w:val="28"/>
          <w:lang w:val="ro-RO"/>
        </w:rPr>
        <w:t>Principiile generale ale legislației Uniunii Europene și buna gestionare prevăzute la articolul 8 alineatul (2) și la articolul 18 din DSGP</w:t>
      </w:r>
    </w:p>
    <w:p w:rsidR="00C84CBF" w:rsidRPr="00AA78DA" w:rsidRDefault="00C84CBF" w:rsidP="00441764">
      <w:pPr>
        <w:tabs>
          <w:tab w:val="left" w:pos="868"/>
        </w:tabs>
        <w:ind w:right="-7"/>
        <w:jc w:val="both"/>
        <w:rPr>
          <w:rFonts w:ascii="Times New Roman" w:eastAsia="Times New Roman" w:hAnsi="Times New Roman" w:cs="Times New Roman"/>
          <w:sz w:val="16"/>
          <w:szCs w:val="16"/>
          <w:lang w:val="ro-RO"/>
        </w:rPr>
      </w:pPr>
    </w:p>
    <w:p w:rsidR="00B667B2" w:rsidRPr="00AA78DA" w:rsidRDefault="00C84CBF" w:rsidP="00441764">
      <w:pPr>
        <w:jc w:val="both"/>
        <w:rPr>
          <w:rFonts w:ascii="Times New Roman" w:eastAsia="Times New Roman" w:hAnsi="Times New Roman"/>
          <w:sz w:val="28"/>
          <w:szCs w:val="28"/>
          <w:lang w:val="ro-RO"/>
        </w:rPr>
      </w:pPr>
      <w:r w:rsidRPr="00AA78DA">
        <w:rPr>
          <w:rFonts w:ascii="Times New Roman" w:eastAsia="Times New Roman" w:hAnsi="Times New Roman"/>
          <w:sz w:val="28"/>
          <w:szCs w:val="28"/>
          <w:lang w:val="ro-RO"/>
        </w:rPr>
        <w:t>Articolul 8 alineatul (2) și articolul 18 din DSGP fac trimitere la un set de principii care trebuie respectate c</w:t>
      </w:r>
      <w:r w:rsidR="0030498C" w:rsidRPr="00AA78DA">
        <w:rPr>
          <w:rFonts w:ascii="Times New Roman" w:eastAsia="Times New Roman" w:hAnsi="Times New Roman"/>
          <w:sz w:val="28"/>
          <w:szCs w:val="28"/>
          <w:lang w:val="ro-RO"/>
        </w:rPr>
        <w:t>î</w:t>
      </w:r>
      <w:r w:rsidRPr="00AA78DA">
        <w:rPr>
          <w:rFonts w:ascii="Times New Roman" w:eastAsia="Times New Roman" w:hAnsi="Times New Roman"/>
          <w:sz w:val="28"/>
          <w:szCs w:val="28"/>
          <w:lang w:val="ro-RO"/>
        </w:rPr>
        <w:t xml:space="preserve">nd se realizează activitățile de supraveghere a pieței. </w:t>
      </w:r>
    </w:p>
    <w:tbl>
      <w:tblPr>
        <w:tblStyle w:val="TableGrid"/>
        <w:tblW w:w="0" w:type="auto"/>
        <w:tblLook w:val="04A0" w:firstRow="1" w:lastRow="0" w:firstColumn="1" w:lastColumn="0" w:noHBand="0" w:noVBand="1"/>
      </w:tblPr>
      <w:tblGrid>
        <w:gridCol w:w="9343"/>
      </w:tblGrid>
      <w:tr w:rsidR="00B667B2" w:rsidRPr="00441764" w:rsidTr="00B667B2">
        <w:tc>
          <w:tcPr>
            <w:tcW w:w="9343" w:type="dxa"/>
            <w:shd w:val="clear" w:color="auto" w:fill="E5DFEC" w:themeFill="accent4" w:themeFillTint="33"/>
          </w:tcPr>
          <w:p w:rsidR="000839F2" w:rsidRPr="00441764" w:rsidRDefault="00B667B2" w:rsidP="00441764">
            <w:pPr>
              <w:ind w:firstLine="787"/>
              <w:jc w:val="both"/>
              <w:rPr>
                <w:rFonts w:ascii="Times New Roman" w:eastAsia="Times New Roman" w:hAnsi="Times New Roman" w:cs="Times New Roman"/>
                <w:b/>
                <w:sz w:val="24"/>
                <w:szCs w:val="24"/>
                <w:lang w:val="ro-RO"/>
              </w:rPr>
            </w:pPr>
            <w:r w:rsidRPr="00441764">
              <w:rPr>
                <w:rFonts w:ascii="Times New Roman" w:eastAsia="Times New Roman" w:hAnsi="Times New Roman" w:cs="Times New Roman"/>
                <w:b/>
                <w:sz w:val="24"/>
                <w:szCs w:val="24"/>
                <w:lang w:val="ro-RO"/>
              </w:rPr>
              <w:t xml:space="preserve">Articolul 8 </w:t>
            </w:r>
          </w:p>
          <w:p w:rsidR="000839F2" w:rsidRPr="00441764" w:rsidRDefault="000839F2" w:rsidP="00441764">
            <w:pPr>
              <w:ind w:firstLine="787"/>
              <w:jc w:val="both"/>
              <w:rPr>
                <w:rFonts w:ascii="Times New Roman" w:eastAsia="Arial Unicode MS" w:hAnsi="Times New Roman" w:cs="Times New Roman"/>
                <w:color w:val="444444"/>
                <w:sz w:val="24"/>
                <w:szCs w:val="24"/>
                <w:lang w:val="ro-RO" w:eastAsia="en-GB"/>
              </w:rPr>
            </w:pPr>
            <w:r w:rsidRPr="00441764">
              <w:rPr>
                <w:rFonts w:ascii="Times New Roman" w:eastAsia="Arial Unicode MS" w:hAnsi="Times New Roman" w:cs="Times New Roman"/>
                <w:color w:val="444444"/>
                <w:sz w:val="24"/>
                <w:szCs w:val="24"/>
                <w:lang w:val="ro-RO" w:eastAsia="en-GB"/>
              </w:rPr>
              <w:t>(2)</w:t>
            </w:r>
            <w:r w:rsidR="00F81C0F">
              <w:rPr>
                <w:rFonts w:ascii="Times New Roman" w:eastAsia="Arial Unicode MS" w:hAnsi="Times New Roman" w:cs="Times New Roman"/>
                <w:color w:val="444444"/>
                <w:sz w:val="24"/>
                <w:szCs w:val="24"/>
                <w:lang w:val="ro-RO" w:eastAsia="en-GB"/>
              </w:rPr>
              <w:t xml:space="preserve"> </w:t>
            </w:r>
            <w:r w:rsidRPr="00441764">
              <w:rPr>
                <w:rFonts w:ascii="Times New Roman" w:eastAsia="Arial Unicode MS" w:hAnsi="Times New Roman" w:cs="Times New Roman"/>
                <w:color w:val="444444"/>
                <w:sz w:val="24"/>
                <w:szCs w:val="24"/>
                <w:lang w:val="ro-RO" w:eastAsia="en-GB"/>
              </w:rPr>
              <w:t>Atunci când autoritățile competente din statele membre iau măsuri cum sunt cele menționate la alineatul (1), în special cele prevăzute la literele (d)-(f), acestea acționează în conformitate cu tratatul, în special cu articolele 28 și 30, astfel încât să aplice măsurile în mod proporțional cu gravitatea riscului și ținând seama în mod adecvat de principiul precauției.</w:t>
            </w:r>
          </w:p>
          <w:p w:rsidR="000839F2" w:rsidRPr="00441764" w:rsidRDefault="000839F2" w:rsidP="00441764">
            <w:pPr>
              <w:ind w:firstLine="787"/>
              <w:jc w:val="both"/>
              <w:rPr>
                <w:rFonts w:ascii="Times New Roman" w:eastAsia="Arial Unicode MS" w:hAnsi="Times New Roman" w:cs="Times New Roman"/>
                <w:color w:val="444444"/>
                <w:sz w:val="24"/>
                <w:szCs w:val="24"/>
                <w:lang w:val="ro-RO" w:eastAsia="en-GB"/>
              </w:rPr>
            </w:pPr>
            <w:r w:rsidRPr="00441764">
              <w:rPr>
                <w:rFonts w:ascii="Times New Roman" w:eastAsia="Arial Unicode MS" w:hAnsi="Times New Roman" w:cs="Times New Roman"/>
                <w:color w:val="444444"/>
                <w:sz w:val="24"/>
                <w:szCs w:val="24"/>
                <w:lang w:val="ro-RO" w:eastAsia="en-GB"/>
              </w:rPr>
              <w:t>În acest context, ele încurajează și promovează acțiunile voluntare</w:t>
            </w:r>
            <w:r w:rsidR="008444D7" w:rsidRPr="00441764">
              <w:rPr>
                <w:rFonts w:ascii="Times New Roman" w:eastAsia="Arial Unicode MS" w:hAnsi="Times New Roman" w:cs="Times New Roman"/>
                <w:color w:val="444444"/>
                <w:sz w:val="24"/>
                <w:szCs w:val="24"/>
                <w:lang w:val="ro-RO" w:eastAsia="en-GB"/>
              </w:rPr>
              <w:t xml:space="preserve"> ale producătorilor și distribuitorilor, în conformitate cu obligațiile ce le revin în temeiul prezentei directive, în special capitolul III, inclusiv, acolo unde este cazul, prin realizarea unor coduri de bună practică.</w:t>
            </w:r>
          </w:p>
          <w:p w:rsidR="008444D7" w:rsidRPr="00441764" w:rsidRDefault="008444D7" w:rsidP="00441764">
            <w:pPr>
              <w:ind w:firstLine="787"/>
              <w:jc w:val="both"/>
              <w:rPr>
                <w:rFonts w:ascii="Times New Roman" w:eastAsia="Arial Unicode MS" w:hAnsi="Times New Roman" w:cs="Times New Roman"/>
                <w:color w:val="444444"/>
                <w:sz w:val="24"/>
                <w:szCs w:val="24"/>
                <w:lang w:val="ro-RO" w:eastAsia="en-GB"/>
              </w:rPr>
            </w:pPr>
            <w:r w:rsidRPr="00441764">
              <w:rPr>
                <w:rFonts w:ascii="Times New Roman" w:eastAsia="Arial Unicode MS" w:hAnsi="Times New Roman" w:cs="Times New Roman"/>
                <w:color w:val="444444"/>
                <w:sz w:val="24"/>
                <w:szCs w:val="24"/>
                <w:lang w:val="ro-RO" w:eastAsia="en-GB"/>
              </w:rPr>
              <w:t xml:space="preserve">Atunci când este necesar, ele organizează sau dau instrucțiuni pentru luarea măsurilor menționate la alineatul (1) litera (f) în cazul în care acțiunea întreprinsă de producători și distribuitori pentru îndeplinirea obligațiilor lor este nesatisfăcătoare sau insuficientă. </w:t>
            </w:r>
            <w:r w:rsidRPr="00441764">
              <w:rPr>
                <w:rFonts w:ascii="Times New Roman" w:eastAsia="Arial Unicode MS" w:hAnsi="Times New Roman" w:cs="Times New Roman"/>
                <w:b/>
                <w:color w:val="444444"/>
                <w:sz w:val="24"/>
                <w:szCs w:val="24"/>
                <w:lang w:val="ro-RO" w:eastAsia="en-GB"/>
              </w:rPr>
              <w:t>Returnarea are loc în ultimă instanță</w:t>
            </w:r>
            <w:r w:rsidRPr="00441764">
              <w:rPr>
                <w:rFonts w:ascii="Times New Roman" w:eastAsia="Arial Unicode MS" w:hAnsi="Times New Roman" w:cs="Times New Roman"/>
                <w:color w:val="444444"/>
                <w:sz w:val="24"/>
                <w:szCs w:val="24"/>
                <w:lang w:val="ro-RO" w:eastAsia="en-GB"/>
              </w:rPr>
              <w:t>. Ea poate fi efectuată în cadrul codurilor de bună practică în domeniu din statul membru respectiv, acolo unde aceste coduri există.</w:t>
            </w:r>
          </w:p>
          <w:p w:rsidR="008444D7" w:rsidRPr="00441764" w:rsidRDefault="008444D7" w:rsidP="00441764">
            <w:pPr>
              <w:ind w:firstLine="787"/>
              <w:jc w:val="both"/>
              <w:rPr>
                <w:rFonts w:ascii="Times New Roman" w:eastAsia="Times New Roman" w:hAnsi="Times New Roman" w:cs="Times New Roman"/>
                <w:b/>
                <w:sz w:val="24"/>
                <w:szCs w:val="24"/>
                <w:lang w:val="ro-RO"/>
              </w:rPr>
            </w:pPr>
          </w:p>
          <w:p w:rsidR="008444D7" w:rsidRPr="00441764" w:rsidRDefault="008444D7" w:rsidP="00441764">
            <w:pPr>
              <w:ind w:firstLine="787"/>
              <w:jc w:val="both"/>
              <w:rPr>
                <w:rFonts w:ascii="Times New Roman" w:eastAsia="Times New Roman" w:hAnsi="Times New Roman"/>
                <w:sz w:val="24"/>
                <w:szCs w:val="24"/>
                <w:lang w:val="ro-RO"/>
              </w:rPr>
            </w:pPr>
          </w:p>
        </w:tc>
      </w:tr>
    </w:tbl>
    <w:p w:rsidR="00441764" w:rsidRPr="00441764" w:rsidRDefault="008444D7" w:rsidP="00441764">
      <w:pPr>
        <w:shd w:val="clear" w:color="auto" w:fill="FFFFFF"/>
        <w:spacing w:before="120"/>
        <w:jc w:val="both"/>
        <w:rPr>
          <w:rFonts w:ascii="Times New Roman" w:eastAsia="Times New Roman" w:hAnsi="Times New Roman" w:cs="Times New Roman"/>
          <w:sz w:val="24"/>
          <w:szCs w:val="24"/>
          <w:lang w:val="ro-RO"/>
        </w:rPr>
      </w:pPr>
      <w:r w:rsidRPr="00441764">
        <w:rPr>
          <w:rFonts w:ascii="Arial Unicode MS" w:eastAsia="Arial Unicode MS" w:hAnsi="Arial Unicode MS" w:cs="Arial Unicode MS"/>
          <w:color w:val="444444"/>
          <w:sz w:val="24"/>
          <w:szCs w:val="24"/>
          <w:lang w:val="ro-RO" w:eastAsia="en-GB"/>
        </w:rPr>
        <w:t xml:space="preserve"> </w:t>
      </w:r>
    </w:p>
    <w:tbl>
      <w:tblPr>
        <w:tblStyle w:val="TableGrid"/>
        <w:tblW w:w="0" w:type="auto"/>
        <w:tblLook w:val="04A0" w:firstRow="1" w:lastRow="0" w:firstColumn="1" w:lastColumn="0" w:noHBand="0" w:noVBand="1"/>
      </w:tblPr>
      <w:tblGrid>
        <w:gridCol w:w="9343"/>
      </w:tblGrid>
      <w:tr w:rsidR="00441764" w:rsidRPr="00441764" w:rsidTr="00441764">
        <w:tc>
          <w:tcPr>
            <w:tcW w:w="9343" w:type="dxa"/>
            <w:shd w:val="clear" w:color="auto" w:fill="E5DFEC" w:themeFill="accent4" w:themeFillTint="33"/>
          </w:tcPr>
          <w:p w:rsidR="00441764" w:rsidRPr="00441764" w:rsidRDefault="00441764" w:rsidP="00441764">
            <w:pPr>
              <w:ind w:firstLine="787"/>
              <w:jc w:val="both"/>
              <w:rPr>
                <w:rFonts w:ascii="Times New Roman" w:eastAsia="Times New Roman" w:hAnsi="Times New Roman"/>
                <w:b/>
                <w:sz w:val="24"/>
                <w:szCs w:val="24"/>
                <w:lang w:val="ro-RO"/>
              </w:rPr>
            </w:pPr>
            <w:r w:rsidRPr="00441764">
              <w:rPr>
                <w:rFonts w:ascii="Times New Roman" w:eastAsia="Times New Roman" w:hAnsi="Times New Roman"/>
                <w:b/>
                <w:sz w:val="24"/>
                <w:szCs w:val="24"/>
                <w:lang w:val="ro-RO"/>
              </w:rPr>
              <w:t>Articolul 18</w:t>
            </w:r>
          </w:p>
          <w:p w:rsidR="00441764" w:rsidRPr="00441764" w:rsidRDefault="00441764" w:rsidP="00441764">
            <w:pPr>
              <w:ind w:firstLine="787"/>
              <w:jc w:val="both"/>
              <w:rPr>
                <w:rFonts w:ascii="Times New Roman" w:eastAsia="Arial Unicode MS" w:hAnsi="Times New Roman" w:cs="Times New Roman"/>
                <w:color w:val="444444"/>
                <w:sz w:val="24"/>
                <w:szCs w:val="24"/>
                <w:lang w:val="ro-RO" w:eastAsia="en-GB"/>
              </w:rPr>
            </w:pPr>
            <w:r w:rsidRPr="00441764">
              <w:rPr>
                <w:rFonts w:ascii="Times New Roman" w:eastAsia="Arial Unicode MS" w:hAnsi="Times New Roman" w:cs="Times New Roman"/>
                <w:color w:val="444444"/>
                <w:sz w:val="24"/>
                <w:szCs w:val="24"/>
                <w:lang w:val="ro-RO" w:eastAsia="en-GB"/>
              </w:rPr>
              <w:t>(1)</w:t>
            </w:r>
            <w:r w:rsidR="00F81C0F">
              <w:rPr>
                <w:rFonts w:ascii="Times New Roman" w:eastAsia="Arial Unicode MS" w:hAnsi="Times New Roman" w:cs="Times New Roman"/>
                <w:color w:val="444444"/>
                <w:sz w:val="24"/>
                <w:szCs w:val="24"/>
                <w:lang w:val="ro-RO" w:eastAsia="en-GB"/>
              </w:rPr>
              <w:t xml:space="preserve"> </w:t>
            </w:r>
            <w:r w:rsidRPr="00441764">
              <w:rPr>
                <w:rFonts w:ascii="Times New Roman" w:eastAsia="Arial Unicode MS" w:hAnsi="Times New Roman" w:cs="Times New Roman"/>
                <w:color w:val="444444"/>
                <w:sz w:val="24"/>
                <w:szCs w:val="24"/>
                <w:lang w:val="ro-RO" w:eastAsia="en-GB"/>
              </w:rPr>
              <w:t>Orice măsură adoptată în conformitate cu prezenta directivă și implicând restricții privind introducerea pe piață a unui produs sau solicitând retragerea sau returnarea sa trebuie să menționeze motivele adecvate pe care se bazează. Ea este notificată cât mai curând posibil părții respective și sunt indicate măsurile de remediere disponibile în cadrul dispozițiilor în vigoare din statele membre respective și limitele de timp care se aplică acestor măsuri de remediere.</w:t>
            </w:r>
          </w:p>
          <w:p w:rsidR="00441764" w:rsidRPr="00441764" w:rsidRDefault="00441764" w:rsidP="00441764">
            <w:pPr>
              <w:ind w:firstLine="787"/>
              <w:jc w:val="both"/>
              <w:rPr>
                <w:rFonts w:ascii="Times New Roman" w:eastAsia="Arial Unicode MS" w:hAnsi="Times New Roman" w:cs="Times New Roman"/>
                <w:color w:val="444444"/>
                <w:sz w:val="24"/>
                <w:szCs w:val="24"/>
                <w:lang w:val="ro-RO" w:eastAsia="en-GB"/>
              </w:rPr>
            </w:pPr>
            <w:r w:rsidRPr="00441764">
              <w:rPr>
                <w:rFonts w:ascii="Times New Roman" w:eastAsia="Arial Unicode MS" w:hAnsi="Times New Roman" w:cs="Times New Roman"/>
                <w:color w:val="444444"/>
                <w:sz w:val="24"/>
                <w:szCs w:val="24"/>
                <w:lang w:val="ro-RO" w:eastAsia="en-GB"/>
              </w:rPr>
              <w:t>Ori de câte ori este posibil, părților respective li se oferă ocazia de a-și transmite punctele de vedere înainte de adoptarea măsurii. În cazul în care aceasta nu s-a făcut în avans din cauza urgenței măsurilor care trebuiau luate, li se va oferi această posibilitate în timp util, după aplicarea măsurii.</w:t>
            </w:r>
          </w:p>
          <w:p w:rsidR="00441764" w:rsidRPr="00441764" w:rsidRDefault="00441764" w:rsidP="00441764">
            <w:pPr>
              <w:ind w:firstLine="787"/>
              <w:jc w:val="both"/>
              <w:rPr>
                <w:rFonts w:ascii="Times New Roman" w:eastAsia="Arial Unicode MS" w:hAnsi="Times New Roman" w:cs="Times New Roman"/>
                <w:color w:val="444444"/>
                <w:sz w:val="24"/>
                <w:szCs w:val="24"/>
                <w:lang w:val="ro-RO" w:eastAsia="en-GB"/>
              </w:rPr>
            </w:pPr>
            <w:r w:rsidRPr="00441764">
              <w:rPr>
                <w:rFonts w:ascii="Times New Roman" w:eastAsia="Arial Unicode MS" w:hAnsi="Times New Roman" w:cs="Times New Roman"/>
                <w:color w:val="444444"/>
                <w:sz w:val="24"/>
                <w:szCs w:val="24"/>
                <w:lang w:val="ro-RO" w:eastAsia="en-GB"/>
              </w:rPr>
              <w:t>Măsurile privind retragerea sau returnarea unui produs iau în considerare necesitatea încurajării distribuitorilor, utilizatorilor și consumatorilor de a contribui la aplicarea acestor măsuri.</w:t>
            </w:r>
          </w:p>
          <w:p w:rsidR="00441764" w:rsidRPr="00441764" w:rsidRDefault="00441764" w:rsidP="00441764">
            <w:pPr>
              <w:ind w:firstLine="787"/>
              <w:jc w:val="both"/>
              <w:rPr>
                <w:rFonts w:ascii="Times New Roman" w:eastAsia="Arial Unicode MS" w:hAnsi="Times New Roman" w:cs="Times New Roman"/>
                <w:color w:val="444444"/>
                <w:sz w:val="24"/>
                <w:szCs w:val="24"/>
                <w:lang w:val="ro-RO" w:eastAsia="en-GB"/>
              </w:rPr>
            </w:pPr>
            <w:r w:rsidRPr="00441764">
              <w:rPr>
                <w:rFonts w:ascii="Times New Roman" w:eastAsia="Arial Unicode MS" w:hAnsi="Times New Roman" w:cs="Times New Roman"/>
                <w:color w:val="444444"/>
                <w:sz w:val="24"/>
                <w:szCs w:val="24"/>
                <w:lang w:val="ro-RO" w:eastAsia="en-GB"/>
              </w:rPr>
              <w:lastRenderedPageBreak/>
              <w:t>(2)  Statele membre se asigură că orice măsură luată de autoritățile competente implicând restricții cu privire la introducerea unui produs pe piață sau solicitând retragerea sau returnarea sa poate fi contestată în fața instanțelor competente.</w:t>
            </w:r>
          </w:p>
          <w:p w:rsidR="00441764" w:rsidRPr="00441764" w:rsidRDefault="00441764" w:rsidP="00441764">
            <w:pPr>
              <w:ind w:firstLine="787"/>
              <w:jc w:val="both"/>
              <w:rPr>
                <w:rFonts w:ascii="Times New Roman" w:eastAsia="Arial Unicode MS" w:hAnsi="Times New Roman" w:cs="Times New Roman"/>
                <w:color w:val="444444"/>
                <w:sz w:val="24"/>
                <w:szCs w:val="24"/>
                <w:lang w:val="ro-RO" w:eastAsia="en-GB"/>
              </w:rPr>
            </w:pPr>
            <w:r w:rsidRPr="00441764">
              <w:rPr>
                <w:rFonts w:ascii="Times New Roman" w:eastAsia="Arial Unicode MS" w:hAnsi="Times New Roman" w:cs="Times New Roman"/>
                <w:color w:val="444444"/>
                <w:sz w:val="24"/>
                <w:szCs w:val="24"/>
                <w:lang w:val="ro-RO" w:eastAsia="en-GB"/>
              </w:rPr>
              <w:t>(3)  Orice decizie luată în temeiul prezentei directive și implicând restricții asupra introducerii pe piață a unui produs sau solicitând retragerea sau returnarea sa se ia fără a aduce atingere evaluării responsabilității părții respective, luând în considerare legislația penală națională care se aplică în cazul respectiv.</w:t>
            </w:r>
          </w:p>
          <w:p w:rsidR="00441764" w:rsidRPr="00441764" w:rsidRDefault="00441764" w:rsidP="00441764">
            <w:pPr>
              <w:spacing w:before="120"/>
              <w:jc w:val="both"/>
              <w:rPr>
                <w:rFonts w:ascii="Times New Roman" w:eastAsia="Times New Roman" w:hAnsi="Times New Roman" w:cs="Times New Roman"/>
                <w:sz w:val="24"/>
                <w:szCs w:val="24"/>
                <w:lang w:val="ro-RO"/>
              </w:rPr>
            </w:pPr>
          </w:p>
        </w:tc>
      </w:tr>
    </w:tbl>
    <w:p w:rsidR="00B667B2" w:rsidRPr="00AA78DA" w:rsidRDefault="00B667B2" w:rsidP="00441764">
      <w:pPr>
        <w:shd w:val="clear" w:color="auto" w:fill="FFFFFF"/>
        <w:spacing w:before="120"/>
        <w:jc w:val="both"/>
        <w:rPr>
          <w:rFonts w:ascii="Times New Roman" w:eastAsia="Times New Roman" w:hAnsi="Times New Roman" w:cs="Times New Roman"/>
          <w:sz w:val="16"/>
          <w:szCs w:val="16"/>
          <w:lang w:val="ro-RO"/>
        </w:rPr>
      </w:pPr>
    </w:p>
    <w:p w:rsidR="00686E6E" w:rsidRPr="00AA78DA" w:rsidRDefault="00C84CBF" w:rsidP="00441764">
      <w:pPr>
        <w:jc w:val="both"/>
        <w:rPr>
          <w:rFonts w:ascii="Times New Roman" w:eastAsia="Times New Roman" w:hAnsi="Times New Roman"/>
          <w:sz w:val="16"/>
          <w:szCs w:val="16"/>
          <w:lang w:val="ro-RO"/>
        </w:rPr>
      </w:pPr>
      <w:r w:rsidRPr="00AA78DA">
        <w:rPr>
          <w:rFonts w:ascii="Times New Roman" w:eastAsia="Times New Roman" w:hAnsi="Times New Roman"/>
          <w:sz w:val="28"/>
          <w:szCs w:val="28"/>
          <w:lang w:val="ro-RO"/>
        </w:rPr>
        <w:t>Articolele 19 și 21 din Regulament prevăd dispoziții similare.</w:t>
      </w:r>
    </w:p>
    <w:p w:rsidR="00B667B2" w:rsidRPr="00441764" w:rsidRDefault="00C84CBF" w:rsidP="00441764">
      <w:pPr>
        <w:jc w:val="both"/>
        <w:rPr>
          <w:rFonts w:ascii="Times New Roman" w:eastAsia="Times New Roman" w:hAnsi="Times New Roman"/>
          <w:sz w:val="16"/>
          <w:szCs w:val="16"/>
          <w:lang w:val="ro-RO"/>
        </w:rPr>
      </w:pPr>
      <w:r w:rsidRPr="00AA78DA">
        <w:rPr>
          <w:rFonts w:ascii="Times New Roman" w:eastAsia="Times New Roman" w:hAnsi="Times New Roman"/>
          <w:sz w:val="28"/>
          <w:szCs w:val="28"/>
          <w:lang w:val="ro-RO"/>
        </w:rPr>
        <w:t xml:space="preserve"> </w:t>
      </w:r>
    </w:p>
    <w:tbl>
      <w:tblPr>
        <w:tblStyle w:val="TableGrid"/>
        <w:tblW w:w="0" w:type="auto"/>
        <w:tblLook w:val="04A0" w:firstRow="1" w:lastRow="0" w:firstColumn="1" w:lastColumn="0" w:noHBand="0" w:noVBand="1"/>
      </w:tblPr>
      <w:tblGrid>
        <w:gridCol w:w="9343"/>
      </w:tblGrid>
      <w:tr w:rsidR="00B667B2" w:rsidRPr="00441764" w:rsidTr="00B667B2">
        <w:tc>
          <w:tcPr>
            <w:tcW w:w="9343" w:type="dxa"/>
            <w:shd w:val="clear" w:color="auto" w:fill="F79646" w:themeFill="accent6"/>
          </w:tcPr>
          <w:p w:rsidR="00686E6E" w:rsidRPr="00441764" w:rsidRDefault="00686E6E" w:rsidP="00441764">
            <w:pPr>
              <w:pStyle w:val="BodyText"/>
              <w:ind w:left="0" w:right="-7" w:firstLine="697"/>
              <w:jc w:val="both"/>
              <w:rPr>
                <w:rFonts w:cs="Times New Roman"/>
                <w:b/>
                <w:lang w:val="ro-RO" w:eastAsia="en-GB"/>
              </w:rPr>
            </w:pPr>
            <w:r w:rsidRPr="00441764">
              <w:rPr>
                <w:rFonts w:cs="Times New Roman"/>
                <w:b/>
                <w:lang w:val="ro-RO" w:eastAsia="en-GB"/>
              </w:rPr>
              <w:t>Articolul 19. Masurile de supraveghere a pieței</w:t>
            </w:r>
          </w:p>
          <w:p w:rsidR="00686E6E" w:rsidRPr="00441764" w:rsidRDefault="00686E6E" w:rsidP="00441764">
            <w:pPr>
              <w:pStyle w:val="BodyText"/>
              <w:ind w:left="0" w:right="-7" w:firstLine="697"/>
              <w:jc w:val="both"/>
              <w:rPr>
                <w:rFonts w:cs="Times New Roman"/>
                <w:lang w:val="ro-RO" w:eastAsia="en-GB"/>
              </w:rPr>
            </w:pPr>
            <w:r w:rsidRPr="00441764">
              <w:rPr>
                <w:rFonts w:cs="Times New Roman"/>
                <w:lang w:val="ro-RO" w:eastAsia="en-GB"/>
              </w:rPr>
              <w:t>(1) Autoritățile de supraveghere a pieței verifică în mod corespunzător și la scară adecvată caracteristicile unui produs, prin verificări ale documentației, și, unde este cazul, efectuând verificări fizice și încercări de laborator pe baza unor eșantioane adecvate. În cadrul acestor acțiuni, autoritățile țin seama atât de principiile consacrate în materie de evaluare a riscului, cât și de reclamații și de alte informații.</w:t>
            </w:r>
          </w:p>
          <w:p w:rsidR="00686E6E" w:rsidRPr="00441764" w:rsidRDefault="00686E6E" w:rsidP="00441764">
            <w:pPr>
              <w:ind w:firstLine="697"/>
              <w:jc w:val="both"/>
              <w:rPr>
                <w:rFonts w:ascii="Times New Roman" w:eastAsia="Times New Roman" w:hAnsi="Times New Roman" w:cs="Times New Roman"/>
                <w:sz w:val="24"/>
                <w:szCs w:val="24"/>
                <w:lang w:val="ro-RO" w:eastAsia="en-GB"/>
              </w:rPr>
            </w:pPr>
            <w:r w:rsidRPr="00441764">
              <w:rPr>
                <w:rFonts w:ascii="Times New Roman" w:hAnsi="Times New Roman" w:cs="Times New Roman"/>
                <w:sz w:val="24"/>
                <w:szCs w:val="24"/>
                <w:lang w:val="ro-RO" w:eastAsia="en-GB"/>
              </w:rPr>
              <w:t xml:space="preserve">Autoritățile de supraveghere a pieței </w:t>
            </w:r>
            <w:r w:rsidRPr="00441764">
              <w:rPr>
                <w:rFonts w:ascii="Times New Roman" w:eastAsia="Times New Roman" w:hAnsi="Times New Roman" w:cs="Times New Roman"/>
                <w:sz w:val="24"/>
                <w:szCs w:val="24"/>
                <w:lang w:val="ro-RO" w:eastAsia="en-GB"/>
              </w:rPr>
              <w:t>pot să solicite operatorilor economici să pună la dispoziție documentația și informațiile pe care acestea le consideră necesare pentru îndeplinirea sarcinilor lor și, dacă este necesar și justificat, să intre în incintele operatorilor economici și să preleveze mostrele necesare din produse. În cazul în care consideră necesar, autoritățile respective pot distruge sau scoate din uz produsele care prezintă un risc grav.</w:t>
            </w:r>
          </w:p>
          <w:p w:rsidR="00104152" w:rsidRPr="00441764" w:rsidRDefault="00104152" w:rsidP="00441764">
            <w:pPr>
              <w:ind w:firstLine="697"/>
              <w:jc w:val="both"/>
              <w:rPr>
                <w:rFonts w:ascii="Times New Roman" w:eastAsia="Times New Roman" w:hAnsi="Times New Roman" w:cs="Times New Roman"/>
                <w:sz w:val="24"/>
                <w:szCs w:val="24"/>
                <w:lang w:val="ro-RO" w:eastAsia="en-GB"/>
              </w:rPr>
            </w:pPr>
            <w:r w:rsidRPr="00441764">
              <w:rPr>
                <w:rFonts w:ascii="Times New Roman" w:eastAsia="Times New Roman" w:hAnsi="Times New Roman" w:cs="Times New Roman"/>
                <w:sz w:val="24"/>
                <w:szCs w:val="24"/>
                <w:lang w:val="ro-RO" w:eastAsia="en-GB"/>
              </w:rPr>
              <w:t>În cazul în care operatorii economici prezintă rapoarte de încercare sau certificate de atestare a conformității, emise de un organism acreditat de evaluare a conformității, autoritățile de supraveghere a pieței țin seama în mod corespunzător de astfel de rapoarte ori certificate.</w:t>
            </w:r>
          </w:p>
          <w:p w:rsidR="00686E6E" w:rsidRPr="00441764" w:rsidRDefault="00686E6E" w:rsidP="00441764">
            <w:pPr>
              <w:ind w:firstLine="697"/>
              <w:jc w:val="both"/>
              <w:rPr>
                <w:rFonts w:ascii="Times New Roman" w:hAnsi="Times New Roman" w:cs="Times New Roman"/>
                <w:sz w:val="24"/>
                <w:szCs w:val="24"/>
                <w:lang w:val="ro-RO" w:eastAsia="en-GB"/>
              </w:rPr>
            </w:pPr>
            <w:r w:rsidRPr="00441764">
              <w:rPr>
                <w:rFonts w:ascii="Times New Roman" w:hAnsi="Times New Roman" w:cs="Times New Roman"/>
                <w:sz w:val="24"/>
                <w:szCs w:val="24"/>
                <w:lang w:val="ro-RO" w:eastAsia="en-GB"/>
              </w:rPr>
              <w:t>(2) Autoritățile de supraveghere a pieței iau măsurile necesare pentru a atenționa utilizatorii de pe teritoriile lor, într-un interval de timp corespunzător, cu privire la riscurile pe care le-au identificat în legătură cu orice produs, pentru a reduce riscul de vătămare sau de producere a vreunei alte daune.</w:t>
            </w:r>
          </w:p>
          <w:p w:rsidR="00686E6E" w:rsidRPr="00441764" w:rsidRDefault="00104152" w:rsidP="00441764">
            <w:pPr>
              <w:ind w:firstLine="697"/>
              <w:jc w:val="both"/>
              <w:rPr>
                <w:rFonts w:ascii="Times New Roman" w:eastAsia="Times New Roman" w:hAnsi="Times New Roman" w:cs="Times New Roman"/>
                <w:sz w:val="24"/>
                <w:szCs w:val="24"/>
                <w:lang w:val="ro-RO" w:eastAsia="en-GB"/>
              </w:rPr>
            </w:pPr>
            <w:r w:rsidRPr="00441764">
              <w:rPr>
                <w:rFonts w:ascii="Times New Roman" w:eastAsia="Times New Roman" w:hAnsi="Times New Roman" w:cs="Times New Roman"/>
                <w:sz w:val="24"/>
                <w:szCs w:val="24"/>
                <w:lang w:val="ro-RO" w:eastAsia="en-GB"/>
              </w:rPr>
              <w:t>Acestea cooperează cu operatorii economici la acțiunile care pot preveni sau reduce riscurile provocate de produse care au fost puse la dispoziție de către acești operatori.</w:t>
            </w:r>
          </w:p>
          <w:p w:rsidR="00104152" w:rsidRPr="00441764" w:rsidRDefault="00104152" w:rsidP="00441764">
            <w:pPr>
              <w:ind w:firstLine="697"/>
              <w:jc w:val="both"/>
              <w:rPr>
                <w:rFonts w:ascii="Times New Roman" w:eastAsia="Times New Roman" w:hAnsi="Times New Roman" w:cs="Times New Roman"/>
                <w:sz w:val="24"/>
                <w:szCs w:val="24"/>
                <w:lang w:val="ro-RO" w:eastAsia="en-GB"/>
              </w:rPr>
            </w:pPr>
            <w:r w:rsidRPr="00441764">
              <w:rPr>
                <w:rFonts w:ascii="Times New Roman" w:eastAsia="Times New Roman" w:hAnsi="Times New Roman" w:cs="Times New Roman"/>
                <w:sz w:val="24"/>
                <w:szCs w:val="24"/>
                <w:lang w:val="ro-RO" w:eastAsia="en-GB"/>
              </w:rPr>
              <w:t>(3)</w:t>
            </w:r>
            <w:r w:rsidR="005B3C8E" w:rsidRPr="005B3C8E">
              <w:rPr>
                <w:rFonts w:ascii="Times New Roman" w:eastAsia="Times New Roman" w:hAnsi="Times New Roman" w:cs="Times New Roman"/>
                <w:sz w:val="24"/>
                <w:szCs w:val="24"/>
                <w:lang w:val="en-GB" w:eastAsia="en-GB"/>
              </w:rPr>
              <w:t xml:space="preserve"> </w:t>
            </w:r>
            <w:r w:rsidRPr="00441764">
              <w:rPr>
                <w:rFonts w:ascii="Times New Roman" w:eastAsia="Times New Roman" w:hAnsi="Times New Roman" w:cs="Times New Roman"/>
                <w:sz w:val="24"/>
                <w:szCs w:val="24"/>
                <w:lang w:val="ro-RO" w:eastAsia="en-GB"/>
              </w:rPr>
              <w:t>În cazul în care autoritățile de supraveghere a pieței ale unui stat membru decid să retragă de pe piață un produs fabricat în alt stat membru, acestea informează operatorul economic în cauză, la adresa indicată pe produsul respectiv sau în documentația care însoțește produsul.</w:t>
            </w:r>
          </w:p>
          <w:p w:rsidR="00104152" w:rsidRPr="00441764" w:rsidRDefault="00104152" w:rsidP="00441764">
            <w:pPr>
              <w:ind w:firstLine="697"/>
              <w:jc w:val="both"/>
              <w:rPr>
                <w:rFonts w:ascii="Times New Roman" w:eastAsia="Times New Roman" w:hAnsi="Times New Roman" w:cs="Times New Roman"/>
                <w:sz w:val="24"/>
                <w:szCs w:val="24"/>
                <w:lang w:val="ro-RO" w:eastAsia="en-GB"/>
              </w:rPr>
            </w:pPr>
            <w:r w:rsidRPr="00441764">
              <w:rPr>
                <w:rFonts w:ascii="Times New Roman" w:eastAsia="Times New Roman" w:hAnsi="Times New Roman" w:cs="Times New Roman"/>
                <w:sz w:val="24"/>
                <w:szCs w:val="24"/>
                <w:lang w:val="ro-RO" w:eastAsia="en-GB"/>
              </w:rPr>
              <w:t>(4)</w:t>
            </w:r>
            <w:r w:rsidR="005B3C8E" w:rsidRPr="005B3C8E">
              <w:rPr>
                <w:rFonts w:ascii="Times New Roman" w:eastAsia="Times New Roman" w:hAnsi="Times New Roman" w:cs="Times New Roman"/>
                <w:sz w:val="24"/>
                <w:szCs w:val="24"/>
                <w:lang w:val="en-GB" w:eastAsia="en-GB"/>
              </w:rPr>
              <w:t xml:space="preserve"> </w:t>
            </w:r>
            <w:r w:rsidRPr="00441764">
              <w:rPr>
                <w:rFonts w:ascii="Times New Roman" w:eastAsia="Times New Roman" w:hAnsi="Times New Roman" w:cs="Times New Roman"/>
                <w:sz w:val="24"/>
                <w:szCs w:val="24"/>
                <w:lang w:val="ro-RO" w:eastAsia="en-GB"/>
              </w:rPr>
              <w:t>Autoritățile de supraveghere a pieței își îndeplinesc sarcinile în mod independent, însoțește produsul.</w:t>
            </w:r>
          </w:p>
          <w:p w:rsidR="005E0C4E" w:rsidRPr="00441764" w:rsidRDefault="00104152" w:rsidP="005B3C8E">
            <w:pPr>
              <w:ind w:firstLine="697"/>
              <w:jc w:val="both"/>
              <w:rPr>
                <w:rFonts w:ascii="Times New Roman" w:eastAsia="Times New Roman" w:hAnsi="Times New Roman"/>
                <w:sz w:val="24"/>
                <w:szCs w:val="24"/>
                <w:lang w:val="ro-RO"/>
              </w:rPr>
            </w:pPr>
            <w:r w:rsidRPr="00441764">
              <w:rPr>
                <w:rFonts w:ascii="Times New Roman" w:eastAsia="Times New Roman" w:hAnsi="Times New Roman" w:cs="Times New Roman"/>
                <w:sz w:val="24"/>
                <w:szCs w:val="24"/>
                <w:lang w:val="ro-RO" w:eastAsia="en-GB"/>
              </w:rPr>
              <w:t>(5)</w:t>
            </w:r>
            <w:r w:rsidR="005B3C8E" w:rsidRPr="005B3C8E">
              <w:rPr>
                <w:rFonts w:ascii="Times New Roman" w:eastAsia="Times New Roman" w:hAnsi="Times New Roman" w:cs="Times New Roman"/>
                <w:sz w:val="24"/>
                <w:szCs w:val="24"/>
                <w:lang w:val="en-GB" w:eastAsia="en-GB"/>
              </w:rPr>
              <w:t xml:space="preserve"> </w:t>
            </w:r>
            <w:r w:rsidRPr="00441764">
              <w:rPr>
                <w:rFonts w:ascii="Times New Roman" w:eastAsia="Times New Roman" w:hAnsi="Times New Roman" w:cs="Times New Roman"/>
                <w:sz w:val="24"/>
                <w:szCs w:val="24"/>
                <w:lang w:val="ro-RO" w:eastAsia="en-GB"/>
              </w:rPr>
              <w:t>Autoritățile de supraveghere a pieței respectă confidențialitatea, în cazurile în care acest lucru este necesar, pentru a proteja secretele comerciale sau datele cu caracter personal în conformitate cu legislația națională, cu condiția ca informațiile să fie făcute publice în temeiul prezentului regulament, în măsura în care este necesar în vederea protejării intereselor utilizatorilor din cadrul Comunității.</w:t>
            </w:r>
          </w:p>
        </w:tc>
      </w:tr>
    </w:tbl>
    <w:p w:rsidR="00B667B2" w:rsidRPr="00441764" w:rsidRDefault="00B667B2" w:rsidP="00441764">
      <w:pPr>
        <w:jc w:val="both"/>
        <w:rPr>
          <w:rFonts w:ascii="Times New Roman" w:eastAsia="Times New Roman" w:hAnsi="Times New Roman"/>
          <w:sz w:val="24"/>
          <w:szCs w:val="24"/>
          <w:lang w:val="ro-RO"/>
        </w:rPr>
      </w:pPr>
    </w:p>
    <w:tbl>
      <w:tblPr>
        <w:tblStyle w:val="TableGrid"/>
        <w:tblW w:w="0" w:type="auto"/>
        <w:tblLook w:val="04A0" w:firstRow="1" w:lastRow="0" w:firstColumn="1" w:lastColumn="0" w:noHBand="0" w:noVBand="1"/>
      </w:tblPr>
      <w:tblGrid>
        <w:gridCol w:w="9343"/>
      </w:tblGrid>
      <w:tr w:rsidR="00441764" w:rsidRPr="00441764" w:rsidTr="00441764">
        <w:tc>
          <w:tcPr>
            <w:tcW w:w="9343" w:type="dxa"/>
            <w:shd w:val="clear" w:color="auto" w:fill="F79646" w:themeFill="accent6"/>
          </w:tcPr>
          <w:p w:rsidR="00441764" w:rsidRPr="00441764" w:rsidRDefault="00441764" w:rsidP="00441764">
            <w:pPr>
              <w:ind w:firstLine="697"/>
              <w:jc w:val="both"/>
              <w:rPr>
                <w:rFonts w:ascii="Times New Roman" w:eastAsia="Times New Roman" w:hAnsi="Times New Roman" w:cs="Times New Roman"/>
                <w:b/>
                <w:bCs/>
                <w:sz w:val="24"/>
                <w:szCs w:val="24"/>
                <w:lang w:val="ro-RO" w:eastAsia="en-GB"/>
              </w:rPr>
            </w:pPr>
            <w:r w:rsidRPr="00441764">
              <w:rPr>
                <w:rFonts w:ascii="Times New Roman" w:eastAsia="Times New Roman" w:hAnsi="Times New Roman"/>
                <w:b/>
                <w:sz w:val="24"/>
                <w:szCs w:val="24"/>
                <w:lang w:val="ro-RO"/>
              </w:rPr>
              <w:t>Articolul 21.</w:t>
            </w:r>
            <w:r w:rsidRPr="00441764">
              <w:rPr>
                <w:rFonts w:ascii="Times New Roman" w:eastAsia="Times New Roman" w:hAnsi="Times New Roman" w:cs="Times New Roman"/>
                <w:b/>
                <w:bCs/>
                <w:color w:val="444444"/>
                <w:sz w:val="24"/>
                <w:szCs w:val="24"/>
                <w:lang w:val="ro-RO" w:eastAsia="en-GB"/>
              </w:rPr>
              <w:t xml:space="preserve"> </w:t>
            </w:r>
            <w:r w:rsidRPr="00441764">
              <w:rPr>
                <w:rFonts w:ascii="Times New Roman" w:eastAsia="Times New Roman" w:hAnsi="Times New Roman" w:cs="Times New Roman"/>
                <w:b/>
                <w:bCs/>
                <w:sz w:val="24"/>
                <w:szCs w:val="24"/>
                <w:lang w:val="ro-RO" w:eastAsia="en-GB"/>
              </w:rPr>
              <w:t>Măsuri restrictive</w:t>
            </w:r>
          </w:p>
          <w:p w:rsidR="00441764" w:rsidRPr="00441764" w:rsidRDefault="00441764" w:rsidP="00441764">
            <w:pPr>
              <w:ind w:firstLine="697"/>
              <w:jc w:val="both"/>
              <w:rPr>
                <w:rFonts w:ascii="Times New Roman" w:eastAsia="Times New Roman" w:hAnsi="Times New Roman" w:cs="Times New Roman"/>
                <w:b/>
                <w:bCs/>
                <w:sz w:val="24"/>
                <w:szCs w:val="24"/>
                <w:lang w:val="ro-RO" w:eastAsia="en-GB"/>
              </w:rPr>
            </w:pPr>
            <w:r w:rsidRPr="00441764">
              <w:rPr>
                <w:rFonts w:ascii="Times New Roman" w:eastAsia="Times New Roman" w:hAnsi="Times New Roman" w:cs="Times New Roman"/>
                <w:sz w:val="24"/>
                <w:szCs w:val="24"/>
                <w:lang w:val="ro-RO" w:eastAsia="en-GB"/>
              </w:rPr>
              <w:t>(1)</w:t>
            </w:r>
            <w:r w:rsidR="005B3C8E" w:rsidRPr="005B3C8E">
              <w:rPr>
                <w:rFonts w:ascii="Times New Roman" w:eastAsia="Times New Roman" w:hAnsi="Times New Roman" w:cs="Times New Roman"/>
                <w:sz w:val="24"/>
                <w:szCs w:val="24"/>
                <w:lang w:val="en-GB" w:eastAsia="en-GB"/>
              </w:rPr>
              <w:t xml:space="preserve"> </w:t>
            </w:r>
            <w:r w:rsidRPr="00441764">
              <w:rPr>
                <w:rFonts w:ascii="Times New Roman" w:eastAsia="Times New Roman" w:hAnsi="Times New Roman" w:cs="Times New Roman"/>
                <w:sz w:val="24"/>
                <w:szCs w:val="24"/>
                <w:lang w:val="ro-RO" w:eastAsia="en-GB"/>
              </w:rPr>
              <w:t>Statele membre garantează că orice măsură luată, în temeiul legislației comunitare de armonizare relevante, fie pentru interzicerea sau restricționarea punerii la dispoziție a unui produs pe piață, fie pentru retragerea de pe piață sau rechemarea sa, este proporțională și menționează motivele precise care stau la baza acesteia.</w:t>
            </w:r>
          </w:p>
          <w:p w:rsidR="00441764" w:rsidRPr="00441764" w:rsidRDefault="00441764" w:rsidP="00441764">
            <w:pPr>
              <w:ind w:firstLine="697"/>
              <w:jc w:val="both"/>
              <w:rPr>
                <w:rFonts w:ascii="Times New Roman" w:eastAsia="Times New Roman" w:hAnsi="Times New Roman" w:cs="Times New Roman"/>
                <w:b/>
                <w:bCs/>
                <w:sz w:val="24"/>
                <w:szCs w:val="24"/>
                <w:lang w:val="ro-RO" w:eastAsia="en-GB"/>
              </w:rPr>
            </w:pPr>
            <w:r w:rsidRPr="00441764">
              <w:rPr>
                <w:rFonts w:ascii="Times New Roman" w:eastAsia="Times New Roman" w:hAnsi="Times New Roman" w:cs="Times New Roman"/>
                <w:sz w:val="24"/>
                <w:szCs w:val="24"/>
                <w:lang w:val="ro-RO" w:eastAsia="en-GB"/>
              </w:rPr>
              <w:t>(2)</w:t>
            </w:r>
            <w:r w:rsidR="005B3C8E" w:rsidRPr="005B3C8E">
              <w:rPr>
                <w:rFonts w:ascii="Times New Roman" w:eastAsia="Times New Roman" w:hAnsi="Times New Roman" w:cs="Times New Roman"/>
                <w:sz w:val="24"/>
                <w:szCs w:val="24"/>
                <w:lang w:val="en-GB" w:eastAsia="en-GB"/>
              </w:rPr>
              <w:t xml:space="preserve"> </w:t>
            </w:r>
            <w:r w:rsidRPr="00441764">
              <w:rPr>
                <w:rFonts w:ascii="Times New Roman" w:eastAsia="Times New Roman" w:hAnsi="Times New Roman" w:cs="Times New Roman"/>
                <w:sz w:val="24"/>
                <w:szCs w:val="24"/>
                <w:lang w:val="ro-RO" w:eastAsia="en-GB"/>
              </w:rPr>
              <w:t>Astfel de măsuri se comunică fără întârziere operatorului economic în cauză, care, în același timp, este informat cu privire la căile de atac disponibile în conformitate cu legislația statului membru vizat și cu privire la termenele care se aplică acestor căi de atac.</w:t>
            </w:r>
          </w:p>
          <w:p w:rsidR="00441764" w:rsidRPr="00441764" w:rsidRDefault="00441764" w:rsidP="00441764">
            <w:pPr>
              <w:ind w:firstLine="697"/>
              <w:jc w:val="both"/>
              <w:rPr>
                <w:rFonts w:ascii="Times New Roman" w:eastAsia="Times New Roman" w:hAnsi="Times New Roman" w:cs="Times New Roman"/>
                <w:sz w:val="24"/>
                <w:szCs w:val="24"/>
                <w:lang w:val="ro-RO" w:eastAsia="en-GB"/>
              </w:rPr>
            </w:pPr>
            <w:r w:rsidRPr="00441764">
              <w:rPr>
                <w:rFonts w:ascii="Times New Roman" w:eastAsia="Times New Roman" w:hAnsi="Times New Roman" w:cs="Times New Roman"/>
                <w:sz w:val="24"/>
                <w:szCs w:val="24"/>
                <w:lang w:val="ro-RO" w:eastAsia="en-GB"/>
              </w:rPr>
              <w:lastRenderedPageBreak/>
              <w:t>(3)</w:t>
            </w:r>
            <w:r w:rsidR="005B3C8E" w:rsidRPr="005B3C8E">
              <w:rPr>
                <w:rFonts w:ascii="Times New Roman" w:eastAsia="Times New Roman" w:hAnsi="Times New Roman" w:cs="Times New Roman"/>
                <w:sz w:val="24"/>
                <w:szCs w:val="24"/>
                <w:lang w:val="en-GB" w:eastAsia="en-GB"/>
              </w:rPr>
              <w:t xml:space="preserve"> </w:t>
            </w:r>
            <w:r w:rsidRPr="00441764">
              <w:rPr>
                <w:rFonts w:ascii="Times New Roman" w:eastAsia="Times New Roman" w:hAnsi="Times New Roman" w:cs="Times New Roman"/>
                <w:sz w:val="24"/>
                <w:szCs w:val="24"/>
                <w:lang w:val="ro-RO" w:eastAsia="en-GB"/>
              </w:rPr>
              <w:t>Înainte de adoptarea unei măsuri în conformitate cu alineatul (1), operatorului economic în cauză i se oferă posibilitatea de a-și exprima punctul de vedere într-un termen adecvat, de cel puțin zece zile, cu excepția cazurilor în care o astfel de consultare nu este posibilă din cauza urgenței măsurii care urmează a fi luată, justificată pe baza cerințelor în materie de sănătate și siguranță sau a altor motive legate de interesul public reglementate de legislația comunitară de armonizare corespunzătoare. În cazul în care au fost luate măsuri fără audierea operatorului economic, operatorului i se oferă posibilitatea să își exprime punctul de vedere de îndată ce este posibil, iar măsurile luate sunt revizuite fără întârziere în urma audierii.</w:t>
            </w:r>
          </w:p>
          <w:p w:rsidR="00441764" w:rsidRPr="00441764" w:rsidRDefault="00441764" w:rsidP="005B3C8E">
            <w:pPr>
              <w:ind w:firstLine="697"/>
              <w:jc w:val="both"/>
              <w:rPr>
                <w:rFonts w:ascii="Times New Roman" w:eastAsia="Times New Roman" w:hAnsi="Times New Roman"/>
                <w:sz w:val="24"/>
                <w:szCs w:val="24"/>
                <w:lang w:val="ro-RO"/>
              </w:rPr>
            </w:pPr>
            <w:r w:rsidRPr="00441764">
              <w:rPr>
                <w:rFonts w:ascii="Times New Roman" w:eastAsia="Times New Roman" w:hAnsi="Times New Roman" w:cs="Times New Roman"/>
                <w:sz w:val="24"/>
                <w:szCs w:val="24"/>
                <w:lang w:val="ro-RO" w:eastAsia="en-GB"/>
              </w:rPr>
              <w:t>(4)</w:t>
            </w:r>
            <w:r w:rsidR="005B3C8E" w:rsidRPr="005B3C8E">
              <w:rPr>
                <w:rFonts w:ascii="Times New Roman" w:eastAsia="Times New Roman" w:hAnsi="Times New Roman" w:cs="Times New Roman"/>
                <w:sz w:val="24"/>
                <w:szCs w:val="24"/>
                <w:lang w:val="en-GB" w:eastAsia="en-GB"/>
              </w:rPr>
              <w:t xml:space="preserve"> </w:t>
            </w:r>
            <w:r w:rsidRPr="00441764">
              <w:rPr>
                <w:rFonts w:ascii="Times New Roman" w:eastAsia="Times New Roman" w:hAnsi="Times New Roman" w:cs="Times New Roman"/>
                <w:sz w:val="24"/>
                <w:szCs w:val="24"/>
                <w:lang w:val="ro-RO" w:eastAsia="en-GB"/>
              </w:rPr>
              <w:t>Orice măsură prevăzută la alineatul (1) este retrasă imediat sau modificată de îndată ce operatorul economic demonstrează că a luat măsurile care se impun.</w:t>
            </w:r>
          </w:p>
        </w:tc>
      </w:tr>
    </w:tbl>
    <w:p w:rsidR="00686E6E" w:rsidRPr="00AA78DA" w:rsidRDefault="00686E6E" w:rsidP="00441764">
      <w:pPr>
        <w:jc w:val="both"/>
        <w:rPr>
          <w:rFonts w:ascii="Times New Roman" w:eastAsia="Times New Roman" w:hAnsi="Times New Roman"/>
          <w:sz w:val="16"/>
          <w:szCs w:val="16"/>
          <w:lang w:val="ro-RO"/>
        </w:rPr>
      </w:pPr>
    </w:p>
    <w:p w:rsidR="00B667B2" w:rsidRPr="00AA78DA" w:rsidRDefault="00C84CBF" w:rsidP="00441764">
      <w:pPr>
        <w:jc w:val="both"/>
        <w:rPr>
          <w:rFonts w:ascii="Times New Roman" w:eastAsia="Times New Roman" w:hAnsi="Times New Roman"/>
          <w:sz w:val="28"/>
          <w:szCs w:val="28"/>
          <w:lang w:val="ro-RO"/>
        </w:rPr>
      </w:pPr>
      <w:r w:rsidRPr="00AA78DA">
        <w:rPr>
          <w:rFonts w:ascii="Times New Roman" w:eastAsia="Times New Roman" w:hAnsi="Times New Roman"/>
          <w:sz w:val="28"/>
          <w:szCs w:val="28"/>
          <w:lang w:val="ro-RO"/>
        </w:rPr>
        <w:t xml:space="preserve">Dispozițiile relevante prevăzute în DSGP nu stabilesc măsuri specifice care s-ar putea aplica în plus față de măsurile stabilite în </w:t>
      </w:r>
      <w:r w:rsidR="00E669B5" w:rsidRPr="00AA78DA">
        <w:rPr>
          <w:rFonts w:ascii="Times New Roman" w:eastAsia="Times New Roman" w:hAnsi="Times New Roman"/>
          <w:sz w:val="28"/>
          <w:szCs w:val="28"/>
          <w:lang w:val="ro-RO"/>
        </w:rPr>
        <w:t>R</w:t>
      </w:r>
      <w:r w:rsidRPr="00AA78DA">
        <w:rPr>
          <w:rFonts w:ascii="Times New Roman" w:eastAsia="Times New Roman" w:hAnsi="Times New Roman"/>
          <w:sz w:val="28"/>
          <w:szCs w:val="28"/>
          <w:lang w:val="ro-RO"/>
        </w:rPr>
        <w:t xml:space="preserve">egulament. Aceste dispoziții sunt o expresie a principiilor generale din legislația Uniunii Europene. </w:t>
      </w:r>
    </w:p>
    <w:p w:rsidR="00B667B2" w:rsidRPr="00AA78DA" w:rsidRDefault="00B667B2" w:rsidP="00441764">
      <w:pPr>
        <w:jc w:val="both"/>
        <w:rPr>
          <w:rFonts w:ascii="Times New Roman" w:eastAsia="Times New Roman" w:hAnsi="Times New Roman"/>
          <w:sz w:val="16"/>
          <w:szCs w:val="16"/>
          <w:lang w:val="ro-RO"/>
        </w:rPr>
      </w:pPr>
    </w:p>
    <w:p w:rsidR="00EB4E9D" w:rsidRPr="00AA78DA" w:rsidRDefault="00C84CBF" w:rsidP="00441764">
      <w:pPr>
        <w:jc w:val="both"/>
        <w:rPr>
          <w:rFonts w:ascii="Times New Roman" w:eastAsia="Times New Roman" w:hAnsi="Times New Roman"/>
          <w:sz w:val="28"/>
          <w:szCs w:val="28"/>
          <w:lang w:val="ro-RO"/>
        </w:rPr>
      </w:pPr>
      <w:r w:rsidRPr="00AA78DA">
        <w:rPr>
          <w:rFonts w:ascii="Times New Roman" w:eastAsia="Times New Roman" w:hAnsi="Times New Roman"/>
          <w:sz w:val="28"/>
          <w:szCs w:val="28"/>
          <w:lang w:val="ro-RO"/>
        </w:rPr>
        <w:t>Articolul 8 alineatul (2) din DSGP se menționează în mod explicit faptul că rechemarea are loc în ultimă instanță. Acest principiu este o expresie importantă a principiului proporționalității în contextul supravegherii pieței și este pe deplin aplicabil și rechemărilor adoptate în temeiul Regulamentului.</w:t>
      </w:r>
    </w:p>
    <w:p w:rsidR="00C84CBF" w:rsidRPr="00AA78DA" w:rsidRDefault="00C84CBF" w:rsidP="00441764">
      <w:pPr>
        <w:spacing w:before="7"/>
        <w:rPr>
          <w:rFonts w:ascii="Times New Roman" w:hAnsi="Times New Roman" w:cs="Times New Roman"/>
          <w:sz w:val="16"/>
          <w:szCs w:val="16"/>
          <w:lang w:val="ro-RO"/>
        </w:rPr>
      </w:pPr>
    </w:p>
    <w:p w:rsidR="00EB4E9D" w:rsidRPr="00AA78DA" w:rsidRDefault="005C1F1B" w:rsidP="00441764">
      <w:pPr>
        <w:pStyle w:val="BodyText"/>
        <w:ind w:left="0" w:right="-7"/>
        <w:jc w:val="both"/>
        <w:rPr>
          <w:b/>
          <w:sz w:val="28"/>
          <w:szCs w:val="28"/>
          <w:lang w:val="ro-RO"/>
        </w:rPr>
      </w:pPr>
      <w:r w:rsidRPr="00AA78DA">
        <w:rPr>
          <w:b/>
          <w:w w:val="105"/>
          <w:sz w:val="28"/>
          <w:szCs w:val="28"/>
          <w:lang w:val="ro-RO"/>
        </w:rPr>
        <w:t>2.3.</w:t>
      </w:r>
      <w:r w:rsidRPr="00AA78DA">
        <w:rPr>
          <w:b/>
          <w:spacing w:val="-3"/>
          <w:w w:val="105"/>
          <w:sz w:val="28"/>
          <w:szCs w:val="28"/>
          <w:lang w:val="ro-RO"/>
        </w:rPr>
        <w:t xml:space="preserve"> </w:t>
      </w:r>
      <w:r w:rsidR="00357CF1" w:rsidRPr="00AA78DA">
        <w:rPr>
          <w:b/>
          <w:w w:val="105"/>
          <w:sz w:val="28"/>
          <w:szCs w:val="28"/>
          <w:lang w:val="ro-RO"/>
        </w:rPr>
        <w:t>Consecințe pentru funcționarea sistemului RAPEX</w:t>
      </w:r>
    </w:p>
    <w:p w:rsidR="00EB4E9D" w:rsidRPr="00AA78DA" w:rsidRDefault="00EB4E9D" w:rsidP="00441764">
      <w:pPr>
        <w:rPr>
          <w:rFonts w:ascii="Times New Roman" w:hAnsi="Times New Roman" w:cs="Times New Roman"/>
          <w:sz w:val="16"/>
          <w:szCs w:val="16"/>
          <w:lang w:val="ro-RO"/>
        </w:rPr>
      </w:pPr>
    </w:p>
    <w:p w:rsidR="00EB4E9D" w:rsidRPr="00AA78DA" w:rsidRDefault="00357CF1" w:rsidP="00441764">
      <w:pPr>
        <w:pStyle w:val="BodyText"/>
        <w:ind w:left="0" w:right="-7" w:firstLine="3"/>
        <w:jc w:val="both"/>
        <w:rPr>
          <w:sz w:val="28"/>
          <w:szCs w:val="28"/>
          <w:lang w:val="ro-RO"/>
        </w:rPr>
      </w:pPr>
      <w:r w:rsidRPr="00AA78DA">
        <w:rPr>
          <w:sz w:val="28"/>
          <w:szCs w:val="28"/>
          <w:lang w:val="ro-RO"/>
        </w:rPr>
        <w:t>At</w:t>
      </w:r>
      <w:r w:rsidR="0030498C" w:rsidRPr="00AA78DA">
        <w:rPr>
          <w:sz w:val="28"/>
          <w:szCs w:val="28"/>
          <w:lang w:val="ro-RO"/>
        </w:rPr>
        <w:t>î</w:t>
      </w:r>
      <w:r w:rsidRPr="00AA78DA">
        <w:rPr>
          <w:sz w:val="28"/>
          <w:szCs w:val="28"/>
          <w:lang w:val="ro-RO"/>
        </w:rPr>
        <w:t>t DSGP, c</w:t>
      </w:r>
      <w:r w:rsidR="0030498C" w:rsidRPr="00AA78DA">
        <w:rPr>
          <w:sz w:val="28"/>
          <w:szCs w:val="28"/>
          <w:lang w:val="ro-RO"/>
        </w:rPr>
        <w:t>î</w:t>
      </w:r>
      <w:r w:rsidRPr="00AA78DA">
        <w:rPr>
          <w:sz w:val="28"/>
          <w:szCs w:val="28"/>
          <w:lang w:val="ro-RO"/>
        </w:rPr>
        <w:t xml:space="preserve">t și Regulamentul vor utiliza sistemul RAPEX pentru notificarea produselor care prezintă un risc </w:t>
      </w:r>
      <w:r w:rsidR="00151708" w:rsidRPr="00AA78DA">
        <w:rPr>
          <w:sz w:val="28"/>
          <w:szCs w:val="28"/>
          <w:lang w:val="ro-RO"/>
        </w:rPr>
        <w:t>major</w:t>
      </w:r>
      <w:r w:rsidRPr="00AA78DA">
        <w:rPr>
          <w:sz w:val="28"/>
          <w:szCs w:val="28"/>
          <w:lang w:val="ro-RO"/>
        </w:rPr>
        <w:t>. Astfel, RAPEX va continua să funcționeze ca un sistem unic și va funcționa ca sistem rapid de schimb de informații at</w:t>
      </w:r>
      <w:r w:rsidR="0030498C" w:rsidRPr="00AA78DA">
        <w:rPr>
          <w:sz w:val="28"/>
          <w:szCs w:val="28"/>
          <w:lang w:val="ro-RO"/>
        </w:rPr>
        <w:t>î</w:t>
      </w:r>
      <w:r w:rsidRPr="00AA78DA">
        <w:rPr>
          <w:sz w:val="28"/>
          <w:szCs w:val="28"/>
          <w:lang w:val="ro-RO"/>
        </w:rPr>
        <w:t xml:space="preserve">t pentru </w:t>
      </w:r>
      <w:r w:rsidR="0030498C" w:rsidRPr="00AA78DA">
        <w:rPr>
          <w:sz w:val="28"/>
          <w:szCs w:val="28"/>
          <w:lang w:val="ro-RO"/>
        </w:rPr>
        <w:t>DSGP</w:t>
      </w:r>
      <w:r w:rsidRPr="00AA78DA">
        <w:rPr>
          <w:sz w:val="28"/>
          <w:szCs w:val="28"/>
          <w:lang w:val="ro-RO"/>
        </w:rPr>
        <w:t>, c</w:t>
      </w:r>
      <w:r w:rsidR="0030498C" w:rsidRPr="00AA78DA">
        <w:rPr>
          <w:sz w:val="28"/>
          <w:szCs w:val="28"/>
          <w:lang w:val="ro-RO"/>
        </w:rPr>
        <w:t>î</w:t>
      </w:r>
      <w:r w:rsidRPr="00AA78DA">
        <w:rPr>
          <w:sz w:val="28"/>
          <w:szCs w:val="28"/>
          <w:lang w:val="ro-RO"/>
        </w:rPr>
        <w:t xml:space="preserve">t și pentru </w:t>
      </w:r>
      <w:r w:rsidR="0030498C" w:rsidRPr="00AA78DA">
        <w:rPr>
          <w:sz w:val="28"/>
          <w:szCs w:val="28"/>
          <w:lang w:val="ro-RO"/>
        </w:rPr>
        <w:t>R</w:t>
      </w:r>
      <w:r w:rsidRPr="00AA78DA">
        <w:rPr>
          <w:sz w:val="28"/>
          <w:szCs w:val="28"/>
          <w:lang w:val="ro-RO"/>
        </w:rPr>
        <w:t>egulament.</w:t>
      </w:r>
    </w:p>
    <w:p w:rsidR="00EB4E9D" w:rsidRPr="00AA78DA" w:rsidRDefault="00EB4E9D" w:rsidP="00441764">
      <w:pPr>
        <w:rPr>
          <w:rFonts w:ascii="Times New Roman" w:hAnsi="Times New Roman" w:cs="Times New Roman"/>
          <w:sz w:val="16"/>
          <w:szCs w:val="16"/>
          <w:lang w:val="ro-RO"/>
        </w:rPr>
      </w:pPr>
    </w:p>
    <w:p w:rsidR="00E970F4" w:rsidRDefault="007D7BA4" w:rsidP="00441764">
      <w:pPr>
        <w:pStyle w:val="BodyText"/>
        <w:ind w:left="0"/>
        <w:jc w:val="both"/>
        <w:rPr>
          <w:sz w:val="16"/>
          <w:szCs w:val="16"/>
          <w:lang w:val="ro-RO"/>
        </w:rPr>
      </w:pPr>
      <w:r w:rsidRPr="00AA78DA">
        <w:rPr>
          <w:sz w:val="28"/>
          <w:szCs w:val="28"/>
          <w:lang w:val="ro-RO"/>
        </w:rPr>
        <w:t xml:space="preserve">Articolul 22 alineatul (4) din Regulament prevede că articolul 12 alineatele (2), (3) și (4) din DSGP se aplică </w:t>
      </w:r>
      <w:r w:rsidR="003946A9" w:rsidRPr="00AA78DA">
        <w:rPr>
          <w:sz w:val="28"/>
          <w:szCs w:val="28"/>
          <w:lang w:val="ro-RO"/>
        </w:rPr>
        <w:t>„</w:t>
      </w:r>
      <w:r w:rsidRPr="00AA78DA">
        <w:rPr>
          <w:i/>
          <w:sz w:val="28"/>
          <w:szCs w:val="28"/>
          <w:lang w:val="ro-RO"/>
        </w:rPr>
        <w:t>mutatis mutandis</w:t>
      </w:r>
      <w:r w:rsidR="003946A9" w:rsidRPr="00AA78DA">
        <w:rPr>
          <w:sz w:val="28"/>
          <w:szCs w:val="28"/>
          <w:lang w:val="ro-RO"/>
        </w:rPr>
        <w:t>”</w:t>
      </w:r>
      <w:r w:rsidRPr="00AA78DA">
        <w:rPr>
          <w:sz w:val="28"/>
          <w:szCs w:val="28"/>
          <w:lang w:val="ro-RO"/>
        </w:rPr>
        <w:t xml:space="preserve"> în temeiul </w:t>
      </w:r>
      <w:r w:rsidR="00E669B5" w:rsidRPr="00AA78DA">
        <w:rPr>
          <w:sz w:val="28"/>
          <w:szCs w:val="28"/>
          <w:lang w:val="ro-RO"/>
        </w:rPr>
        <w:t>R</w:t>
      </w:r>
      <w:r w:rsidRPr="00AA78DA">
        <w:rPr>
          <w:sz w:val="28"/>
          <w:szCs w:val="28"/>
          <w:lang w:val="ro-RO"/>
        </w:rPr>
        <w:t xml:space="preserve">egulamentului. </w:t>
      </w:r>
    </w:p>
    <w:p w:rsidR="00E970F4" w:rsidRPr="00E970F4" w:rsidRDefault="00E970F4" w:rsidP="00441764">
      <w:pPr>
        <w:pStyle w:val="BodyText"/>
        <w:ind w:left="0"/>
        <w:jc w:val="both"/>
        <w:rPr>
          <w:sz w:val="16"/>
          <w:szCs w:val="16"/>
          <w:lang w:val="ro-RO"/>
        </w:rPr>
      </w:pPr>
    </w:p>
    <w:tbl>
      <w:tblPr>
        <w:tblStyle w:val="TableGrid"/>
        <w:tblW w:w="0" w:type="auto"/>
        <w:tblLook w:val="04A0" w:firstRow="1" w:lastRow="0" w:firstColumn="1" w:lastColumn="0" w:noHBand="0" w:noVBand="1"/>
      </w:tblPr>
      <w:tblGrid>
        <w:gridCol w:w="9343"/>
      </w:tblGrid>
      <w:tr w:rsidR="00237C44" w:rsidTr="00237C44">
        <w:tc>
          <w:tcPr>
            <w:tcW w:w="9343" w:type="dxa"/>
            <w:shd w:val="clear" w:color="auto" w:fill="F79646" w:themeFill="accent6"/>
          </w:tcPr>
          <w:p w:rsidR="00FE605D" w:rsidRPr="00FE605D" w:rsidRDefault="00FE605D" w:rsidP="00FE605D">
            <w:pPr>
              <w:pStyle w:val="BodyText"/>
              <w:ind w:left="0" w:firstLine="697"/>
              <w:jc w:val="both"/>
              <w:rPr>
                <w:rFonts w:cs="Times New Roman"/>
                <w:b/>
                <w:lang w:eastAsia="en-GB"/>
              </w:rPr>
            </w:pPr>
            <w:r w:rsidRPr="00FE605D">
              <w:rPr>
                <w:b/>
                <w:lang w:val="ro-RO"/>
              </w:rPr>
              <w:t>Articolul 21.</w:t>
            </w:r>
            <w:r w:rsidRPr="00FE605D">
              <w:rPr>
                <w:rFonts w:cs="Times New Roman"/>
                <w:b/>
                <w:bCs/>
                <w:lang w:val="ro-RO" w:eastAsia="en-GB"/>
              </w:rPr>
              <w:t xml:space="preserve"> </w:t>
            </w:r>
            <w:r w:rsidRPr="00FE605D">
              <w:rPr>
                <w:rFonts w:cs="Times New Roman"/>
                <w:b/>
                <w:bCs/>
                <w:lang w:eastAsia="en-GB"/>
              </w:rPr>
              <w:t>Schimbul de informații – Sistemul comunitar de schimb rapid de informații</w:t>
            </w:r>
            <w:r w:rsidRPr="00FE605D">
              <w:rPr>
                <w:rFonts w:cs="Times New Roman"/>
                <w:b/>
                <w:lang w:eastAsia="en-GB"/>
              </w:rPr>
              <w:t xml:space="preserve"> </w:t>
            </w:r>
          </w:p>
          <w:p w:rsidR="00237C44" w:rsidRPr="00FE605D" w:rsidRDefault="00FE605D" w:rsidP="00FE605D">
            <w:pPr>
              <w:pStyle w:val="BodyText"/>
              <w:ind w:left="0" w:firstLine="697"/>
              <w:jc w:val="both"/>
              <w:rPr>
                <w:sz w:val="16"/>
                <w:szCs w:val="16"/>
                <w:lang w:val="ro-RO"/>
              </w:rPr>
            </w:pPr>
            <w:r w:rsidRPr="00FE605D">
              <w:rPr>
                <w:rFonts w:cs="Times New Roman"/>
                <w:lang w:eastAsia="en-GB"/>
              </w:rPr>
              <w:t>(4)   În scopul alineatelor (1), (2) și (3), se utilizează sistemul de supraveghere a pieței și de schimb de informații,  prevăzut la articolul 12 din Directiva 2001/95/CE. Alineatele (2), (3) și (4) din articolul 12 al respectivei directive se aplică </w:t>
            </w:r>
            <w:r w:rsidRPr="00FE605D">
              <w:rPr>
                <w:rFonts w:cs="Times New Roman"/>
                <w:i/>
                <w:iCs/>
                <w:lang w:eastAsia="en-GB"/>
              </w:rPr>
              <w:t>mutatis mutandis</w:t>
            </w:r>
            <w:r w:rsidRPr="00FE605D">
              <w:rPr>
                <w:rFonts w:cs="Times New Roman"/>
                <w:lang w:eastAsia="en-GB"/>
              </w:rPr>
              <w:t>.</w:t>
            </w:r>
          </w:p>
        </w:tc>
      </w:tr>
    </w:tbl>
    <w:p w:rsidR="00E970F4" w:rsidRPr="00E970F4" w:rsidRDefault="00E970F4" w:rsidP="00441764">
      <w:pPr>
        <w:pStyle w:val="BodyText"/>
        <w:ind w:left="0"/>
        <w:jc w:val="both"/>
        <w:rPr>
          <w:sz w:val="16"/>
          <w:szCs w:val="16"/>
          <w:lang w:val="ro-RO"/>
        </w:rPr>
      </w:pPr>
    </w:p>
    <w:p w:rsidR="007D7BA4" w:rsidRPr="00AA78DA" w:rsidRDefault="007D7BA4" w:rsidP="00441764">
      <w:pPr>
        <w:pStyle w:val="BodyText"/>
        <w:ind w:left="0"/>
        <w:jc w:val="both"/>
        <w:rPr>
          <w:sz w:val="28"/>
          <w:szCs w:val="28"/>
          <w:lang w:val="ro-RO"/>
        </w:rPr>
      </w:pPr>
      <w:r w:rsidRPr="00AA78DA">
        <w:rPr>
          <w:sz w:val="28"/>
          <w:szCs w:val="28"/>
          <w:lang w:val="ro-RO"/>
        </w:rPr>
        <w:t xml:space="preserve">Aplicația </w:t>
      </w:r>
      <w:r w:rsidRPr="00AA78DA">
        <w:rPr>
          <w:i/>
          <w:sz w:val="28"/>
          <w:szCs w:val="28"/>
          <w:lang w:val="ro-RO"/>
        </w:rPr>
        <w:t>mutatis mutandis</w:t>
      </w:r>
      <w:r w:rsidRPr="00AA78DA">
        <w:rPr>
          <w:sz w:val="28"/>
          <w:szCs w:val="28"/>
          <w:lang w:val="ro-RO"/>
        </w:rPr>
        <w:t xml:space="preserve"> înseamnă că condițiile din DSGP se aplică, în principiu, și funcționării RAPEX în temeiul Regulamentului, sub rezerva anumitor adaptări necesare sau inerente intenției RAPEX de a fi utilizate pentru notificări în temeiul Regulamentului.</w:t>
      </w:r>
    </w:p>
    <w:p w:rsidR="00EB4E9D" w:rsidRPr="00AA78DA" w:rsidRDefault="00EB4E9D" w:rsidP="00441764">
      <w:pPr>
        <w:rPr>
          <w:sz w:val="16"/>
          <w:szCs w:val="16"/>
          <w:lang w:val="ro-RO"/>
        </w:rPr>
      </w:pPr>
    </w:p>
    <w:p w:rsidR="001C4C9C" w:rsidRPr="00AA78DA" w:rsidRDefault="001C4C9C" w:rsidP="00441764">
      <w:pPr>
        <w:rPr>
          <w:rFonts w:ascii="Times New Roman" w:eastAsia="Times New Roman" w:hAnsi="Times New Roman"/>
          <w:sz w:val="28"/>
          <w:szCs w:val="28"/>
          <w:lang w:val="ro-RO"/>
        </w:rPr>
      </w:pPr>
      <w:r w:rsidRPr="00AA78DA">
        <w:rPr>
          <w:rFonts w:ascii="Times New Roman" w:eastAsia="Times New Roman" w:hAnsi="Times New Roman"/>
          <w:sz w:val="28"/>
          <w:szCs w:val="28"/>
          <w:lang w:val="ro-RO"/>
        </w:rPr>
        <w:t>Aceasta înseamnă, în particular, că:</w:t>
      </w:r>
    </w:p>
    <w:p w:rsidR="001C4C9C" w:rsidRPr="00AA78DA" w:rsidRDefault="001C4C9C" w:rsidP="00441764">
      <w:pPr>
        <w:rPr>
          <w:rFonts w:ascii="Times New Roman" w:eastAsia="Times New Roman" w:hAnsi="Times New Roman"/>
          <w:sz w:val="16"/>
          <w:szCs w:val="16"/>
          <w:lang w:val="ro-RO"/>
        </w:rPr>
      </w:pPr>
    </w:p>
    <w:p w:rsidR="00206917" w:rsidRPr="00AA78DA" w:rsidRDefault="00206917" w:rsidP="00441764">
      <w:pPr>
        <w:pStyle w:val="BodyText"/>
        <w:numPr>
          <w:ilvl w:val="0"/>
          <w:numId w:val="3"/>
        </w:numPr>
        <w:tabs>
          <w:tab w:val="left" w:pos="720"/>
        </w:tabs>
        <w:ind w:left="720" w:hanging="720"/>
        <w:jc w:val="both"/>
        <w:rPr>
          <w:sz w:val="28"/>
          <w:szCs w:val="28"/>
          <w:lang w:val="ro-RO"/>
        </w:rPr>
      </w:pPr>
      <w:r w:rsidRPr="00AA78DA">
        <w:rPr>
          <w:sz w:val="28"/>
          <w:szCs w:val="28"/>
          <w:lang w:val="ro-RO"/>
        </w:rPr>
        <w:t xml:space="preserve">procedurile de funcționare a sistemului RAPEX prevăzute în anexa II la DSGP </w:t>
      </w:r>
      <w:r w:rsidR="001C4C9C" w:rsidRPr="00AA78DA">
        <w:rPr>
          <w:sz w:val="28"/>
          <w:szCs w:val="28"/>
          <w:lang w:val="ro-RO"/>
        </w:rPr>
        <w:t>și în Înstrucțiunile de gestionare RAPEX (Decizia Comisiei 2010/15/UE</w:t>
      </w:r>
      <w:r w:rsidR="00E36C77" w:rsidRPr="00AA78DA">
        <w:rPr>
          <w:rStyle w:val="FootnoteReference"/>
          <w:sz w:val="28"/>
          <w:szCs w:val="28"/>
          <w:lang w:val="ro-RO"/>
        </w:rPr>
        <w:footnoteReference w:id="9"/>
      </w:r>
      <w:r w:rsidR="001C4C9C" w:rsidRPr="00AA78DA">
        <w:rPr>
          <w:sz w:val="28"/>
          <w:szCs w:val="28"/>
          <w:lang w:val="ro-RO"/>
        </w:rPr>
        <w:t xml:space="preserve"> ) se aplică, de asemenea, mutatis mutandis, notificărilor bazate pe Regulament </w:t>
      </w:r>
    </w:p>
    <w:p w:rsidR="00EB4E9D" w:rsidRPr="00AA78DA" w:rsidRDefault="00EB4E9D" w:rsidP="00441764">
      <w:pPr>
        <w:pStyle w:val="BodyText"/>
        <w:tabs>
          <w:tab w:val="left" w:pos="832"/>
        </w:tabs>
        <w:ind w:left="720" w:hanging="720"/>
        <w:jc w:val="both"/>
        <w:rPr>
          <w:sz w:val="16"/>
          <w:szCs w:val="16"/>
          <w:lang w:val="ro-RO"/>
        </w:rPr>
      </w:pPr>
    </w:p>
    <w:p w:rsidR="00B81091" w:rsidRPr="00AA78DA" w:rsidRDefault="00B81091" w:rsidP="00441764">
      <w:pPr>
        <w:pStyle w:val="BodyText"/>
        <w:numPr>
          <w:ilvl w:val="0"/>
          <w:numId w:val="3"/>
        </w:numPr>
        <w:tabs>
          <w:tab w:val="left" w:pos="720"/>
        </w:tabs>
        <w:ind w:left="720" w:hanging="720"/>
        <w:jc w:val="both"/>
        <w:rPr>
          <w:sz w:val="28"/>
          <w:szCs w:val="28"/>
          <w:lang w:val="ro-RO"/>
        </w:rPr>
      </w:pPr>
      <w:r w:rsidRPr="00AA78DA">
        <w:rPr>
          <w:sz w:val="28"/>
          <w:szCs w:val="28"/>
          <w:lang w:val="ro-RO"/>
        </w:rPr>
        <w:t xml:space="preserve">Comitetul GPSD are un rol consultativ în adoptarea oricăror instrucțiuni </w:t>
      </w:r>
      <w:r w:rsidRPr="00AA78DA">
        <w:rPr>
          <w:sz w:val="28"/>
          <w:szCs w:val="28"/>
          <w:lang w:val="ro-RO"/>
        </w:rPr>
        <w:lastRenderedPageBreak/>
        <w:t xml:space="preserve">pentru notificări în temeiul articolului 22 din </w:t>
      </w:r>
      <w:r w:rsidR="00E669B5" w:rsidRPr="00AA78DA">
        <w:rPr>
          <w:sz w:val="28"/>
          <w:szCs w:val="28"/>
          <w:lang w:val="ro-RO"/>
        </w:rPr>
        <w:t>R</w:t>
      </w:r>
      <w:r w:rsidRPr="00AA78DA">
        <w:rPr>
          <w:sz w:val="28"/>
          <w:szCs w:val="28"/>
          <w:lang w:val="ro-RO"/>
        </w:rPr>
        <w:t xml:space="preserve">egulament; și </w:t>
      </w:r>
    </w:p>
    <w:p w:rsidR="00EB4E9D" w:rsidRPr="00AA78DA" w:rsidRDefault="00EB4E9D" w:rsidP="00441764">
      <w:pPr>
        <w:ind w:left="720" w:hanging="720"/>
        <w:rPr>
          <w:rFonts w:ascii="Times New Roman" w:hAnsi="Times New Roman" w:cs="Times New Roman"/>
          <w:sz w:val="16"/>
          <w:szCs w:val="16"/>
          <w:lang w:val="ro-RO"/>
        </w:rPr>
      </w:pPr>
    </w:p>
    <w:p w:rsidR="00B81091" w:rsidRPr="00AA78DA" w:rsidRDefault="00B81091" w:rsidP="00441764">
      <w:pPr>
        <w:pStyle w:val="BodyText"/>
        <w:numPr>
          <w:ilvl w:val="0"/>
          <w:numId w:val="3"/>
        </w:numPr>
        <w:tabs>
          <w:tab w:val="left" w:pos="720"/>
        </w:tabs>
        <w:ind w:left="720" w:hanging="720"/>
        <w:jc w:val="both"/>
        <w:rPr>
          <w:sz w:val="28"/>
          <w:szCs w:val="28"/>
          <w:lang w:val="ro-RO"/>
        </w:rPr>
      </w:pPr>
      <w:r w:rsidRPr="00AA78DA">
        <w:rPr>
          <w:sz w:val="28"/>
          <w:szCs w:val="28"/>
          <w:lang w:val="ro-RO"/>
        </w:rPr>
        <w:t>accesul țărilor terțe la sistemul RAPEX este stabilit pe baza și în condițiile prevăzute în articolul 12 alineatul (4) din DSGP, deasemenea și în ceea ce privește notificările făcute pe baza Regulamentului.</w:t>
      </w:r>
    </w:p>
    <w:p w:rsidR="00EB4E9D" w:rsidRPr="00AA78DA" w:rsidRDefault="00EB4E9D" w:rsidP="00441764">
      <w:pPr>
        <w:rPr>
          <w:rFonts w:ascii="Times New Roman" w:hAnsi="Times New Roman" w:cs="Times New Roman"/>
          <w:sz w:val="16"/>
          <w:szCs w:val="16"/>
          <w:lang w:val="ro-RO"/>
        </w:rPr>
      </w:pPr>
    </w:p>
    <w:p w:rsidR="00FE605D" w:rsidRDefault="003946A9" w:rsidP="00441764">
      <w:pPr>
        <w:tabs>
          <w:tab w:val="left" w:pos="839"/>
        </w:tabs>
        <w:ind w:right="-7"/>
        <w:jc w:val="both"/>
        <w:rPr>
          <w:rFonts w:ascii="Times New Roman" w:eastAsia="Times New Roman" w:hAnsi="Times New Roman" w:cs="Times New Roman"/>
          <w:sz w:val="16"/>
          <w:szCs w:val="16"/>
          <w:lang w:val="ro-RO"/>
        </w:rPr>
      </w:pPr>
      <w:r w:rsidRPr="00AA78DA">
        <w:rPr>
          <w:rFonts w:ascii="Times New Roman" w:hAnsi="Times New Roman" w:cs="Times New Roman"/>
          <w:b/>
          <w:w w:val="105"/>
          <w:sz w:val="28"/>
          <w:szCs w:val="28"/>
          <w:lang w:val="ro-RO"/>
        </w:rPr>
        <w:t>2.3.1</w:t>
      </w:r>
      <w:r w:rsidRPr="00AA78DA">
        <w:rPr>
          <w:rFonts w:ascii="Times New Roman" w:hAnsi="Times New Roman" w:cs="Times New Roman"/>
          <w:b/>
          <w:spacing w:val="-3"/>
          <w:w w:val="105"/>
          <w:sz w:val="28"/>
          <w:szCs w:val="28"/>
          <w:lang w:val="ro-RO"/>
        </w:rPr>
        <w:t xml:space="preserve"> </w:t>
      </w:r>
      <w:r w:rsidR="00B81091" w:rsidRPr="00DA24EA">
        <w:rPr>
          <w:rFonts w:ascii="Times New Roman" w:eastAsia="Times New Roman" w:hAnsi="Times New Roman" w:cs="Times New Roman"/>
          <w:sz w:val="28"/>
          <w:szCs w:val="28"/>
          <w:lang w:val="ro-RO"/>
        </w:rPr>
        <w:t xml:space="preserve">Notificarea măsurilor privind produsele de consum armonizate care prezintă un risc </w:t>
      </w:r>
      <w:r w:rsidR="00151708" w:rsidRPr="00DA24EA">
        <w:rPr>
          <w:rFonts w:ascii="Times New Roman" w:eastAsia="Times New Roman" w:hAnsi="Times New Roman" w:cs="Times New Roman"/>
          <w:sz w:val="28"/>
          <w:szCs w:val="28"/>
          <w:lang w:val="ro-RO"/>
        </w:rPr>
        <w:t>major</w:t>
      </w:r>
      <w:r w:rsidR="00B81091" w:rsidRPr="00DA24EA">
        <w:rPr>
          <w:rFonts w:ascii="Times New Roman" w:eastAsia="Times New Roman" w:hAnsi="Times New Roman" w:cs="Times New Roman"/>
          <w:sz w:val="28"/>
          <w:szCs w:val="28"/>
          <w:lang w:val="ro-RO"/>
        </w:rPr>
        <w:t xml:space="preserve"> pentru sănătate și siguranță</w:t>
      </w:r>
    </w:p>
    <w:p w:rsidR="00B81091" w:rsidRPr="00FE605D" w:rsidRDefault="00B81091" w:rsidP="00441764">
      <w:pPr>
        <w:tabs>
          <w:tab w:val="left" w:pos="839"/>
        </w:tabs>
        <w:ind w:right="-7"/>
        <w:jc w:val="both"/>
        <w:rPr>
          <w:rFonts w:ascii="Times New Roman" w:eastAsia="Times New Roman" w:hAnsi="Times New Roman" w:cs="Times New Roman"/>
          <w:sz w:val="16"/>
          <w:szCs w:val="16"/>
          <w:lang w:val="ro-RO"/>
        </w:rPr>
      </w:pPr>
      <w:r w:rsidRPr="00FE605D">
        <w:rPr>
          <w:rFonts w:ascii="Times New Roman" w:eastAsia="Times New Roman" w:hAnsi="Times New Roman" w:cs="Times New Roman"/>
          <w:i/>
          <w:sz w:val="16"/>
          <w:szCs w:val="16"/>
          <w:lang w:val="ro-RO"/>
        </w:rPr>
        <w:t xml:space="preserve"> </w:t>
      </w:r>
    </w:p>
    <w:tbl>
      <w:tblPr>
        <w:tblStyle w:val="TableGrid"/>
        <w:tblW w:w="0" w:type="auto"/>
        <w:tblLook w:val="04A0" w:firstRow="1" w:lastRow="0" w:firstColumn="1" w:lastColumn="0" w:noHBand="0" w:noVBand="1"/>
      </w:tblPr>
      <w:tblGrid>
        <w:gridCol w:w="9343"/>
      </w:tblGrid>
      <w:tr w:rsidR="00FE605D" w:rsidTr="00FE605D">
        <w:tc>
          <w:tcPr>
            <w:tcW w:w="9343" w:type="dxa"/>
            <w:shd w:val="clear" w:color="auto" w:fill="F79646" w:themeFill="accent6"/>
          </w:tcPr>
          <w:p w:rsidR="00FE605D" w:rsidRPr="00FE605D" w:rsidRDefault="00FE605D" w:rsidP="00FE605D">
            <w:pPr>
              <w:ind w:right="-7" w:firstLine="697"/>
              <w:rPr>
                <w:rFonts w:ascii="Times New Roman" w:eastAsia="Times New Roman" w:hAnsi="Times New Roman" w:cs="Times New Roman"/>
                <w:sz w:val="24"/>
                <w:szCs w:val="24"/>
                <w:lang w:eastAsia="en-GB"/>
              </w:rPr>
            </w:pPr>
            <w:r w:rsidRPr="00FE605D">
              <w:rPr>
                <w:rFonts w:ascii="Times New Roman" w:eastAsia="Times New Roman" w:hAnsi="Times New Roman"/>
                <w:b/>
                <w:sz w:val="24"/>
                <w:szCs w:val="24"/>
                <w:lang w:val="ro-RO"/>
              </w:rPr>
              <w:t>Articolul 2</w:t>
            </w:r>
            <w:r>
              <w:rPr>
                <w:rFonts w:ascii="Times New Roman" w:eastAsia="Times New Roman" w:hAnsi="Times New Roman"/>
                <w:b/>
                <w:sz w:val="24"/>
                <w:szCs w:val="24"/>
                <w:lang w:val="ro-RO"/>
              </w:rPr>
              <w:t>2</w:t>
            </w:r>
            <w:r w:rsidRPr="00FE605D">
              <w:rPr>
                <w:rFonts w:ascii="Times New Roman" w:eastAsia="Times New Roman" w:hAnsi="Times New Roman"/>
                <w:b/>
                <w:sz w:val="24"/>
                <w:szCs w:val="24"/>
                <w:lang w:val="ro-RO"/>
              </w:rPr>
              <w:t>.</w:t>
            </w:r>
            <w:r w:rsidRPr="00FE605D">
              <w:rPr>
                <w:rFonts w:ascii="Times New Roman" w:eastAsia="Times New Roman" w:hAnsi="Times New Roman" w:cs="Times New Roman"/>
                <w:b/>
                <w:bCs/>
                <w:sz w:val="24"/>
                <w:szCs w:val="24"/>
                <w:lang w:val="ro-RO" w:eastAsia="en-GB"/>
              </w:rPr>
              <w:t xml:space="preserve"> </w:t>
            </w:r>
            <w:r w:rsidRPr="00FE605D">
              <w:rPr>
                <w:rFonts w:ascii="Times New Roman" w:eastAsia="Times New Roman" w:hAnsi="Times New Roman" w:cs="Times New Roman"/>
                <w:b/>
                <w:bCs/>
                <w:sz w:val="24"/>
                <w:szCs w:val="24"/>
                <w:lang w:eastAsia="en-GB"/>
              </w:rPr>
              <w:t>Produse care prezintă un risc grav</w:t>
            </w:r>
            <w:r w:rsidRPr="00FE605D">
              <w:rPr>
                <w:rFonts w:ascii="Times New Roman" w:eastAsia="Times New Roman" w:hAnsi="Times New Roman" w:cs="Times New Roman"/>
                <w:sz w:val="24"/>
                <w:szCs w:val="24"/>
                <w:lang w:eastAsia="en-GB"/>
              </w:rPr>
              <w:t xml:space="preserve"> </w:t>
            </w:r>
          </w:p>
          <w:p w:rsidR="00FE605D" w:rsidRPr="00FE605D" w:rsidRDefault="00FE605D" w:rsidP="00DB51B0">
            <w:pPr>
              <w:ind w:right="-7" w:firstLine="697"/>
              <w:jc w:val="both"/>
              <w:rPr>
                <w:rFonts w:ascii="Times New Roman" w:hAnsi="Times New Roman" w:cs="Times New Roman"/>
                <w:sz w:val="16"/>
                <w:szCs w:val="16"/>
              </w:rPr>
            </w:pPr>
            <w:r w:rsidRPr="00FE605D">
              <w:rPr>
                <w:rFonts w:ascii="Times New Roman" w:eastAsia="Times New Roman" w:hAnsi="Times New Roman" w:cs="Times New Roman"/>
                <w:sz w:val="24"/>
                <w:szCs w:val="24"/>
                <w:lang w:eastAsia="en-GB"/>
              </w:rPr>
              <w:t>(1)</w:t>
            </w:r>
            <w:r w:rsidR="00DB51B0">
              <w:rPr>
                <w:rFonts w:ascii="Times New Roman" w:eastAsia="Times New Roman" w:hAnsi="Times New Roman" w:cs="Times New Roman"/>
                <w:sz w:val="24"/>
                <w:szCs w:val="24"/>
                <w:lang w:eastAsia="en-GB"/>
              </w:rPr>
              <w:t xml:space="preserve"> </w:t>
            </w:r>
            <w:r w:rsidRPr="00FE605D">
              <w:rPr>
                <w:rFonts w:ascii="Times New Roman" w:eastAsia="Times New Roman" w:hAnsi="Times New Roman" w:cs="Times New Roman"/>
                <w:sz w:val="24"/>
                <w:szCs w:val="24"/>
                <w:lang w:eastAsia="en-GB"/>
              </w:rPr>
              <w:t>Fiecare stat membru garantează că produsele care prezintă un risc grav care impune o intervenție rapidă, inclusiv un risc grav ale cărui efecte nu sunt imediate, fie sunt rechemate sau retrase de pe piață, fie este interzisă punerea la dispoziție pe piața acestora, iar Comisia este informată fără întârziere, în conformitate cu articolul 22.</w:t>
            </w:r>
          </w:p>
        </w:tc>
      </w:tr>
    </w:tbl>
    <w:p w:rsidR="00EB4E9D" w:rsidRPr="00AA78DA" w:rsidRDefault="00EB4E9D" w:rsidP="00441764">
      <w:pPr>
        <w:ind w:right="-7"/>
        <w:rPr>
          <w:rFonts w:ascii="Times New Roman" w:hAnsi="Times New Roman" w:cs="Times New Roman"/>
          <w:sz w:val="16"/>
          <w:szCs w:val="16"/>
          <w:lang w:val="ro-RO"/>
        </w:rPr>
      </w:pPr>
    </w:p>
    <w:p w:rsidR="00650A29" w:rsidRDefault="00650A29" w:rsidP="00441764">
      <w:pPr>
        <w:pStyle w:val="BodyText"/>
        <w:ind w:left="0" w:right="-7"/>
        <w:jc w:val="both"/>
        <w:rPr>
          <w:rFonts w:cs="Times New Roman"/>
          <w:sz w:val="16"/>
          <w:szCs w:val="16"/>
          <w:lang w:val="ro-RO"/>
        </w:rPr>
      </w:pPr>
      <w:r w:rsidRPr="00AA78DA">
        <w:rPr>
          <w:rFonts w:cs="Times New Roman"/>
          <w:sz w:val="28"/>
          <w:szCs w:val="28"/>
          <w:lang w:val="ro-RO"/>
        </w:rPr>
        <w:t>Articolul 22 alineatul (1) din R</w:t>
      </w:r>
      <w:r w:rsidR="00B81091" w:rsidRPr="00AA78DA">
        <w:rPr>
          <w:rFonts w:cs="Times New Roman"/>
          <w:sz w:val="28"/>
          <w:szCs w:val="28"/>
          <w:lang w:val="ro-RO"/>
        </w:rPr>
        <w:t>egulament obligă statele membre să notifice Comisi</w:t>
      </w:r>
      <w:r w:rsidRPr="00AA78DA">
        <w:rPr>
          <w:rFonts w:cs="Times New Roman"/>
          <w:sz w:val="28"/>
          <w:szCs w:val="28"/>
          <w:lang w:val="ro-RO"/>
        </w:rPr>
        <w:t>a</w:t>
      </w:r>
      <w:r w:rsidR="00B81091" w:rsidRPr="00AA78DA">
        <w:rPr>
          <w:rFonts w:cs="Times New Roman"/>
          <w:sz w:val="28"/>
          <w:szCs w:val="28"/>
          <w:lang w:val="ro-RO"/>
        </w:rPr>
        <w:t xml:space="preserve">, prin </w:t>
      </w:r>
      <w:r w:rsidRPr="00AA78DA">
        <w:rPr>
          <w:rFonts w:cs="Times New Roman"/>
          <w:sz w:val="28"/>
          <w:szCs w:val="28"/>
          <w:lang w:val="ro-RO"/>
        </w:rPr>
        <w:t xml:space="preserve">măsuri ale </w:t>
      </w:r>
      <w:r w:rsidR="00B81091" w:rsidRPr="00AA78DA">
        <w:rPr>
          <w:rFonts w:cs="Times New Roman"/>
          <w:sz w:val="28"/>
          <w:szCs w:val="28"/>
          <w:lang w:val="ro-RO"/>
        </w:rPr>
        <w:t>sistemul RAPEX, luate în conformitate cu articolul 20, și anume retrageri, re</w:t>
      </w:r>
      <w:r w:rsidRPr="00AA78DA">
        <w:rPr>
          <w:rFonts w:cs="Times New Roman"/>
          <w:sz w:val="28"/>
          <w:szCs w:val="28"/>
          <w:lang w:val="ro-RO"/>
        </w:rPr>
        <w:t>chemări</w:t>
      </w:r>
      <w:r w:rsidR="00B81091" w:rsidRPr="00AA78DA">
        <w:rPr>
          <w:rFonts w:cs="Times New Roman"/>
          <w:sz w:val="28"/>
          <w:szCs w:val="28"/>
          <w:lang w:val="ro-RO"/>
        </w:rPr>
        <w:t xml:space="preserve"> și interdicții de comercializare a produselor armonizate care prezintă un risc </w:t>
      </w:r>
      <w:r w:rsidR="00151708" w:rsidRPr="00AA78DA">
        <w:rPr>
          <w:rFonts w:cs="Times New Roman"/>
          <w:sz w:val="28"/>
          <w:szCs w:val="28"/>
          <w:lang w:val="ro-RO"/>
        </w:rPr>
        <w:t>major</w:t>
      </w:r>
      <w:r w:rsidR="00B81091" w:rsidRPr="00AA78DA">
        <w:rPr>
          <w:rFonts w:cs="Times New Roman"/>
          <w:sz w:val="28"/>
          <w:szCs w:val="28"/>
          <w:lang w:val="ro-RO"/>
        </w:rPr>
        <w:t xml:space="preserve">, atunci când se consideră că motivele care au determinat măsura sau efectele măsurii depășesc teritoriul </w:t>
      </w:r>
      <w:r w:rsidR="003A43AE" w:rsidRPr="00AA78DA">
        <w:rPr>
          <w:rFonts w:cs="Times New Roman"/>
          <w:sz w:val="28"/>
          <w:szCs w:val="28"/>
          <w:lang w:val="ro-RO"/>
        </w:rPr>
        <w:t>S</w:t>
      </w:r>
      <w:r w:rsidR="00B81091" w:rsidRPr="00AA78DA">
        <w:rPr>
          <w:rFonts w:cs="Times New Roman"/>
          <w:sz w:val="28"/>
          <w:szCs w:val="28"/>
          <w:lang w:val="ro-RO"/>
        </w:rPr>
        <w:t xml:space="preserve">tatului </w:t>
      </w:r>
      <w:r w:rsidR="003A43AE" w:rsidRPr="00AA78DA">
        <w:rPr>
          <w:rFonts w:cs="Times New Roman"/>
          <w:sz w:val="28"/>
          <w:szCs w:val="28"/>
          <w:lang w:val="ro-RO"/>
        </w:rPr>
        <w:t>M</w:t>
      </w:r>
      <w:r w:rsidR="00B81091" w:rsidRPr="00AA78DA">
        <w:rPr>
          <w:rFonts w:cs="Times New Roman"/>
          <w:sz w:val="28"/>
          <w:szCs w:val="28"/>
          <w:lang w:val="ro-RO"/>
        </w:rPr>
        <w:t>embru notificator</w:t>
      </w:r>
      <w:r w:rsidRPr="00AA78DA">
        <w:rPr>
          <w:rFonts w:cs="Times New Roman"/>
          <w:sz w:val="28"/>
          <w:szCs w:val="28"/>
          <w:lang w:val="ro-RO"/>
        </w:rPr>
        <w:t xml:space="preserve">. Această obligație include, de asemenea, notificări privind măsurile recomandate sau convenite cu operatorii economici. De asemenea, trebuie notificate măsurile voluntare luate de operatorii economici cu privire la produsele care prezintă un risc </w:t>
      </w:r>
      <w:r w:rsidR="00151708" w:rsidRPr="00AA78DA">
        <w:rPr>
          <w:rFonts w:cs="Times New Roman"/>
          <w:sz w:val="28"/>
          <w:szCs w:val="28"/>
          <w:lang w:val="ro-RO"/>
        </w:rPr>
        <w:t>major</w:t>
      </w:r>
      <w:r w:rsidRPr="00AA78DA">
        <w:rPr>
          <w:rFonts w:cs="Times New Roman"/>
          <w:sz w:val="28"/>
          <w:szCs w:val="28"/>
          <w:lang w:val="ro-RO"/>
        </w:rPr>
        <w:t>.</w:t>
      </w:r>
    </w:p>
    <w:p w:rsidR="00DB51B0" w:rsidRPr="00DB51B0" w:rsidRDefault="00DB51B0" w:rsidP="00441764">
      <w:pPr>
        <w:pStyle w:val="BodyText"/>
        <w:ind w:left="0" w:right="-7"/>
        <w:jc w:val="both"/>
        <w:rPr>
          <w:rFonts w:cs="Times New Roman"/>
          <w:sz w:val="16"/>
          <w:szCs w:val="16"/>
          <w:lang w:val="ro-RO"/>
        </w:rPr>
      </w:pPr>
    </w:p>
    <w:tbl>
      <w:tblPr>
        <w:tblStyle w:val="TableGrid"/>
        <w:tblW w:w="0" w:type="auto"/>
        <w:tblLook w:val="04A0" w:firstRow="1" w:lastRow="0" w:firstColumn="1" w:lastColumn="0" w:noHBand="0" w:noVBand="1"/>
      </w:tblPr>
      <w:tblGrid>
        <w:gridCol w:w="9343"/>
      </w:tblGrid>
      <w:tr w:rsidR="00FE605D" w:rsidTr="00FE605D">
        <w:tc>
          <w:tcPr>
            <w:tcW w:w="9343" w:type="dxa"/>
            <w:shd w:val="clear" w:color="auto" w:fill="F2DBDB" w:themeFill="accent2" w:themeFillTint="33"/>
          </w:tcPr>
          <w:p w:rsidR="00DB51B0" w:rsidRPr="00DB51B0" w:rsidRDefault="00DB51B0" w:rsidP="00DB51B0">
            <w:pPr>
              <w:ind w:firstLine="697"/>
              <w:jc w:val="both"/>
              <w:rPr>
                <w:rFonts w:ascii="Times New Roman" w:eastAsia="Times New Roman" w:hAnsi="Times New Roman" w:cs="Times New Roman"/>
                <w:b/>
                <w:sz w:val="24"/>
                <w:szCs w:val="24"/>
                <w:lang w:val="ro-RO"/>
              </w:rPr>
            </w:pPr>
            <w:r w:rsidRPr="00DB51B0">
              <w:rPr>
                <w:rFonts w:ascii="Times New Roman" w:eastAsia="Times New Roman" w:hAnsi="Times New Roman" w:cs="Times New Roman"/>
                <w:b/>
                <w:sz w:val="24"/>
                <w:szCs w:val="24"/>
                <w:lang w:val="ro-RO"/>
              </w:rPr>
              <w:t>Articolul 12</w:t>
            </w:r>
          </w:p>
          <w:p w:rsidR="00FE605D" w:rsidRDefault="00DB51B0" w:rsidP="00DB51B0">
            <w:pPr>
              <w:ind w:right="-7" w:firstLine="697"/>
              <w:jc w:val="both"/>
              <w:rPr>
                <w:rFonts w:ascii="Times New Roman" w:hAnsi="Times New Roman" w:cs="Times New Roman"/>
                <w:sz w:val="16"/>
                <w:szCs w:val="16"/>
                <w:lang w:val="ro-RO"/>
              </w:rPr>
            </w:pPr>
            <w:r w:rsidRPr="003E395D">
              <w:rPr>
                <w:rFonts w:ascii="Times New Roman" w:eastAsia="Arial Unicode MS" w:hAnsi="Times New Roman" w:cs="Times New Roman"/>
                <w:sz w:val="24"/>
                <w:szCs w:val="24"/>
                <w:lang w:val="ro-RO" w:eastAsia="en-GB"/>
              </w:rPr>
              <w:t>(1) În cazul în care un stat membru adoptă sau decide să adopte, să recomande sau să convină cu producătorii și distribuitorii, în mod obligatoriu sau voluntar, măsuri sau acțiuni pentru prevenirea, restricționarea sau impunerea unor condiții specifice referitoare la posibila comercializare sau utilizare, în limitele propriului său teritoriu, a produselor din cauza unui risc major, el transmite imediat o notificare Comisiei în acest sens prin RAPEX. De asemenea, el informează de îndată Comisia în legătură cu modificarea sau retragerea oricărei astfel de măsuri sau acțiuni.</w:t>
            </w:r>
          </w:p>
        </w:tc>
      </w:tr>
    </w:tbl>
    <w:p w:rsidR="00EB4E9D" w:rsidRPr="00AA78DA" w:rsidRDefault="00EB4E9D" w:rsidP="00441764">
      <w:pPr>
        <w:ind w:right="-7"/>
        <w:rPr>
          <w:rFonts w:ascii="Times New Roman" w:hAnsi="Times New Roman" w:cs="Times New Roman"/>
          <w:sz w:val="16"/>
          <w:szCs w:val="16"/>
          <w:lang w:val="ro-RO"/>
        </w:rPr>
      </w:pPr>
    </w:p>
    <w:p w:rsidR="003A43AE" w:rsidRPr="00AA78DA" w:rsidRDefault="003A43AE" w:rsidP="00441764">
      <w:pPr>
        <w:ind w:right="-7"/>
        <w:jc w:val="both"/>
        <w:rPr>
          <w:rFonts w:ascii="Times New Roman" w:eastAsia="Times New Roman" w:hAnsi="Times New Roman" w:cs="Times New Roman"/>
          <w:sz w:val="28"/>
          <w:szCs w:val="28"/>
          <w:lang w:val="ro-RO"/>
        </w:rPr>
      </w:pPr>
      <w:r w:rsidRPr="00AA78DA">
        <w:rPr>
          <w:rFonts w:ascii="Times New Roman" w:eastAsia="Times New Roman" w:hAnsi="Times New Roman" w:cs="Times New Roman"/>
          <w:sz w:val="28"/>
          <w:szCs w:val="28"/>
          <w:lang w:val="ro-RO"/>
        </w:rPr>
        <w:t xml:space="preserve">Articolul 12 alineatul (1) din DSGP impune Statelor Membre să prezinte o notificare RAPEX atunci când adoptă sau decid să adopte măsuri sau acțiuni pentru prevenirea, restricționarea sau impunerea unor condiții specifice privind posibila comercializare sau utilizare a produselor de consum armonizate care prezintă un risc </w:t>
      </w:r>
      <w:r w:rsidR="00151708" w:rsidRPr="00AA78DA">
        <w:rPr>
          <w:rFonts w:ascii="Times New Roman" w:eastAsia="Times New Roman" w:hAnsi="Times New Roman" w:cs="Times New Roman"/>
          <w:sz w:val="28"/>
          <w:szCs w:val="28"/>
          <w:lang w:val="ro-RO"/>
        </w:rPr>
        <w:t>major</w:t>
      </w:r>
      <w:r w:rsidRPr="00AA78DA">
        <w:rPr>
          <w:rFonts w:ascii="Times New Roman" w:eastAsia="Times New Roman" w:hAnsi="Times New Roman" w:cs="Times New Roman"/>
          <w:sz w:val="28"/>
          <w:szCs w:val="28"/>
          <w:lang w:val="ro-RO"/>
        </w:rPr>
        <w:t xml:space="preserve"> și când se consideră că efectele riscului nu se limitează la teritoriul național.</w:t>
      </w:r>
    </w:p>
    <w:p w:rsidR="00EB4E9D" w:rsidRPr="00AA78DA" w:rsidRDefault="00EB4E9D" w:rsidP="00441764">
      <w:pPr>
        <w:ind w:right="-7"/>
        <w:rPr>
          <w:rFonts w:ascii="Times New Roman" w:hAnsi="Times New Roman" w:cs="Times New Roman"/>
          <w:sz w:val="16"/>
          <w:szCs w:val="16"/>
          <w:lang w:val="ro-RO"/>
        </w:rPr>
      </w:pPr>
    </w:p>
    <w:p w:rsidR="00151708" w:rsidRPr="00AA78DA" w:rsidRDefault="00151708" w:rsidP="00441764">
      <w:pPr>
        <w:pStyle w:val="BodyText"/>
        <w:ind w:left="0" w:right="-7"/>
        <w:jc w:val="both"/>
        <w:rPr>
          <w:rFonts w:cs="Times New Roman"/>
          <w:sz w:val="28"/>
          <w:szCs w:val="28"/>
          <w:lang w:val="ro-RO"/>
        </w:rPr>
      </w:pPr>
      <w:r w:rsidRPr="00AA78DA">
        <w:rPr>
          <w:rFonts w:cs="Times New Roman"/>
          <w:sz w:val="28"/>
          <w:szCs w:val="28"/>
          <w:lang w:val="ro-RO"/>
        </w:rPr>
        <w:t>Prin urmare, de la data aplic</w:t>
      </w:r>
      <w:r w:rsidR="00357BA4" w:rsidRPr="00AA78DA">
        <w:rPr>
          <w:rFonts w:cs="Times New Roman"/>
          <w:sz w:val="28"/>
          <w:szCs w:val="28"/>
          <w:lang w:val="ro-RO"/>
        </w:rPr>
        <w:t>abilității</w:t>
      </w:r>
      <w:r w:rsidRPr="00AA78DA">
        <w:rPr>
          <w:rFonts w:cs="Times New Roman"/>
          <w:sz w:val="28"/>
          <w:szCs w:val="28"/>
          <w:lang w:val="ro-RO"/>
        </w:rPr>
        <w:t xml:space="preserve"> </w:t>
      </w:r>
      <w:r w:rsidR="00357BA4" w:rsidRPr="00AA78DA">
        <w:rPr>
          <w:rFonts w:cs="Times New Roman"/>
          <w:sz w:val="28"/>
          <w:szCs w:val="28"/>
          <w:lang w:val="ro-RO"/>
        </w:rPr>
        <w:t>R</w:t>
      </w:r>
      <w:r w:rsidRPr="00AA78DA">
        <w:rPr>
          <w:rFonts w:cs="Times New Roman"/>
          <w:sz w:val="28"/>
          <w:szCs w:val="28"/>
          <w:lang w:val="ro-RO"/>
        </w:rPr>
        <w:t>egulamentului</w:t>
      </w:r>
      <w:r w:rsidR="00357BA4" w:rsidRPr="00AA78DA">
        <w:rPr>
          <w:rFonts w:cs="Times New Roman"/>
          <w:sz w:val="28"/>
          <w:szCs w:val="28"/>
          <w:lang w:val="ro-RO"/>
        </w:rPr>
        <w:t>,</w:t>
      </w:r>
      <w:r w:rsidRPr="00AA78DA">
        <w:rPr>
          <w:rFonts w:cs="Times New Roman"/>
          <w:sz w:val="28"/>
          <w:szCs w:val="28"/>
          <w:lang w:val="ro-RO"/>
        </w:rPr>
        <w:t xml:space="preserve"> </w:t>
      </w:r>
      <w:r w:rsidR="00D310D1" w:rsidRPr="00AA78DA">
        <w:rPr>
          <w:rFonts w:cs="Times New Roman"/>
          <w:sz w:val="28"/>
          <w:szCs w:val="28"/>
          <w:lang w:val="ro-RO"/>
        </w:rPr>
        <w:t>0</w:t>
      </w:r>
      <w:r w:rsidRPr="00AA78DA">
        <w:rPr>
          <w:rFonts w:cs="Times New Roman"/>
          <w:sz w:val="28"/>
          <w:szCs w:val="28"/>
          <w:lang w:val="ro-RO"/>
        </w:rPr>
        <w:t xml:space="preserve">1 ianuarie 2010, temeiul juridic al notificărilor RAPEX </w:t>
      </w:r>
      <w:r w:rsidR="00357BA4" w:rsidRPr="00AA78DA">
        <w:rPr>
          <w:rFonts w:cs="Times New Roman"/>
          <w:sz w:val="28"/>
          <w:szCs w:val="28"/>
          <w:lang w:val="ro-RO"/>
        </w:rPr>
        <w:t>privind</w:t>
      </w:r>
      <w:r w:rsidRPr="00AA78DA">
        <w:rPr>
          <w:rFonts w:cs="Times New Roman"/>
          <w:sz w:val="28"/>
          <w:szCs w:val="28"/>
          <w:lang w:val="ro-RO"/>
        </w:rPr>
        <w:t xml:space="preserve"> re</w:t>
      </w:r>
      <w:r w:rsidR="00357BA4" w:rsidRPr="00AA78DA">
        <w:rPr>
          <w:rFonts w:cs="Times New Roman"/>
          <w:sz w:val="28"/>
          <w:szCs w:val="28"/>
          <w:lang w:val="ro-RO"/>
        </w:rPr>
        <w:t>chemările</w:t>
      </w:r>
      <w:r w:rsidRPr="00AA78DA">
        <w:rPr>
          <w:rFonts w:cs="Times New Roman"/>
          <w:sz w:val="28"/>
          <w:szCs w:val="28"/>
          <w:lang w:val="ro-RO"/>
        </w:rPr>
        <w:t>, retrageri</w:t>
      </w:r>
      <w:r w:rsidR="00357BA4" w:rsidRPr="00AA78DA">
        <w:rPr>
          <w:rFonts w:cs="Times New Roman"/>
          <w:sz w:val="28"/>
          <w:szCs w:val="28"/>
          <w:lang w:val="ro-RO"/>
        </w:rPr>
        <w:t>le</w:t>
      </w:r>
      <w:r w:rsidRPr="00AA78DA">
        <w:rPr>
          <w:rFonts w:cs="Times New Roman"/>
          <w:sz w:val="28"/>
          <w:szCs w:val="28"/>
          <w:lang w:val="ro-RO"/>
        </w:rPr>
        <w:t xml:space="preserve"> și interdicții</w:t>
      </w:r>
      <w:r w:rsidR="00357BA4" w:rsidRPr="00AA78DA">
        <w:rPr>
          <w:rFonts w:cs="Times New Roman"/>
          <w:sz w:val="28"/>
          <w:szCs w:val="28"/>
          <w:lang w:val="ro-RO"/>
        </w:rPr>
        <w:t>le</w:t>
      </w:r>
      <w:r w:rsidRPr="00AA78DA">
        <w:rPr>
          <w:rFonts w:cs="Times New Roman"/>
          <w:sz w:val="28"/>
          <w:szCs w:val="28"/>
          <w:lang w:val="ro-RO"/>
        </w:rPr>
        <w:t xml:space="preserve"> de introducere pe piață a produselor de consum armonizate care prezintă un risc </w:t>
      </w:r>
      <w:r w:rsidR="00357BA4" w:rsidRPr="00AA78DA">
        <w:rPr>
          <w:rFonts w:cs="Times New Roman"/>
          <w:sz w:val="28"/>
          <w:szCs w:val="28"/>
          <w:lang w:val="ro-RO"/>
        </w:rPr>
        <w:t>major</w:t>
      </w:r>
      <w:r w:rsidRPr="00AA78DA">
        <w:rPr>
          <w:rFonts w:cs="Times New Roman"/>
          <w:sz w:val="28"/>
          <w:szCs w:val="28"/>
          <w:lang w:val="ro-RO"/>
        </w:rPr>
        <w:t xml:space="preserve">, inclusiv măsurile de însoțire, nu </w:t>
      </w:r>
      <w:r w:rsidR="00357BA4" w:rsidRPr="00AA78DA">
        <w:rPr>
          <w:rFonts w:cs="Times New Roman"/>
          <w:sz w:val="28"/>
          <w:szCs w:val="28"/>
          <w:lang w:val="ro-RO"/>
        </w:rPr>
        <w:t xml:space="preserve">il </w:t>
      </w:r>
      <w:r w:rsidRPr="00AA78DA">
        <w:rPr>
          <w:rFonts w:cs="Times New Roman"/>
          <w:sz w:val="28"/>
          <w:szCs w:val="28"/>
          <w:lang w:val="ro-RO"/>
        </w:rPr>
        <w:t xml:space="preserve">mai </w:t>
      </w:r>
      <w:r w:rsidR="00357BA4" w:rsidRPr="00AA78DA">
        <w:rPr>
          <w:rFonts w:cs="Times New Roman"/>
          <w:sz w:val="28"/>
          <w:szCs w:val="28"/>
          <w:lang w:val="ro-RO"/>
        </w:rPr>
        <w:t>reprezintă</w:t>
      </w:r>
      <w:r w:rsidRPr="00AA78DA">
        <w:rPr>
          <w:rFonts w:cs="Times New Roman"/>
          <w:sz w:val="28"/>
          <w:szCs w:val="28"/>
          <w:lang w:val="ro-RO"/>
        </w:rPr>
        <w:t xml:space="preserve"> articolul 12</w:t>
      </w:r>
      <w:r w:rsidR="00357BA4" w:rsidRPr="00AA78DA">
        <w:rPr>
          <w:rFonts w:cs="Times New Roman"/>
          <w:sz w:val="28"/>
          <w:szCs w:val="28"/>
          <w:lang w:val="ro-RO"/>
        </w:rPr>
        <w:t xml:space="preserve"> din DSGP, ci articolul 22 din R</w:t>
      </w:r>
      <w:r w:rsidRPr="00AA78DA">
        <w:rPr>
          <w:rFonts w:cs="Times New Roman"/>
          <w:sz w:val="28"/>
          <w:szCs w:val="28"/>
          <w:lang w:val="ro-RO"/>
        </w:rPr>
        <w:t xml:space="preserve">egulament. Aceasta înseamnă că trebuie îndeplinite condițiile de notificare prevăzute </w:t>
      </w:r>
      <w:r w:rsidR="00357BA4" w:rsidRPr="00AA78DA">
        <w:rPr>
          <w:rFonts w:cs="Times New Roman"/>
          <w:sz w:val="28"/>
          <w:szCs w:val="28"/>
          <w:lang w:val="ro-RO"/>
        </w:rPr>
        <w:t xml:space="preserve">de </w:t>
      </w:r>
      <w:r w:rsidRPr="00AA78DA">
        <w:rPr>
          <w:rFonts w:cs="Times New Roman"/>
          <w:sz w:val="28"/>
          <w:szCs w:val="28"/>
          <w:lang w:val="ro-RO"/>
        </w:rPr>
        <w:t xml:space="preserve">articolul 22 alineatul (1) din </w:t>
      </w:r>
      <w:r w:rsidR="00357BA4" w:rsidRPr="00AA78DA">
        <w:rPr>
          <w:rFonts w:cs="Times New Roman"/>
          <w:sz w:val="28"/>
          <w:szCs w:val="28"/>
          <w:lang w:val="ro-RO"/>
        </w:rPr>
        <w:t>R</w:t>
      </w:r>
      <w:r w:rsidRPr="00AA78DA">
        <w:rPr>
          <w:rFonts w:cs="Times New Roman"/>
          <w:sz w:val="28"/>
          <w:szCs w:val="28"/>
          <w:lang w:val="ro-RO"/>
        </w:rPr>
        <w:t xml:space="preserve">egulament, iar informațiile prevăzute </w:t>
      </w:r>
      <w:r w:rsidR="00357BA4" w:rsidRPr="00AA78DA">
        <w:rPr>
          <w:rFonts w:cs="Times New Roman"/>
          <w:sz w:val="28"/>
          <w:szCs w:val="28"/>
          <w:lang w:val="ro-RO"/>
        </w:rPr>
        <w:t>de</w:t>
      </w:r>
      <w:r w:rsidRPr="00AA78DA">
        <w:rPr>
          <w:rFonts w:cs="Times New Roman"/>
          <w:sz w:val="28"/>
          <w:szCs w:val="28"/>
          <w:lang w:val="ro-RO"/>
        </w:rPr>
        <w:t xml:space="preserve"> </w:t>
      </w:r>
      <w:r w:rsidR="00357BA4" w:rsidRPr="00AA78DA">
        <w:rPr>
          <w:rFonts w:cs="Times New Roman"/>
          <w:sz w:val="28"/>
          <w:szCs w:val="28"/>
          <w:lang w:val="ro-RO"/>
        </w:rPr>
        <w:t>articolul 22 alineatul (3) din R</w:t>
      </w:r>
      <w:r w:rsidRPr="00AA78DA">
        <w:rPr>
          <w:rFonts w:cs="Times New Roman"/>
          <w:sz w:val="28"/>
          <w:szCs w:val="28"/>
          <w:lang w:val="ro-RO"/>
        </w:rPr>
        <w:t xml:space="preserve">egulament trebuie să fie </w:t>
      </w:r>
      <w:r w:rsidR="00357BA4" w:rsidRPr="00AA78DA">
        <w:rPr>
          <w:rFonts w:cs="Times New Roman"/>
          <w:sz w:val="28"/>
          <w:szCs w:val="28"/>
          <w:lang w:val="ro-RO"/>
        </w:rPr>
        <w:t>prezentate</w:t>
      </w:r>
      <w:r w:rsidRPr="00AA78DA">
        <w:rPr>
          <w:rFonts w:cs="Times New Roman"/>
          <w:sz w:val="28"/>
          <w:szCs w:val="28"/>
          <w:lang w:val="ro-RO"/>
        </w:rPr>
        <w:t xml:space="preserve"> împreună cu notificarea.</w:t>
      </w:r>
    </w:p>
    <w:p w:rsidR="00EB4E9D" w:rsidRPr="00AA78DA" w:rsidRDefault="00EB4E9D" w:rsidP="00441764">
      <w:pPr>
        <w:ind w:right="-7"/>
        <w:rPr>
          <w:rFonts w:ascii="Times New Roman" w:hAnsi="Times New Roman" w:cs="Times New Roman"/>
          <w:sz w:val="16"/>
          <w:szCs w:val="16"/>
          <w:lang w:val="ro-RO"/>
        </w:rPr>
      </w:pPr>
    </w:p>
    <w:p w:rsidR="00357BA4" w:rsidRPr="00AA78DA" w:rsidRDefault="00357BA4" w:rsidP="00441764">
      <w:pPr>
        <w:ind w:right="-7"/>
        <w:jc w:val="both"/>
        <w:rPr>
          <w:rFonts w:ascii="Times New Roman" w:eastAsia="Times New Roman" w:hAnsi="Times New Roman" w:cs="Times New Roman"/>
          <w:sz w:val="28"/>
          <w:szCs w:val="28"/>
          <w:lang w:val="ro-RO"/>
        </w:rPr>
      </w:pPr>
      <w:r w:rsidRPr="00AA78DA">
        <w:rPr>
          <w:rFonts w:ascii="Times New Roman" w:eastAsia="Times New Roman" w:hAnsi="Times New Roman" w:cs="Times New Roman"/>
          <w:sz w:val="28"/>
          <w:szCs w:val="28"/>
          <w:lang w:val="ro-RO"/>
        </w:rPr>
        <w:t xml:space="preserve">Cu toate acestea, articolul 12 din DSGP va rămâne în continuare temeiul juridic al </w:t>
      </w:r>
      <w:r w:rsidRPr="00AA78DA">
        <w:rPr>
          <w:rFonts w:ascii="Times New Roman" w:eastAsia="Times New Roman" w:hAnsi="Times New Roman" w:cs="Times New Roman"/>
          <w:sz w:val="28"/>
          <w:szCs w:val="28"/>
          <w:lang w:val="ro-RO"/>
        </w:rPr>
        <w:lastRenderedPageBreak/>
        <w:t>notificărilor RAPEX privind măsurile care restricționează sau impun condiții specifice privind posibila comercializare sau utilizare a produselor de consum armonizate din cauza unui risc major care nu atrage rechemarea, retragerea sau interzicerea. Prin urmare, ori de câte ori autoritățile de supraveghere a pieței adoptă una dintre măsurile specifice DSGP menționate la punctele 2.2.1, 2.2.2 sau 2.2.3, din cauza unui risc major, acestea trebuie să le notifice în conformitate cu articolul 12 din DSGP prin intermediul sistemului RAPEX care determină condițiile de notificar</w:t>
      </w:r>
      <w:r w:rsidR="00182678" w:rsidRPr="00AA78DA">
        <w:rPr>
          <w:rFonts w:ascii="Times New Roman" w:eastAsia="Times New Roman" w:hAnsi="Times New Roman" w:cs="Times New Roman"/>
          <w:sz w:val="28"/>
          <w:szCs w:val="28"/>
          <w:lang w:val="ro-RO"/>
        </w:rPr>
        <w:t xml:space="preserve">e și informațiile care trebuie prezentate </w:t>
      </w:r>
      <w:r w:rsidRPr="00AA78DA">
        <w:rPr>
          <w:rFonts w:ascii="Times New Roman" w:eastAsia="Times New Roman" w:hAnsi="Times New Roman" w:cs="Times New Roman"/>
          <w:sz w:val="28"/>
          <w:szCs w:val="28"/>
          <w:lang w:val="ro-RO"/>
        </w:rPr>
        <w:t>cu</w:t>
      </w:r>
      <w:r w:rsidR="00182678" w:rsidRPr="00AA78DA">
        <w:rPr>
          <w:rFonts w:ascii="Times New Roman" w:eastAsia="Times New Roman" w:hAnsi="Times New Roman" w:cs="Times New Roman"/>
          <w:sz w:val="28"/>
          <w:szCs w:val="28"/>
          <w:lang w:val="ro-RO"/>
        </w:rPr>
        <w:t xml:space="preserve"> notificarea.</w:t>
      </w:r>
    </w:p>
    <w:p w:rsidR="00357BA4" w:rsidRPr="00AA78DA" w:rsidRDefault="00357BA4" w:rsidP="00441764">
      <w:pPr>
        <w:ind w:left="120" w:right="113"/>
        <w:jc w:val="both"/>
        <w:rPr>
          <w:rFonts w:ascii="Times New Roman" w:eastAsia="Times New Roman" w:hAnsi="Times New Roman" w:cs="Times New Roman"/>
          <w:sz w:val="16"/>
          <w:szCs w:val="16"/>
          <w:lang w:val="ro-RO"/>
        </w:rPr>
      </w:pPr>
    </w:p>
    <w:p w:rsidR="00182678" w:rsidRDefault="003946A9" w:rsidP="00DB51B0">
      <w:pPr>
        <w:pStyle w:val="Heading1"/>
        <w:tabs>
          <w:tab w:val="left" w:pos="810"/>
        </w:tabs>
        <w:ind w:left="0" w:right="126" w:firstLine="8"/>
        <w:jc w:val="both"/>
        <w:rPr>
          <w:rFonts w:cs="Times New Roman"/>
          <w:i w:val="0"/>
          <w:w w:val="95"/>
          <w:sz w:val="16"/>
          <w:szCs w:val="16"/>
          <w:lang w:val="ro-RO"/>
        </w:rPr>
      </w:pPr>
      <w:r w:rsidRPr="00050B80">
        <w:rPr>
          <w:rFonts w:cs="Times New Roman"/>
          <w:b/>
          <w:i w:val="0"/>
          <w:w w:val="105"/>
          <w:sz w:val="28"/>
          <w:szCs w:val="28"/>
          <w:lang w:val="ro-RO"/>
        </w:rPr>
        <w:t>2.3.2</w:t>
      </w:r>
      <w:r w:rsidRPr="00AA78DA">
        <w:rPr>
          <w:rFonts w:cs="Times New Roman"/>
          <w:b/>
          <w:spacing w:val="-3"/>
          <w:w w:val="105"/>
          <w:sz w:val="28"/>
          <w:szCs w:val="28"/>
          <w:lang w:val="ro-RO"/>
        </w:rPr>
        <w:t xml:space="preserve"> </w:t>
      </w:r>
      <w:r w:rsidR="00182678" w:rsidRPr="00DA24EA">
        <w:rPr>
          <w:rFonts w:cs="Times New Roman"/>
          <w:i w:val="0"/>
          <w:w w:val="95"/>
          <w:sz w:val="28"/>
          <w:szCs w:val="28"/>
          <w:lang w:val="ro-RO"/>
        </w:rPr>
        <w:t xml:space="preserve">Notificarea măsurilor privind produsele de consum armonizate care </w:t>
      </w:r>
      <w:r w:rsidR="008054C2" w:rsidRPr="00DA24EA">
        <w:rPr>
          <w:rFonts w:cs="Times New Roman"/>
          <w:i w:val="0"/>
          <w:w w:val="95"/>
          <w:sz w:val="28"/>
          <w:szCs w:val="28"/>
          <w:lang w:val="ro-RO"/>
        </w:rPr>
        <w:t>re</w:t>
      </w:r>
      <w:r w:rsidR="00182678" w:rsidRPr="00DA24EA">
        <w:rPr>
          <w:rFonts w:cs="Times New Roman"/>
          <w:i w:val="0"/>
          <w:w w:val="95"/>
          <w:sz w:val="28"/>
          <w:szCs w:val="28"/>
          <w:lang w:val="ro-RO"/>
        </w:rPr>
        <w:t xml:space="preserve">prezintă un risc </w:t>
      </w:r>
      <w:r w:rsidR="008054C2" w:rsidRPr="00DA24EA">
        <w:rPr>
          <w:rFonts w:cs="Times New Roman"/>
          <w:i w:val="0"/>
          <w:w w:val="95"/>
          <w:sz w:val="28"/>
          <w:szCs w:val="28"/>
          <w:lang w:val="ro-RO"/>
        </w:rPr>
        <w:t>nesemnificativ</w:t>
      </w:r>
      <w:r w:rsidR="00182678" w:rsidRPr="00DA24EA">
        <w:rPr>
          <w:rFonts w:cs="Times New Roman"/>
          <w:i w:val="0"/>
          <w:w w:val="95"/>
          <w:sz w:val="28"/>
          <w:szCs w:val="28"/>
          <w:lang w:val="ro-RO"/>
        </w:rPr>
        <w:t xml:space="preserve"> pentru sănătate și siguranță</w:t>
      </w:r>
    </w:p>
    <w:p w:rsidR="003E395D" w:rsidRPr="003E395D" w:rsidRDefault="003E395D" w:rsidP="00DB51B0">
      <w:pPr>
        <w:pStyle w:val="Heading1"/>
        <w:tabs>
          <w:tab w:val="left" w:pos="810"/>
        </w:tabs>
        <w:ind w:left="0" w:right="126" w:firstLine="8"/>
        <w:jc w:val="both"/>
        <w:rPr>
          <w:rFonts w:cs="Times New Roman"/>
          <w:i w:val="0"/>
          <w:sz w:val="16"/>
          <w:szCs w:val="16"/>
          <w:lang w:val="ro-RO"/>
        </w:rPr>
      </w:pPr>
    </w:p>
    <w:tbl>
      <w:tblPr>
        <w:tblStyle w:val="TableGrid"/>
        <w:tblW w:w="0" w:type="auto"/>
        <w:tblLook w:val="04A0" w:firstRow="1" w:lastRow="0" w:firstColumn="1" w:lastColumn="0" w:noHBand="0" w:noVBand="1"/>
      </w:tblPr>
      <w:tblGrid>
        <w:gridCol w:w="9343"/>
      </w:tblGrid>
      <w:tr w:rsidR="00DB51B0" w:rsidTr="00DB51B0">
        <w:tc>
          <w:tcPr>
            <w:tcW w:w="9343" w:type="dxa"/>
            <w:shd w:val="clear" w:color="auto" w:fill="F2DBDB" w:themeFill="accent2" w:themeFillTint="33"/>
          </w:tcPr>
          <w:p w:rsidR="003E395D" w:rsidRPr="003E395D" w:rsidRDefault="00DB51B0" w:rsidP="00DB51B0">
            <w:pPr>
              <w:ind w:firstLine="787"/>
              <w:jc w:val="both"/>
              <w:rPr>
                <w:rFonts w:ascii="Times New Roman" w:eastAsia="Arial Unicode MS" w:hAnsi="Times New Roman" w:cs="Times New Roman"/>
                <w:sz w:val="24"/>
                <w:szCs w:val="24"/>
                <w:lang w:val="ro-RO" w:eastAsia="en-GB"/>
              </w:rPr>
            </w:pPr>
            <w:r w:rsidRPr="003E395D">
              <w:rPr>
                <w:rFonts w:ascii="Times New Roman" w:eastAsia="Times New Roman" w:hAnsi="Times New Roman" w:cs="Times New Roman"/>
                <w:b/>
                <w:sz w:val="24"/>
                <w:szCs w:val="24"/>
                <w:lang w:val="ro-RO"/>
              </w:rPr>
              <w:t>Articolul 11</w:t>
            </w:r>
            <w:r w:rsidR="003E395D" w:rsidRPr="003E395D">
              <w:rPr>
                <w:rFonts w:ascii="Times New Roman" w:eastAsia="Arial Unicode MS" w:hAnsi="Times New Roman" w:cs="Times New Roman"/>
                <w:sz w:val="24"/>
                <w:szCs w:val="24"/>
                <w:lang w:val="ro-RO" w:eastAsia="en-GB"/>
              </w:rPr>
              <w:t xml:space="preserve"> </w:t>
            </w:r>
          </w:p>
          <w:p w:rsidR="00DB51B0" w:rsidRPr="003E395D" w:rsidRDefault="003E395D" w:rsidP="003E395D">
            <w:pPr>
              <w:ind w:firstLine="787"/>
              <w:jc w:val="both"/>
              <w:rPr>
                <w:rFonts w:ascii="Times New Roman" w:eastAsia="Times New Roman" w:hAnsi="Times New Roman" w:cs="Times New Roman"/>
                <w:b/>
                <w:sz w:val="24"/>
                <w:szCs w:val="24"/>
                <w:lang w:val="ro-RO"/>
              </w:rPr>
            </w:pPr>
            <w:r w:rsidRPr="003E395D">
              <w:rPr>
                <w:rFonts w:ascii="Times New Roman" w:eastAsia="Arial Unicode MS" w:hAnsi="Times New Roman" w:cs="Times New Roman"/>
                <w:sz w:val="24"/>
                <w:szCs w:val="24"/>
                <w:lang w:val="ro-RO" w:eastAsia="en-GB"/>
              </w:rPr>
              <w:t>(1)  În cazurile în care un stat membru ia măsuri care restricționează introducerea pe piață a unor produse – sau solicită retragerea sau returnarea lor –cum sunt cele prevăzute la articolul 8 alineatul (1) literele (b)-(f), în măsura în care notificarea nu este solicitată în conformitate cu articolul 12 sau cu orice legislație comunitară specifică, statul membru informează Comisia în legătură cu măsurile, specificând motivele pentru care le-adoptă. De asemenea, el informează Comisia cu privire la orice modificare sau anulare a acestor măsuri.</w:t>
            </w:r>
          </w:p>
        </w:tc>
      </w:tr>
    </w:tbl>
    <w:p w:rsidR="00EB4E9D" w:rsidRPr="00AA78DA" w:rsidRDefault="00EB4E9D" w:rsidP="00441764">
      <w:pPr>
        <w:rPr>
          <w:rFonts w:ascii="Times New Roman" w:hAnsi="Times New Roman" w:cs="Times New Roman"/>
          <w:sz w:val="16"/>
          <w:szCs w:val="16"/>
          <w:lang w:val="ro-RO"/>
        </w:rPr>
      </w:pPr>
    </w:p>
    <w:p w:rsidR="00DB51B0" w:rsidRDefault="00182678" w:rsidP="00441764">
      <w:pPr>
        <w:pStyle w:val="BodyText"/>
        <w:ind w:left="0" w:right="-7" w:firstLine="3"/>
        <w:jc w:val="both"/>
        <w:rPr>
          <w:rFonts w:cs="Times New Roman"/>
          <w:sz w:val="16"/>
          <w:szCs w:val="16"/>
          <w:lang w:val="ro-RO"/>
        </w:rPr>
      </w:pPr>
      <w:r w:rsidRPr="00AA78DA">
        <w:rPr>
          <w:rFonts w:cs="Times New Roman"/>
          <w:sz w:val="28"/>
          <w:szCs w:val="28"/>
          <w:lang w:val="ro-RO"/>
        </w:rPr>
        <w:t xml:space="preserve">Articolul 11 </w:t>
      </w:r>
      <w:r w:rsidR="002063D2" w:rsidRPr="00AA78DA">
        <w:rPr>
          <w:rFonts w:cs="Times New Roman"/>
          <w:sz w:val="28"/>
          <w:szCs w:val="28"/>
          <w:lang w:val="ro-RO"/>
        </w:rPr>
        <w:t>din DSGP impune Statelor M</w:t>
      </w:r>
      <w:r w:rsidRPr="00AA78DA">
        <w:rPr>
          <w:rFonts w:cs="Times New Roman"/>
          <w:sz w:val="28"/>
          <w:szCs w:val="28"/>
          <w:lang w:val="ro-RO"/>
        </w:rPr>
        <w:t xml:space="preserve">embre să notifice Comisiei măsurile luate care limitează introducerea pe piață a produselor sau solicită </w:t>
      </w:r>
      <w:r w:rsidR="00A408CA" w:rsidRPr="00AA78DA">
        <w:rPr>
          <w:rFonts w:cs="Times New Roman"/>
          <w:sz w:val="28"/>
          <w:szCs w:val="28"/>
          <w:lang w:val="ro-RO"/>
        </w:rPr>
        <w:t>rechemarea</w:t>
      </w:r>
      <w:r w:rsidRPr="00AA78DA">
        <w:rPr>
          <w:rFonts w:cs="Times New Roman"/>
          <w:sz w:val="28"/>
          <w:szCs w:val="28"/>
          <w:lang w:val="ro-RO"/>
        </w:rPr>
        <w:t xml:space="preserve"> sau retragerea acestora, cu excepția cazului în care este necesară o notificare în temeiul articolului 12 din DSGP sau al oricărei legislații comunitare specifice. </w:t>
      </w:r>
    </w:p>
    <w:p w:rsidR="003E395D" w:rsidRPr="003E395D" w:rsidRDefault="003E395D" w:rsidP="00441764">
      <w:pPr>
        <w:pStyle w:val="BodyText"/>
        <w:ind w:left="0" w:right="-7" w:firstLine="3"/>
        <w:jc w:val="both"/>
        <w:rPr>
          <w:rFonts w:cs="Times New Roman"/>
          <w:sz w:val="16"/>
          <w:szCs w:val="16"/>
          <w:lang w:val="ro-RO"/>
        </w:rPr>
      </w:pPr>
    </w:p>
    <w:tbl>
      <w:tblPr>
        <w:tblStyle w:val="TableGrid"/>
        <w:tblW w:w="0" w:type="auto"/>
        <w:tblLook w:val="04A0" w:firstRow="1" w:lastRow="0" w:firstColumn="1" w:lastColumn="0" w:noHBand="0" w:noVBand="1"/>
      </w:tblPr>
      <w:tblGrid>
        <w:gridCol w:w="9343"/>
      </w:tblGrid>
      <w:tr w:rsidR="00DB51B0" w:rsidTr="00DB51B0">
        <w:tc>
          <w:tcPr>
            <w:tcW w:w="9343" w:type="dxa"/>
            <w:shd w:val="clear" w:color="auto" w:fill="F79646" w:themeFill="accent6"/>
          </w:tcPr>
          <w:p w:rsidR="00DB51B0" w:rsidRPr="003E395D" w:rsidRDefault="00DB51B0" w:rsidP="003E395D">
            <w:pPr>
              <w:ind w:firstLine="697"/>
              <w:jc w:val="both"/>
              <w:rPr>
                <w:rFonts w:ascii="Times New Roman" w:eastAsia="Times New Roman" w:hAnsi="Times New Roman"/>
                <w:b/>
                <w:sz w:val="24"/>
                <w:szCs w:val="24"/>
                <w:lang w:val="ro-RO"/>
              </w:rPr>
            </w:pPr>
            <w:r w:rsidRPr="003E395D">
              <w:rPr>
                <w:rFonts w:ascii="Times New Roman" w:eastAsia="Times New Roman" w:hAnsi="Times New Roman"/>
                <w:b/>
                <w:sz w:val="24"/>
                <w:szCs w:val="24"/>
                <w:lang w:val="ro-RO"/>
              </w:rPr>
              <w:t>Articolul 23</w:t>
            </w:r>
          </w:p>
          <w:p w:rsidR="00DB51B0" w:rsidRDefault="003E395D" w:rsidP="003E395D">
            <w:pPr>
              <w:pStyle w:val="BodyText"/>
              <w:ind w:left="0" w:right="-7" w:firstLine="697"/>
              <w:jc w:val="both"/>
              <w:rPr>
                <w:rFonts w:cs="Times New Roman"/>
                <w:sz w:val="28"/>
                <w:szCs w:val="28"/>
                <w:lang w:val="ro-RO"/>
              </w:rPr>
            </w:pPr>
            <w:r w:rsidRPr="003E395D">
              <w:rPr>
                <w:rFonts w:cs="Times New Roman"/>
                <w:lang w:eastAsia="en-GB"/>
              </w:rPr>
              <w:t>(2) În sensul alineatului (1), statele membre furnizează Comisiei informațiile de care dispun și care nu sunt furnizate în conformitate cu articolul 22 privind produsele care prezintă un risc, în special informații privind identificarea riscurilor, rezultatele testărilor efectuate, măsurile restrictive provizorii luate, contactele cu operatorii economici vizați și justificarea inacțiunii sau a acțiunilor întreprinse.</w:t>
            </w:r>
          </w:p>
        </w:tc>
      </w:tr>
    </w:tbl>
    <w:p w:rsidR="00DB51B0" w:rsidRPr="003E395D" w:rsidRDefault="00DB51B0" w:rsidP="00441764">
      <w:pPr>
        <w:pStyle w:val="BodyText"/>
        <w:ind w:left="0" w:right="-7" w:firstLine="3"/>
        <w:jc w:val="both"/>
        <w:rPr>
          <w:rFonts w:cs="Times New Roman"/>
          <w:sz w:val="16"/>
          <w:szCs w:val="16"/>
          <w:lang w:val="ro-RO"/>
        </w:rPr>
      </w:pPr>
    </w:p>
    <w:p w:rsidR="00DB51B0" w:rsidRDefault="00182678" w:rsidP="00441764">
      <w:pPr>
        <w:pStyle w:val="BodyText"/>
        <w:ind w:left="0" w:right="-7" w:firstLine="3"/>
        <w:jc w:val="both"/>
        <w:rPr>
          <w:rFonts w:cs="Times New Roman"/>
          <w:sz w:val="28"/>
          <w:szCs w:val="28"/>
          <w:lang w:val="ro-RO"/>
        </w:rPr>
      </w:pPr>
      <w:r w:rsidRPr="00AA78DA">
        <w:rPr>
          <w:rFonts w:cs="Times New Roman"/>
          <w:sz w:val="28"/>
          <w:szCs w:val="28"/>
          <w:lang w:val="ro-RO"/>
        </w:rPr>
        <w:t xml:space="preserve">Articolul 23 alineatul (2) din </w:t>
      </w:r>
      <w:r w:rsidR="00D310D1" w:rsidRPr="00AA78DA">
        <w:rPr>
          <w:rFonts w:cs="Times New Roman"/>
          <w:sz w:val="28"/>
          <w:szCs w:val="28"/>
          <w:lang w:val="ro-RO"/>
        </w:rPr>
        <w:t>R</w:t>
      </w:r>
      <w:r w:rsidRPr="00AA78DA">
        <w:rPr>
          <w:rFonts w:cs="Times New Roman"/>
          <w:sz w:val="28"/>
          <w:szCs w:val="28"/>
          <w:lang w:val="ro-RO"/>
        </w:rPr>
        <w:t xml:space="preserve">egulament obligă statele membre să furnizeze Comisiei informații privind produsele care nu au fost deja furnizate în temeiul articolului 22. </w:t>
      </w:r>
    </w:p>
    <w:p w:rsidR="00DB51B0" w:rsidRDefault="00DB51B0" w:rsidP="00441764">
      <w:pPr>
        <w:pStyle w:val="BodyText"/>
        <w:ind w:left="0" w:right="-7" w:firstLine="3"/>
        <w:jc w:val="both"/>
        <w:rPr>
          <w:rFonts w:cs="Times New Roman"/>
          <w:sz w:val="28"/>
          <w:szCs w:val="28"/>
          <w:lang w:val="ro-RO"/>
        </w:rPr>
      </w:pPr>
    </w:p>
    <w:p w:rsidR="00182678" w:rsidRPr="00AA78DA" w:rsidRDefault="008054C2" w:rsidP="00441764">
      <w:pPr>
        <w:pStyle w:val="BodyText"/>
        <w:ind w:left="0" w:right="-7" w:firstLine="3"/>
        <w:jc w:val="both"/>
        <w:rPr>
          <w:rFonts w:cs="Times New Roman"/>
          <w:sz w:val="28"/>
          <w:szCs w:val="28"/>
          <w:lang w:val="ro-RO"/>
        </w:rPr>
      </w:pPr>
      <w:r w:rsidRPr="00AA78DA">
        <w:rPr>
          <w:rFonts w:cs="Times New Roman"/>
          <w:sz w:val="28"/>
          <w:szCs w:val="28"/>
          <w:lang w:val="ro-RO"/>
        </w:rPr>
        <w:t xml:space="preserve">Prin urmare, articolul 23 din </w:t>
      </w:r>
      <w:r w:rsidR="00D310D1" w:rsidRPr="00AA78DA">
        <w:rPr>
          <w:rFonts w:cs="Times New Roman"/>
          <w:sz w:val="28"/>
          <w:szCs w:val="28"/>
          <w:lang w:val="ro-RO"/>
        </w:rPr>
        <w:t>R</w:t>
      </w:r>
      <w:r w:rsidRPr="00AA78DA">
        <w:rPr>
          <w:rFonts w:cs="Times New Roman"/>
          <w:sz w:val="28"/>
          <w:szCs w:val="28"/>
          <w:lang w:val="ro-RO"/>
        </w:rPr>
        <w:t>egulament servește drept bază pentru notificarea oricărei informații referitoare la produsele armonizate care prezintă un risc nesemnificativ, inclusiv măsurile adoptate pe baza DSGP menționate la punctele 2.2.1-2.2.5</w:t>
      </w:r>
    </w:p>
    <w:p w:rsidR="00EB4E9D" w:rsidRPr="00AA78DA" w:rsidRDefault="00EB4E9D" w:rsidP="00441764">
      <w:pPr>
        <w:ind w:right="-7" w:firstLine="3"/>
        <w:rPr>
          <w:rFonts w:ascii="Times New Roman" w:hAnsi="Times New Roman" w:cs="Times New Roman"/>
          <w:lang w:val="ro-RO"/>
        </w:rPr>
      </w:pPr>
    </w:p>
    <w:p w:rsidR="00EB4E9D" w:rsidRPr="00DA24EA" w:rsidRDefault="003946A9" w:rsidP="00441764">
      <w:pPr>
        <w:pStyle w:val="Heading1"/>
        <w:tabs>
          <w:tab w:val="left" w:pos="831"/>
        </w:tabs>
        <w:ind w:left="0" w:right="-7" w:firstLine="3"/>
        <w:rPr>
          <w:rFonts w:cs="Times New Roman"/>
          <w:i w:val="0"/>
          <w:sz w:val="28"/>
          <w:szCs w:val="28"/>
          <w:lang w:val="ro-RO"/>
        </w:rPr>
      </w:pPr>
      <w:r w:rsidRPr="00050B80">
        <w:rPr>
          <w:rFonts w:cs="Times New Roman"/>
          <w:b/>
          <w:i w:val="0"/>
          <w:w w:val="105"/>
          <w:sz w:val="28"/>
          <w:szCs w:val="28"/>
          <w:lang w:val="ro-RO"/>
        </w:rPr>
        <w:t>2.3.3</w:t>
      </w:r>
      <w:r w:rsidRPr="00AA78DA">
        <w:rPr>
          <w:rFonts w:cs="Times New Roman"/>
          <w:b/>
          <w:spacing w:val="-3"/>
          <w:w w:val="105"/>
          <w:sz w:val="28"/>
          <w:szCs w:val="28"/>
          <w:lang w:val="ro-RO"/>
        </w:rPr>
        <w:t xml:space="preserve"> </w:t>
      </w:r>
      <w:r w:rsidR="006B2AAA" w:rsidRPr="00DA24EA">
        <w:rPr>
          <w:rFonts w:cs="Times New Roman"/>
          <w:i w:val="0"/>
          <w:w w:val="95"/>
          <w:sz w:val="28"/>
          <w:szCs w:val="28"/>
          <w:lang w:val="ro-RO"/>
        </w:rPr>
        <w:t xml:space="preserve">Notificarea măsurilor privind produsele de consum nearmonizate care prezintă un risc pentru sănătatea și siguranța consumatorilor </w:t>
      </w:r>
    </w:p>
    <w:p w:rsidR="00EB4E9D" w:rsidRPr="00DA24EA" w:rsidRDefault="00EB4E9D" w:rsidP="00441764">
      <w:pPr>
        <w:ind w:right="-7" w:firstLine="3"/>
        <w:rPr>
          <w:rFonts w:ascii="Times New Roman" w:hAnsi="Times New Roman" w:cs="Times New Roman"/>
          <w:sz w:val="16"/>
          <w:szCs w:val="16"/>
          <w:lang w:val="ro-RO"/>
        </w:rPr>
      </w:pPr>
    </w:p>
    <w:p w:rsidR="006B2AAA" w:rsidRPr="00AA78DA" w:rsidRDefault="006B2AAA" w:rsidP="00441764">
      <w:pPr>
        <w:pStyle w:val="BodyText"/>
        <w:ind w:left="0" w:right="-7" w:firstLine="3"/>
        <w:jc w:val="both"/>
        <w:rPr>
          <w:rFonts w:cs="Times New Roman"/>
          <w:sz w:val="28"/>
          <w:szCs w:val="28"/>
          <w:lang w:val="ro-RO"/>
        </w:rPr>
      </w:pPr>
      <w:r w:rsidRPr="00AA78DA">
        <w:rPr>
          <w:rFonts w:cs="Times New Roman"/>
          <w:sz w:val="28"/>
          <w:szCs w:val="28"/>
          <w:lang w:val="ro-RO"/>
        </w:rPr>
        <w:t xml:space="preserve">Aplicabilitatea </w:t>
      </w:r>
      <w:r w:rsidR="00D310D1" w:rsidRPr="00AA78DA">
        <w:rPr>
          <w:rFonts w:cs="Times New Roman"/>
          <w:sz w:val="28"/>
          <w:szCs w:val="28"/>
          <w:lang w:val="ro-RO"/>
        </w:rPr>
        <w:t>R</w:t>
      </w:r>
      <w:r w:rsidRPr="00AA78DA">
        <w:rPr>
          <w:rFonts w:cs="Times New Roman"/>
          <w:sz w:val="28"/>
          <w:szCs w:val="28"/>
          <w:lang w:val="ro-RO"/>
        </w:rPr>
        <w:t xml:space="preserve">egulamentului nu va conduce la vre-o modificare a notificărilor RAPEX privind produsele de consum nearmonizate care prezintă un risc pentru sănătate și siguranță. Orice măsuri de supraveghere a pieței destinate produselor de consum nearmonizate, și anume toate măsurile enumerate de articolul 8 alineatul (1) literele (b) - (f) (precum și alte măsuri), continuă să fie notificate pe baza și în </w:t>
      </w:r>
      <w:r w:rsidRPr="00AA78DA">
        <w:rPr>
          <w:rFonts w:cs="Times New Roman"/>
          <w:sz w:val="28"/>
          <w:szCs w:val="28"/>
          <w:lang w:val="ro-RO"/>
        </w:rPr>
        <w:lastRenderedPageBreak/>
        <w:t>conformitate cu articolul 11, în cazul unui risc nesemnificativ pentru sănătatea și siguranța consumatorilor sau pe baza și în conformitate cu articolul 12, în cazul unui risc major pentru sănătatea și siguranța consumatorilor.</w:t>
      </w:r>
    </w:p>
    <w:p w:rsidR="006B2AAA" w:rsidRPr="00DA24EA" w:rsidRDefault="006B2AAA" w:rsidP="00441764">
      <w:pPr>
        <w:pStyle w:val="BodyText"/>
        <w:ind w:left="0" w:right="-7" w:firstLine="3"/>
        <w:jc w:val="both"/>
        <w:rPr>
          <w:rFonts w:cs="Times New Roman"/>
          <w:sz w:val="16"/>
          <w:szCs w:val="16"/>
          <w:lang w:val="ro-RO"/>
        </w:rPr>
      </w:pPr>
    </w:p>
    <w:p w:rsidR="00B73DA8" w:rsidRPr="00DA24EA" w:rsidRDefault="00E669B5" w:rsidP="00441764">
      <w:pPr>
        <w:tabs>
          <w:tab w:val="left" w:pos="826"/>
        </w:tabs>
        <w:ind w:right="-7" w:firstLine="3"/>
        <w:rPr>
          <w:rFonts w:ascii="Times New Roman" w:eastAsia="Times New Roman" w:hAnsi="Times New Roman" w:cs="Times New Roman"/>
          <w:sz w:val="28"/>
          <w:szCs w:val="28"/>
          <w:lang w:val="ro-RO"/>
        </w:rPr>
      </w:pPr>
      <w:r w:rsidRPr="00AA78DA">
        <w:rPr>
          <w:rFonts w:ascii="Times New Roman" w:hAnsi="Times New Roman" w:cs="Times New Roman"/>
          <w:b/>
          <w:w w:val="105"/>
          <w:sz w:val="28"/>
          <w:szCs w:val="28"/>
          <w:lang w:val="ro-RO"/>
        </w:rPr>
        <w:t>2.3.4</w:t>
      </w:r>
      <w:r w:rsidRPr="00AA78DA">
        <w:rPr>
          <w:rFonts w:ascii="Times New Roman" w:hAnsi="Times New Roman" w:cs="Times New Roman"/>
          <w:b/>
          <w:spacing w:val="-3"/>
          <w:w w:val="105"/>
          <w:sz w:val="28"/>
          <w:szCs w:val="28"/>
          <w:lang w:val="ro-RO"/>
        </w:rPr>
        <w:t xml:space="preserve"> </w:t>
      </w:r>
      <w:r w:rsidR="00B73DA8" w:rsidRPr="00DA24EA">
        <w:rPr>
          <w:rFonts w:ascii="Times New Roman" w:eastAsia="Times New Roman" w:hAnsi="Times New Roman" w:cs="Times New Roman"/>
          <w:sz w:val="28"/>
          <w:szCs w:val="28"/>
          <w:lang w:val="ro-RO"/>
        </w:rPr>
        <w:t xml:space="preserve">Notificarea măsurilor privind produsele armonizate care prezintă alte riscuri decât un risc pentru sănătatea și siguranța consumatorilor </w:t>
      </w:r>
    </w:p>
    <w:p w:rsidR="00EB4E9D" w:rsidRPr="00DA24EA" w:rsidRDefault="00EB4E9D" w:rsidP="00441764">
      <w:pPr>
        <w:ind w:right="-7" w:firstLine="3"/>
        <w:rPr>
          <w:rFonts w:ascii="Times New Roman" w:hAnsi="Times New Roman" w:cs="Times New Roman"/>
          <w:sz w:val="16"/>
          <w:szCs w:val="16"/>
          <w:lang w:val="ro-RO"/>
        </w:rPr>
      </w:pPr>
    </w:p>
    <w:p w:rsidR="00EC6097" w:rsidRPr="00AA78DA" w:rsidRDefault="00EC6097" w:rsidP="00441764">
      <w:pPr>
        <w:pStyle w:val="BodyText"/>
        <w:ind w:left="0" w:right="-7" w:firstLine="3"/>
        <w:jc w:val="both"/>
        <w:rPr>
          <w:rFonts w:cs="Times New Roman"/>
          <w:sz w:val="28"/>
          <w:szCs w:val="28"/>
          <w:lang w:val="ro-RO"/>
        </w:rPr>
      </w:pPr>
      <w:r w:rsidRPr="00AA78DA">
        <w:rPr>
          <w:rFonts w:cs="Times New Roman"/>
          <w:sz w:val="28"/>
          <w:szCs w:val="28"/>
          <w:lang w:val="ro-RO"/>
        </w:rPr>
        <w:t xml:space="preserve">Din motive de claritate și de completitudine, ar trebui menționat faptul că măsurile adoptate privind produsele pentru consumatori armonizate și pentru alte produse decât cele destinate consumatorilor, care prezintă alte riscuri decât cele care afectează sănătatea și siguranța consumatorilor, trebuie să fie notificate în temeiul articolului 22 din Regulament prin sistemul RAPEX. Aceasta se referă, de exemplu, la măsurile luate în vederea unui risc major pentru mediu sau pentru securitate. </w:t>
      </w:r>
    </w:p>
    <w:p w:rsidR="00EC6097" w:rsidRPr="00DA24EA" w:rsidRDefault="00EC6097" w:rsidP="00441764">
      <w:pPr>
        <w:pStyle w:val="BodyText"/>
        <w:ind w:left="0" w:right="-7" w:firstLine="3"/>
        <w:jc w:val="both"/>
        <w:rPr>
          <w:rFonts w:cs="Times New Roman"/>
          <w:w w:val="95"/>
          <w:sz w:val="16"/>
          <w:szCs w:val="16"/>
          <w:lang w:val="ro-RO"/>
        </w:rPr>
      </w:pPr>
    </w:p>
    <w:p w:rsidR="00EB4E9D" w:rsidRPr="005B3C8E" w:rsidRDefault="005C1F1B" w:rsidP="00441764">
      <w:pPr>
        <w:ind w:right="-7" w:firstLine="3"/>
        <w:jc w:val="both"/>
        <w:rPr>
          <w:rFonts w:ascii="Times New Roman" w:eastAsia="Times New Roman" w:hAnsi="Times New Roman" w:cs="Times New Roman"/>
          <w:sz w:val="24"/>
          <w:szCs w:val="24"/>
          <w:lang w:val="ro-RO"/>
        </w:rPr>
      </w:pPr>
      <w:r w:rsidRPr="005B3C8E">
        <w:rPr>
          <w:rFonts w:ascii="Times New Roman" w:eastAsia="Times New Roman" w:hAnsi="Times New Roman" w:cs="Times New Roman"/>
          <w:w w:val="95"/>
          <w:sz w:val="24"/>
          <w:szCs w:val="24"/>
          <w:lang w:val="ro-RO"/>
        </w:rPr>
        <w:t>NB:</w:t>
      </w:r>
      <w:r w:rsidRPr="005B3C8E">
        <w:rPr>
          <w:rFonts w:ascii="Times New Roman" w:eastAsia="Times New Roman" w:hAnsi="Times New Roman" w:cs="Times New Roman"/>
          <w:spacing w:val="36"/>
          <w:w w:val="95"/>
          <w:sz w:val="24"/>
          <w:szCs w:val="24"/>
          <w:lang w:val="ro-RO"/>
        </w:rPr>
        <w:t xml:space="preserve"> </w:t>
      </w:r>
      <w:r w:rsidR="00EC6097" w:rsidRPr="005B3C8E">
        <w:rPr>
          <w:rFonts w:ascii="Times New Roman" w:eastAsia="Times New Roman" w:hAnsi="Times New Roman" w:cs="Times New Roman"/>
          <w:w w:val="95"/>
          <w:sz w:val="24"/>
          <w:szCs w:val="24"/>
          <w:lang w:val="ro-RO"/>
        </w:rPr>
        <w:t>Pentru o perioadă interimară în așteptarea disponibilității soluțiilor informatice necesare, notificările din acest domeniu ar trebui făcute în conformitate cu recomandările emise la 14 decembrie 2009 cu privire la "Linii interimare de comunicare între autoritățile naționale și Comisia Europeană în</w:t>
      </w:r>
      <w:r w:rsidR="00FE00CA" w:rsidRPr="005B3C8E">
        <w:rPr>
          <w:rFonts w:ascii="Times New Roman" w:eastAsia="Times New Roman" w:hAnsi="Times New Roman" w:cs="Times New Roman"/>
          <w:w w:val="95"/>
          <w:sz w:val="24"/>
          <w:szCs w:val="24"/>
          <w:lang w:val="ro-RO"/>
        </w:rPr>
        <w:t xml:space="preserve"> temeiul Regulamentului nr. 765/2008/CE</w:t>
      </w:r>
      <w:r w:rsidRPr="005B3C8E">
        <w:rPr>
          <w:rFonts w:ascii="Times New Roman" w:eastAsia="Times New Roman" w:hAnsi="Times New Roman" w:cs="Times New Roman"/>
          <w:w w:val="95"/>
          <w:sz w:val="24"/>
          <w:szCs w:val="24"/>
          <w:lang w:val="ro-RO"/>
        </w:rPr>
        <w:t>".</w:t>
      </w:r>
    </w:p>
    <w:p w:rsidR="00EB4E9D" w:rsidRPr="00AA78DA" w:rsidRDefault="00EB4E9D" w:rsidP="00441764">
      <w:pPr>
        <w:ind w:right="-7" w:firstLine="3"/>
        <w:rPr>
          <w:rFonts w:ascii="Times New Roman" w:hAnsi="Times New Roman" w:cs="Times New Roman"/>
          <w:sz w:val="20"/>
          <w:szCs w:val="20"/>
          <w:lang w:val="ro-RO"/>
        </w:rPr>
      </w:pPr>
    </w:p>
    <w:p w:rsidR="00EB4E9D" w:rsidRPr="00AA78DA" w:rsidRDefault="00C3454E" w:rsidP="00441764">
      <w:pPr>
        <w:tabs>
          <w:tab w:val="left" w:pos="611"/>
        </w:tabs>
        <w:ind w:right="1025"/>
        <w:jc w:val="both"/>
        <w:rPr>
          <w:rFonts w:ascii="Times New Roman" w:eastAsia="Times New Roman" w:hAnsi="Times New Roman" w:cs="Times New Roman"/>
          <w:b/>
          <w:sz w:val="28"/>
          <w:szCs w:val="28"/>
          <w:lang w:val="ro-RO"/>
        </w:rPr>
      </w:pPr>
      <w:r w:rsidRPr="00AA78DA">
        <w:rPr>
          <w:rFonts w:ascii="Times New Roman" w:eastAsia="Times New Roman" w:hAnsi="Times New Roman" w:cs="Times New Roman"/>
          <w:b/>
          <w:bCs/>
          <w:spacing w:val="-25"/>
          <w:w w:val="105"/>
          <w:sz w:val="28"/>
          <w:szCs w:val="28"/>
          <w:lang w:val="ro-RO"/>
        </w:rPr>
        <w:t xml:space="preserve">3. </w:t>
      </w:r>
      <w:r w:rsidR="006F1C1E" w:rsidRPr="00AA78DA">
        <w:rPr>
          <w:rFonts w:ascii="Times New Roman" w:eastAsia="Times New Roman" w:hAnsi="Times New Roman" w:cs="Times New Roman"/>
          <w:b/>
          <w:w w:val="105"/>
          <w:sz w:val="28"/>
          <w:szCs w:val="28"/>
          <w:lang w:val="ro-RO"/>
        </w:rPr>
        <w:t xml:space="preserve">Prevederi ale </w:t>
      </w:r>
      <w:r w:rsidR="006F1C1E" w:rsidRPr="00AA78DA">
        <w:rPr>
          <w:rFonts w:ascii="Times New Roman" w:hAnsi="Times New Roman" w:cs="Times New Roman"/>
          <w:b/>
          <w:sz w:val="28"/>
          <w:szCs w:val="28"/>
          <w:lang w:val="ro-RO"/>
        </w:rPr>
        <w:t>DSGP</w:t>
      </w:r>
      <w:r w:rsidR="006F1C1E" w:rsidRPr="00AA78DA">
        <w:rPr>
          <w:rFonts w:ascii="Times New Roman" w:eastAsia="Times New Roman" w:hAnsi="Times New Roman" w:cs="Times New Roman"/>
          <w:b/>
          <w:w w:val="105"/>
          <w:sz w:val="28"/>
          <w:szCs w:val="28"/>
          <w:lang w:val="ro-RO"/>
        </w:rPr>
        <w:t xml:space="preserve"> care nu sunt legate de supravegherea pieței</w:t>
      </w:r>
    </w:p>
    <w:p w:rsidR="00EB4E9D" w:rsidRPr="00AA78DA" w:rsidRDefault="00EB4E9D" w:rsidP="00441764">
      <w:pPr>
        <w:rPr>
          <w:rFonts w:ascii="Times New Roman" w:hAnsi="Times New Roman" w:cs="Times New Roman"/>
          <w:sz w:val="16"/>
          <w:szCs w:val="16"/>
          <w:lang w:val="ro-RO"/>
        </w:rPr>
      </w:pPr>
    </w:p>
    <w:p w:rsidR="00A730AF" w:rsidRPr="00AA78DA" w:rsidRDefault="00A730AF" w:rsidP="00441764">
      <w:pPr>
        <w:pStyle w:val="BodyText"/>
        <w:ind w:left="0" w:right="-7" w:firstLine="3"/>
        <w:jc w:val="both"/>
        <w:rPr>
          <w:rFonts w:cs="Times New Roman"/>
          <w:w w:val="95"/>
          <w:sz w:val="28"/>
          <w:szCs w:val="28"/>
          <w:lang w:val="ro-RO"/>
        </w:rPr>
      </w:pPr>
      <w:r w:rsidRPr="00AA78DA">
        <w:rPr>
          <w:rFonts w:cs="Times New Roman"/>
          <w:sz w:val="28"/>
          <w:szCs w:val="28"/>
          <w:lang w:val="ro-RO"/>
        </w:rPr>
        <w:t xml:space="preserve">Din motive de claritate, trebuie menționat faptul că DSGP conține mai multe prevederi care nu privesc supravegherea pieței, ci alte aspecte legate de siguranța produselor, de ex. o cerință generală de siguranță prevăzută de articolul 3 sau alte obligații pentru operatorii economici prevăzute de articolul 5. Aceste dispoziții ale DSGP nu sunt afectate de </w:t>
      </w:r>
      <w:r w:rsidR="00D310D1" w:rsidRPr="00AA78DA">
        <w:rPr>
          <w:rFonts w:cs="Times New Roman"/>
          <w:sz w:val="28"/>
          <w:szCs w:val="28"/>
          <w:lang w:val="ro-RO"/>
        </w:rPr>
        <w:t>R</w:t>
      </w:r>
      <w:r w:rsidRPr="00AA78DA">
        <w:rPr>
          <w:rFonts w:cs="Times New Roman"/>
          <w:sz w:val="28"/>
          <w:szCs w:val="28"/>
          <w:lang w:val="ro-RO"/>
        </w:rPr>
        <w:t>egulament și se aplică în continuare produselor de consum armonizate, precum și nearmonizate în conformitate cu articolul 1 alineatul (2) din GPSD</w:t>
      </w:r>
      <w:r w:rsidRPr="00AA78DA">
        <w:rPr>
          <w:rFonts w:cs="Times New Roman"/>
          <w:w w:val="95"/>
          <w:sz w:val="28"/>
          <w:szCs w:val="28"/>
          <w:lang w:val="ro-RO"/>
        </w:rPr>
        <w:t>:</w:t>
      </w:r>
    </w:p>
    <w:p w:rsidR="00EB4E9D" w:rsidRPr="00DA24EA" w:rsidRDefault="00EB4E9D" w:rsidP="00441764">
      <w:pPr>
        <w:rPr>
          <w:rFonts w:ascii="Times New Roman" w:hAnsi="Times New Roman" w:cs="Times New Roman"/>
          <w:sz w:val="16"/>
          <w:szCs w:val="16"/>
          <w:lang w:val="ro-RO"/>
        </w:rPr>
      </w:pPr>
    </w:p>
    <w:p w:rsidR="00EB4E9D" w:rsidRPr="00AA78DA" w:rsidRDefault="005C1F1B" w:rsidP="00050B80">
      <w:pPr>
        <w:pStyle w:val="BodyText"/>
        <w:numPr>
          <w:ilvl w:val="0"/>
          <w:numId w:val="8"/>
        </w:numPr>
        <w:tabs>
          <w:tab w:val="left" w:pos="894"/>
        </w:tabs>
        <w:rPr>
          <w:rFonts w:cs="Times New Roman"/>
          <w:sz w:val="28"/>
          <w:szCs w:val="28"/>
          <w:lang w:val="ro-RO"/>
        </w:rPr>
      </w:pPr>
      <w:r w:rsidRPr="00AA78DA">
        <w:rPr>
          <w:rFonts w:cs="Times New Roman"/>
          <w:sz w:val="28"/>
          <w:szCs w:val="28"/>
          <w:lang w:val="ro-RO"/>
        </w:rPr>
        <w:t>Artic</w:t>
      </w:r>
      <w:r w:rsidR="00A730AF" w:rsidRPr="00AA78DA">
        <w:rPr>
          <w:rFonts w:cs="Times New Roman"/>
          <w:sz w:val="28"/>
          <w:szCs w:val="28"/>
          <w:lang w:val="ro-RO"/>
        </w:rPr>
        <w:t>olul</w:t>
      </w:r>
      <w:r w:rsidRPr="00AA78DA">
        <w:rPr>
          <w:rFonts w:cs="Times New Roman"/>
          <w:spacing w:val="11"/>
          <w:sz w:val="28"/>
          <w:szCs w:val="28"/>
          <w:lang w:val="ro-RO"/>
        </w:rPr>
        <w:t xml:space="preserve"> </w:t>
      </w:r>
      <w:r w:rsidRPr="00AA78DA">
        <w:rPr>
          <w:rFonts w:cs="Times New Roman"/>
          <w:sz w:val="28"/>
          <w:szCs w:val="28"/>
          <w:lang w:val="ro-RO"/>
        </w:rPr>
        <w:t>1:</w:t>
      </w:r>
      <w:r w:rsidRPr="00AA78DA">
        <w:rPr>
          <w:rFonts w:cs="Times New Roman"/>
          <w:spacing w:val="-27"/>
          <w:sz w:val="28"/>
          <w:szCs w:val="28"/>
          <w:lang w:val="ro-RO"/>
        </w:rPr>
        <w:t xml:space="preserve"> </w:t>
      </w:r>
      <w:r w:rsidR="00A730AF" w:rsidRPr="00AA78DA">
        <w:rPr>
          <w:rFonts w:cs="Times New Roman"/>
          <w:sz w:val="28"/>
          <w:szCs w:val="28"/>
          <w:lang w:val="ro-RO"/>
        </w:rPr>
        <w:t>Obiectiv și domeniu de aplicare</w:t>
      </w:r>
      <w:r w:rsidRPr="00AA78DA">
        <w:rPr>
          <w:rFonts w:cs="Times New Roman"/>
          <w:sz w:val="28"/>
          <w:szCs w:val="28"/>
          <w:lang w:val="ro-RO"/>
        </w:rPr>
        <w:t>;</w:t>
      </w:r>
    </w:p>
    <w:p w:rsidR="00EB4E9D" w:rsidRPr="00AA78DA" w:rsidRDefault="00A730AF" w:rsidP="00050B80">
      <w:pPr>
        <w:pStyle w:val="BodyText"/>
        <w:numPr>
          <w:ilvl w:val="0"/>
          <w:numId w:val="8"/>
        </w:numPr>
        <w:tabs>
          <w:tab w:val="left" w:pos="894"/>
        </w:tabs>
        <w:rPr>
          <w:rFonts w:cs="Times New Roman"/>
          <w:sz w:val="28"/>
          <w:szCs w:val="28"/>
          <w:lang w:val="ro-RO"/>
        </w:rPr>
      </w:pPr>
      <w:r w:rsidRPr="00AA78DA">
        <w:rPr>
          <w:rFonts w:cs="Times New Roman"/>
          <w:sz w:val="28"/>
          <w:szCs w:val="28"/>
          <w:lang w:val="ro-RO"/>
        </w:rPr>
        <w:t>Articolul</w:t>
      </w:r>
      <w:r w:rsidR="005C1F1B" w:rsidRPr="00AA78DA">
        <w:rPr>
          <w:rFonts w:cs="Times New Roman"/>
          <w:spacing w:val="-10"/>
          <w:sz w:val="28"/>
          <w:szCs w:val="28"/>
          <w:lang w:val="ro-RO"/>
        </w:rPr>
        <w:t xml:space="preserve"> </w:t>
      </w:r>
      <w:r w:rsidR="005C1F1B" w:rsidRPr="00AA78DA">
        <w:rPr>
          <w:rFonts w:cs="Times New Roman"/>
          <w:sz w:val="28"/>
          <w:szCs w:val="28"/>
          <w:lang w:val="ro-RO"/>
        </w:rPr>
        <w:t>2:</w:t>
      </w:r>
      <w:r w:rsidR="005C1F1B" w:rsidRPr="00AA78DA">
        <w:rPr>
          <w:rFonts w:cs="Times New Roman"/>
          <w:spacing w:val="-18"/>
          <w:sz w:val="28"/>
          <w:szCs w:val="28"/>
          <w:lang w:val="ro-RO"/>
        </w:rPr>
        <w:t xml:space="preserve"> </w:t>
      </w:r>
      <w:r w:rsidR="005C1F1B" w:rsidRPr="00AA78DA">
        <w:rPr>
          <w:rFonts w:cs="Times New Roman"/>
          <w:sz w:val="28"/>
          <w:szCs w:val="28"/>
          <w:lang w:val="ro-RO"/>
        </w:rPr>
        <w:t>De</w:t>
      </w:r>
      <w:r w:rsidR="00C564E2" w:rsidRPr="00AA78DA">
        <w:rPr>
          <w:rFonts w:cs="Times New Roman"/>
          <w:sz w:val="28"/>
          <w:szCs w:val="28"/>
          <w:lang w:val="ro-RO"/>
        </w:rPr>
        <w:t>finiții</w:t>
      </w:r>
      <w:r w:rsidR="005C1F1B" w:rsidRPr="00AA78DA">
        <w:rPr>
          <w:rFonts w:cs="Times New Roman"/>
          <w:sz w:val="28"/>
          <w:szCs w:val="28"/>
          <w:lang w:val="ro-RO"/>
        </w:rPr>
        <w:t>;</w:t>
      </w:r>
    </w:p>
    <w:p w:rsidR="00EB4E9D" w:rsidRPr="00AA78DA" w:rsidRDefault="00C564E2" w:rsidP="00050B80">
      <w:pPr>
        <w:pStyle w:val="BodyText"/>
        <w:numPr>
          <w:ilvl w:val="0"/>
          <w:numId w:val="8"/>
        </w:numPr>
        <w:tabs>
          <w:tab w:val="left" w:pos="900"/>
        </w:tabs>
        <w:rPr>
          <w:rFonts w:cs="Times New Roman"/>
          <w:sz w:val="28"/>
          <w:szCs w:val="28"/>
          <w:lang w:val="ro-RO"/>
        </w:rPr>
      </w:pPr>
      <w:r w:rsidRPr="00AA78DA">
        <w:rPr>
          <w:rFonts w:cs="Times New Roman"/>
          <w:sz w:val="28"/>
          <w:szCs w:val="28"/>
          <w:lang w:val="ro-RO"/>
        </w:rPr>
        <w:t>Articolul</w:t>
      </w:r>
      <w:r w:rsidR="005C1F1B" w:rsidRPr="00AA78DA">
        <w:rPr>
          <w:rFonts w:cs="Times New Roman"/>
          <w:spacing w:val="-11"/>
          <w:sz w:val="28"/>
          <w:szCs w:val="28"/>
          <w:lang w:val="ro-RO"/>
        </w:rPr>
        <w:t xml:space="preserve"> </w:t>
      </w:r>
      <w:r w:rsidR="005C1F1B" w:rsidRPr="00AA78DA">
        <w:rPr>
          <w:rFonts w:cs="Times New Roman"/>
          <w:sz w:val="28"/>
          <w:szCs w:val="28"/>
          <w:lang w:val="ro-RO"/>
        </w:rPr>
        <w:t>3:</w:t>
      </w:r>
      <w:r w:rsidR="005C1F1B" w:rsidRPr="00AA78DA">
        <w:rPr>
          <w:rFonts w:cs="Times New Roman"/>
          <w:spacing w:val="-21"/>
          <w:sz w:val="28"/>
          <w:szCs w:val="28"/>
          <w:lang w:val="ro-RO"/>
        </w:rPr>
        <w:t xml:space="preserve"> </w:t>
      </w:r>
      <w:r w:rsidRPr="00AA78DA">
        <w:rPr>
          <w:rFonts w:cs="Times New Roman"/>
          <w:sz w:val="28"/>
          <w:szCs w:val="28"/>
          <w:lang w:val="ro-RO"/>
        </w:rPr>
        <w:t>Cerință generală de siguranță, criterii de evaluare a conformității</w:t>
      </w:r>
      <w:r w:rsidR="005C1F1B" w:rsidRPr="00AA78DA">
        <w:rPr>
          <w:rFonts w:cs="Times New Roman"/>
          <w:sz w:val="28"/>
          <w:szCs w:val="28"/>
          <w:lang w:val="ro-RO"/>
        </w:rPr>
        <w:t>;</w:t>
      </w:r>
    </w:p>
    <w:p w:rsidR="00EB4E9D" w:rsidRPr="00AA78DA" w:rsidRDefault="00C564E2" w:rsidP="00050B80">
      <w:pPr>
        <w:pStyle w:val="BodyText"/>
        <w:numPr>
          <w:ilvl w:val="0"/>
          <w:numId w:val="8"/>
        </w:numPr>
        <w:tabs>
          <w:tab w:val="left" w:pos="891"/>
        </w:tabs>
        <w:rPr>
          <w:rFonts w:cs="Times New Roman"/>
          <w:sz w:val="28"/>
          <w:szCs w:val="28"/>
          <w:lang w:val="ro-RO"/>
        </w:rPr>
      </w:pPr>
      <w:r w:rsidRPr="00AA78DA">
        <w:rPr>
          <w:rFonts w:cs="Times New Roman"/>
          <w:sz w:val="28"/>
          <w:szCs w:val="28"/>
          <w:lang w:val="ro-RO"/>
        </w:rPr>
        <w:t>Articolul</w:t>
      </w:r>
      <w:r w:rsidR="005C1F1B" w:rsidRPr="00AA78DA">
        <w:rPr>
          <w:rFonts w:cs="Times New Roman"/>
          <w:spacing w:val="-8"/>
          <w:sz w:val="28"/>
          <w:szCs w:val="28"/>
          <w:lang w:val="ro-RO"/>
        </w:rPr>
        <w:t xml:space="preserve"> </w:t>
      </w:r>
      <w:r w:rsidR="005C1F1B" w:rsidRPr="00AA78DA">
        <w:rPr>
          <w:rFonts w:cs="Times New Roman"/>
          <w:sz w:val="28"/>
          <w:szCs w:val="28"/>
          <w:lang w:val="ro-RO"/>
        </w:rPr>
        <w:t>4:</w:t>
      </w:r>
      <w:r w:rsidR="005C1F1B" w:rsidRPr="00AA78DA">
        <w:rPr>
          <w:rFonts w:cs="Times New Roman"/>
          <w:spacing w:val="-15"/>
          <w:sz w:val="28"/>
          <w:szCs w:val="28"/>
          <w:lang w:val="ro-RO"/>
        </w:rPr>
        <w:t xml:space="preserve"> </w:t>
      </w:r>
      <w:r w:rsidRPr="00AA78DA">
        <w:rPr>
          <w:rFonts w:cs="Times New Roman"/>
          <w:sz w:val="28"/>
          <w:szCs w:val="28"/>
          <w:lang w:val="ro-RO"/>
        </w:rPr>
        <w:t>Procedura de mandatare și elaborare a standardelor europene</w:t>
      </w:r>
      <w:r w:rsidR="005C1F1B" w:rsidRPr="00AA78DA">
        <w:rPr>
          <w:rFonts w:cs="Times New Roman"/>
          <w:sz w:val="28"/>
          <w:szCs w:val="28"/>
          <w:lang w:val="ro-RO"/>
        </w:rPr>
        <w:t>;</w:t>
      </w:r>
    </w:p>
    <w:p w:rsidR="00EB4E9D" w:rsidRPr="00AA78DA" w:rsidRDefault="00883A4C" w:rsidP="00050B80">
      <w:pPr>
        <w:pStyle w:val="BodyText"/>
        <w:numPr>
          <w:ilvl w:val="0"/>
          <w:numId w:val="8"/>
        </w:numPr>
        <w:tabs>
          <w:tab w:val="left" w:pos="894"/>
        </w:tabs>
        <w:rPr>
          <w:rFonts w:cs="Times New Roman"/>
          <w:sz w:val="28"/>
          <w:szCs w:val="28"/>
          <w:lang w:val="ro-RO"/>
        </w:rPr>
      </w:pPr>
      <w:r w:rsidRPr="00AA78DA">
        <w:rPr>
          <w:rFonts w:cs="Times New Roman"/>
          <w:sz w:val="28"/>
          <w:szCs w:val="28"/>
          <w:lang w:val="ro-RO"/>
        </w:rPr>
        <w:t>Articolul</w:t>
      </w:r>
      <w:r w:rsidR="005C1F1B" w:rsidRPr="00AA78DA">
        <w:rPr>
          <w:rFonts w:cs="Times New Roman"/>
          <w:sz w:val="28"/>
          <w:szCs w:val="28"/>
          <w:lang w:val="ro-RO"/>
        </w:rPr>
        <w:t xml:space="preserve"> 5:</w:t>
      </w:r>
      <w:r w:rsidR="005C1F1B" w:rsidRPr="00AA78DA">
        <w:rPr>
          <w:rFonts w:cs="Times New Roman"/>
          <w:spacing w:val="-15"/>
          <w:sz w:val="28"/>
          <w:szCs w:val="28"/>
          <w:lang w:val="ro-RO"/>
        </w:rPr>
        <w:t xml:space="preserve"> </w:t>
      </w:r>
      <w:r w:rsidRPr="00AA78DA">
        <w:rPr>
          <w:rFonts w:cs="Times New Roman"/>
          <w:sz w:val="28"/>
          <w:szCs w:val="28"/>
          <w:lang w:val="ro-RO"/>
        </w:rPr>
        <w:t>Alte obligații pentru producători și obligațiile distribuitorilor</w:t>
      </w:r>
      <w:r w:rsidR="005C1F1B" w:rsidRPr="00AA78DA">
        <w:rPr>
          <w:rFonts w:cs="Times New Roman"/>
          <w:sz w:val="28"/>
          <w:szCs w:val="28"/>
          <w:lang w:val="ro-RO"/>
        </w:rPr>
        <w:t>;</w:t>
      </w:r>
    </w:p>
    <w:p w:rsidR="00EB4E9D" w:rsidRPr="00AA78DA" w:rsidRDefault="00883A4C" w:rsidP="00050B80">
      <w:pPr>
        <w:pStyle w:val="BodyText"/>
        <w:numPr>
          <w:ilvl w:val="0"/>
          <w:numId w:val="8"/>
        </w:numPr>
        <w:tabs>
          <w:tab w:val="left" w:pos="891"/>
        </w:tabs>
        <w:rPr>
          <w:rFonts w:cs="Times New Roman"/>
          <w:sz w:val="28"/>
          <w:szCs w:val="28"/>
          <w:lang w:val="ro-RO"/>
        </w:rPr>
      </w:pPr>
      <w:r w:rsidRPr="00AA78DA">
        <w:rPr>
          <w:rFonts w:cs="Times New Roman"/>
          <w:sz w:val="28"/>
          <w:szCs w:val="28"/>
          <w:lang w:val="ro-RO"/>
        </w:rPr>
        <w:t>Articolul</w:t>
      </w:r>
      <w:r w:rsidR="005C1F1B" w:rsidRPr="00AA78DA">
        <w:rPr>
          <w:rFonts w:cs="Times New Roman"/>
          <w:spacing w:val="20"/>
          <w:sz w:val="28"/>
          <w:szCs w:val="28"/>
          <w:lang w:val="ro-RO"/>
        </w:rPr>
        <w:t xml:space="preserve"> </w:t>
      </w:r>
      <w:r w:rsidR="005C1F1B" w:rsidRPr="00AA78DA">
        <w:rPr>
          <w:rFonts w:cs="Times New Roman"/>
          <w:sz w:val="28"/>
          <w:szCs w:val="28"/>
          <w:lang w:val="ro-RO"/>
        </w:rPr>
        <w:t>10:</w:t>
      </w:r>
      <w:r w:rsidRPr="00AA78DA">
        <w:rPr>
          <w:rFonts w:cs="Times New Roman"/>
          <w:sz w:val="28"/>
          <w:szCs w:val="28"/>
          <w:lang w:val="ro-RO"/>
        </w:rPr>
        <w:t xml:space="preserve"> Rețeaua de autorități promovată de Comisie</w:t>
      </w:r>
      <w:r w:rsidRPr="00AA78DA">
        <w:rPr>
          <w:rStyle w:val="FootnoteReference"/>
          <w:rFonts w:cs="Times New Roman"/>
          <w:sz w:val="28"/>
          <w:szCs w:val="28"/>
          <w:lang w:val="ro-RO"/>
        </w:rPr>
        <w:footnoteReference w:id="10"/>
      </w:r>
      <w:r w:rsidR="005C1F1B" w:rsidRPr="00AA78DA">
        <w:rPr>
          <w:rFonts w:cs="Times New Roman"/>
          <w:sz w:val="28"/>
          <w:szCs w:val="28"/>
          <w:lang w:val="ro-RO"/>
        </w:rPr>
        <w:t>;</w:t>
      </w:r>
    </w:p>
    <w:p w:rsidR="00EB4E9D" w:rsidRPr="00AA78DA" w:rsidRDefault="00883A4C" w:rsidP="00050B80">
      <w:pPr>
        <w:pStyle w:val="BodyText"/>
        <w:numPr>
          <w:ilvl w:val="0"/>
          <w:numId w:val="8"/>
        </w:numPr>
        <w:tabs>
          <w:tab w:val="left" w:pos="891"/>
        </w:tabs>
        <w:ind w:right="126"/>
        <w:rPr>
          <w:rFonts w:cs="Times New Roman"/>
          <w:sz w:val="28"/>
          <w:szCs w:val="28"/>
          <w:lang w:val="ro-RO"/>
        </w:rPr>
      </w:pPr>
      <w:r w:rsidRPr="00AA78DA">
        <w:rPr>
          <w:rFonts w:cs="Times New Roman"/>
          <w:sz w:val="28"/>
          <w:szCs w:val="28"/>
          <w:lang w:val="ro-RO"/>
        </w:rPr>
        <w:t>Articolul</w:t>
      </w:r>
      <w:r w:rsidR="005C1F1B" w:rsidRPr="00AA78DA">
        <w:rPr>
          <w:rFonts w:cs="Times New Roman"/>
          <w:sz w:val="28"/>
          <w:szCs w:val="28"/>
          <w:lang w:val="ro-RO"/>
        </w:rPr>
        <w:t xml:space="preserve"> 13:</w:t>
      </w:r>
      <w:r w:rsidR="005C1F1B" w:rsidRPr="00AA78DA">
        <w:rPr>
          <w:rFonts w:cs="Times New Roman"/>
          <w:spacing w:val="37"/>
          <w:sz w:val="28"/>
          <w:szCs w:val="28"/>
          <w:lang w:val="ro-RO"/>
        </w:rPr>
        <w:t xml:space="preserve"> </w:t>
      </w:r>
      <w:r w:rsidRPr="00AA78DA">
        <w:rPr>
          <w:rFonts w:cs="Times New Roman"/>
          <w:sz w:val="28"/>
          <w:szCs w:val="28"/>
          <w:lang w:val="ro-RO"/>
        </w:rPr>
        <w:t>Procedura decizională specifică care permite Comisiei să adopte decizii în situații de urgență</w:t>
      </w:r>
      <w:r w:rsidR="005C1F1B" w:rsidRPr="00AA78DA">
        <w:rPr>
          <w:rFonts w:cs="Times New Roman"/>
          <w:sz w:val="28"/>
          <w:szCs w:val="28"/>
          <w:lang w:val="ro-RO"/>
        </w:rPr>
        <w:t>;</w:t>
      </w:r>
    </w:p>
    <w:p w:rsidR="00EB4E9D" w:rsidRPr="00AA78DA" w:rsidRDefault="00883A4C" w:rsidP="00050B80">
      <w:pPr>
        <w:pStyle w:val="BodyText"/>
        <w:numPr>
          <w:ilvl w:val="0"/>
          <w:numId w:val="8"/>
        </w:numPr>
        <w:tabs>
          <w:tab w:val="left" w:pos="908"/>
        </w:tabs>
        <w:rPr>
          <w:rFonts w:cs="Times New Roman"/>
          <w:sz w:val="28"/>
          <w:szCs w:val="28"/>
          <w:lang w:val="ro-RO"/>
        </w:rPr>
      </w:pPr>
      <w:r w:rsidRPr="00AA78DA">
        <w:rPr>
          <w:rFonts w:cs="Times New Roman"/>
          <w:sz w:val="28"/>
          <w:szCs w:val="28"/>
          <w:lang w:val="ro-RO"/>
        </w:rPr>
        <w:t>Articolele</w:t>
      </w:r>
      <w:r w:rsidR="005C1F1B" w:rsidRPr="00AA78DA">
        <w:rPr>
          <w:rFonts w:cs="Times New Roman"/>
          <w:spacing w:val="-3"/>
          <w:sz w:val="28"/>
          <w:szCs w:val="28"/>
          <w:lang w:val="ro-RO"/>
        </w:rPr>
        <w:t xml:space="preserve"> </w:t>
      </w:r>
      <w:r w:rsidR="005C1F1B" w:rsidRPr="00AA78DA">
        <w:rPr>
          <w:rFonts w:cs="Times New Roman"/>
          <w:sz w:val="28"/>
          <w:szCs w:val="28"/>
          <w:lang w:val="ro-RO"/>
        </w:rPr>
        <w:t>14,</w:t>
      </w:r>
      <w:r w:rsidR="005C1F1B" w:rsidRPr="00AA78DA">
        <w:rPr>
          <w:rFonts w:cs="Times New Roman"/>
          <w:spacing w:val="-24"/>
          <w:sz w:val="28"/>
          <w:szCs w:val="28"/>
          <w:lang w:val="ro-RO"/>
        </w:rPr>
        <w:t xml:space="preserve"> </w:t>
      </w:r>
      <w:r w:rsidR="005C1F1B" w:rsidRPr="00AA78DA">
        <w:rPr>
          <w:rFonts w:cs="Times New Roman"/>
          <w:sz w:val="28"/>
          <w:szCs w:val="28"/>
          <w:lang w:val="ro-RO"/>
        </w:rPr>
        <w:t>15:</w:t>
      </w:r>
      <w:r w:rsidR="005C1F1B" w:rsidRPr="00AA78DA">
        <w:rPr>
          <w:rFonts w:cs="Times New Roman"/>
          <w:spacing w:val="-36"/>
          <w:sz w:val="28"/>
          <w:szCs w:val="28"/>
          <w:lang w:val="ro-RO"/>
        </w:rPr>
        <w:t xml:space="preserve"> </w:t>
      </w:r>
      <w:r w:rsidRPr="00AA78DA">
        <w:rPr>
          <w:rFonts w:cs="Times New Roman"/>
          <w:sz w:val="28"/>
          <w:szCs w:val="28"/>
          <w:lang w:val="ro-RO"/>
        </w:rPr>
        <w:t>Dispoziții privind comitologia</w:t>
      </w:r>
      <w:r w:rsidRPr="00AA78DA">
        <w:rPr>
          <w:rFonts w:cs="Times New Roman"/>
          <w:spacing w:val="-36"/>
          <w:sz w:val="28"/>
          <w:szCs w:val="28"/>
          <w:lang w:val="ro-RO"/>
        </w:rPr>
        <w:t xml:space="preserve"> </w:t>
      </w:r>
      <w:r w:rsidR="005C1F1B" w:rsidRPr="00AA78DA">
        <w:rPr>
          <w:rFonts w:cs="Times New Roman"/>
          <w:sz w:val="28"/>
          <w:szCs w:val="28"/>
          <w:lang w:val="ro-RO"/>
        </w:rPr>
        <w:t>;</w:t>
      </w:r>
    </w:p>
    <w:p w:rsidR="00EB4E9D" w:rsidRPr="00AA78DA" w:rsidRDefault="00F8367E" w:rsidP="00050B80">
      <w:pPr>
        <w:pStyle w:val="BodyText"/>
        <w:numPr>
          <w:ilvl w:val="0"/>
          <w:numId w:val="8"/>
        </w:numPr>
        <w:tabs>
          <w:tab w:val="left" w:pos="901"/>
        </w:tabs>
        <w:ind w:right="130"/>
        <w:rPr>
          <w:rFonts w:eastAsia="Arial" w:cs="Times New Roman"/>
          <w:sz w:val="28"/>
          <w:szCs w:val="28"/>
          <w:lang w:val="ro-RO"/>
        </w:rPr>
      </w:pPr>
      <w:r w:rsidRPr="00AA78DA">
        <w:rPr>
          <w:rFonts w:cs="Times New Roman"/>
          <w:noProof/>
          <w:sz w:val="28"/>
          <w:szCs w:val="28"/>
          <w:lang w:val="en-GB" w:eastAsia="en-GB"/>
        </w:rPr>
        <mc:AlternateContent>
          <mc:Choice Requires="wps">
            <w:drawing>
              <wp:anchor distT="0" distB="0" distL="114300" distR="114300" simplePos="0" relativeHeight="251661824" behindDoc="1" locked="0" layoutInCell="1" allowOverlap="1" wp14:anchorId="06440F05" wp14:editId="7C00F400">
                <wp:simplePos x="0" y="0"/>
                <wp:positionH relativeFrom="page">
                  <wp:posOffset>2094865</wp:posOffset>
                </wp:positionH>
                <wp:positionV relativeFrom="paragraph">
                  <wp:posOffset>230505</wp:posOffset>
                </wp:positionV>
                <wp:extent cx="64770" cy="101600"/>
                <wp:effectExtent l="0" t="3175" r="254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E9D" w:rsidRDefault="005C1F1B">
                            <w:pPr>
                              <w:spacing w:line="160" w:lineRule="exact"/>
                              <w:rPr>
                                <w:rFonts w:ascii="Arial" w:eastAsia="Arial" w:hAnsi="Arial" w:cs="Arial"/>
                                <w:sz w:val="16"/>
                                <w:szCs w:val="16"/>
                              </w:rPr>
                            </w:pPr>
                            <w:r>
                              <w:rPr>
                                <w:rFonts w:ascii="Arial" w:eastAsia="Arial" w:hAnsi="Arial" w:cs="Arial"/>
                                <w:w w:val="23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40F05" id="_x0000_t202" coordsize="21600,21600" o:spt="202" path="m,l,21600r21600,l21600,xe">
                <v:stroke joinstyle="miter"/>
                <v:path gradientshapeok="t" o:connecttype="rect"/>
              </v:shapetype>
              <v:shape id="Text Box 4" o:spid="_x0000_s1026" type="#_x0000_t202" style="position:absolute;left:0;text-align:left;margin-left:164.95pt;margin-top:18.15pt;width:5.1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" filled="f" stroked="f">
                <v:textbox inset="0,0,0,0">
                  <w:txbxContent>
                    <w:p w:rsidR="00EB4E9D" w:rsidRDefault="005C1F1B">
                      <w:pPr>
                        <w:spacing w:line="160" w:lineRule="exact"/>
                        <w:rPr>
                          <w:rFonts w:ascii="Arial" w:eastAsia="Arial" w:hAnsi="Arial" w:cs="Arial"/>
                          <w:sz w:val="16"/>
                          <w:szCs w:val="16"/>
                        </w:rPr>
                      </w:pPr>
                      <w:r>
                        <w:rPr>
                          <w:rFonts w:ascii="Arial" w:eastAsia="Arial" w:hAnsi="Arial" w:cs="Arial"/>
                          <w:w w:val="230"/>
                          <w:sz w:val="16"/>
                          <w:szCs w:val="16"/>
                        </w:rPr>
                        <w:t>;</w:t>
                      </w:r>
                    </w:p>
                  </w:txbxContent>
                </v:textbox>
                <w10:wrap anchorx="page"/>
              </v:shape>
            </w:pict>
          </mc:Fallback>
        </mc:AlternateContent>
      </w:r>
      <w:r w:rsidR="00883A4C" w:rsidRPr="00AA78DA">
        <w:rPr>
          <w:rFonts w:cs="Times New Roman"/>
          <w:noProof/>
          <w:sz w:val="28"/>
          <w:szCs w:val="28"/>
          <w:lang w:val="ro-RO" w:eastAsia="en-GB"/>
        </w:rPr>
        <w:t>Articolul</w:t>
      </w:r>
      <w:r w:rsidR="005C1F1B" w:rsidRPr="00AA78DA">
        <w:rPr>
          <w:rFonts w:cs="Times New Roman"/>
          <w:spacing w:val="51"/>
          <w:sz w:val="28"/>
          <w:szCs w:val="28"/>
          <w:lang w:val="ro-RO"/>
        </w:rPr>
        <w:t xml:space="preserve"> </w:t>
      </w:r>
      <w:r w:rsidR="005C1F1B" w:rsidRPr="00AA78DA">
        <w:rPr>
          <w:rFonts w:cs="Times New Roman"/>
          <w:sz w:val="28"/>
          <w:szCs w:val="28"/>
          <w:lang w:val="ro-RO"/>
        </w:rPr>
        <w:t>17:</w:t>
      </w:r>
      <w:r w:rsidR="005C1F1B" w:rsidRPr="00AA78DA">
        <w:rPr>
          <w:rFonts w:cs="Times New Roman"/>
          <w:spacing w:val="3"/>
          <w:sz w:val="28"/>
          <w:szCs w:val="28"/>
          <w:lang w:val="ro-RO"/>
        </w:rPr>
        <w:t xml:space="preserve"> </w:t>
      </w:r>
      <w:r w:rsidR="00234900" w:rsidRPr="00AA78DA">
        <w:rPr>
          <w:rFonts w:cs="Times New Roman"/>
          <w:sz w:val="28"/>
          <w:szCs w:val="28"/>
          <w:lang w:val="ro-RO"/>
        </w:rPr>
        <w:t>Relația cu Directiva 85/374 / CEE privind răspunderea pentru produsele defecte</w:t>
      </w:r>
      <w:r w:rsidR="00234900" w:rsidRPr="00AA78DA">
        <w:rPr>
          <w:rStyle w:val="FootnoteReference"/>
          <w:rFonts w:cs="Times New Roman"/>
          <w:sz w:val="28"/>
          <w:szCs w:val="28"/>
          <w:lang w:val="ro-RO"/>
        </w:rPr>
        <w:footnoteReference w:id="11"/>
      </w:r>
    </w:p>
    <w:p w:rsidR="00EB4E9D" w:rsidRPr="00AA78DA" w:rsidRDefault="00234900" w:rsidP="00050B80">
      <w:pPr>
        <w:pStyle w:val="BodyText"/>
        <w:numPr>
          <w:ilvl w:val="0"/>
          <w:numId w:val="8"/>
        </w:numPr>
        <w:tabs>
          <w:tab w:val="left" w:pos="891"/>
        </w:tabs>
        <w:rPr>
          <w:rFonts w:cs="Times New Roman"/>
          <w:sz w:val="28"/>
          <w:szCs w:val="28"/>
          <w:lang w:val="ro-RO"/>
        </w:rPr>
      </w:pPr>
      <w:r w:rsidRPr="00AA78DA">
        <w:rPr>
          <w:rFonts w:cs="Times New Roman"/>
          <w:sz w:val="28"/>
          <w:szCs w:val="28"/>
          <w:lang w:val="ro-RO"/>
        </w:rPr>
        <w:t xml:space="preserve">Articolele </w:t>
      </w:r>
      <w:r w:rsidR="005C1F1B" w:rsidRPr="00AA78DA">
        <w:rPr>
          <w:rFonts w:cs="Times New Roman"/>
          <w:sz w:val="28"/>
          <w:szCs w:val="28"/>
          <w:lang w:val="ro-RO"/>
        </w:rPr>
        <w:t>19,</w:t>
      </w:r>
      <w:r w:rsidR="005C1F1B" w:rsidRPr="00AA78DA">
        <w:rPr>
          <w:rFonts w:cs="Times New Roman"/>
          <w:spacing w:val="-30"/>
          <w:sz w:val="28"/>
          <w:szCs w:val="28"/>
          <w:lang w:val="ro-RO"/>
        </w:rPr>
        <w:t xml:space="preserve"> </w:t>
      </w:r>
      <w:r w:rsidR="005C1F1B" w:rsidRPr="00AA78DA">
        <w:rPr>
          <w:rFonts w:cs="Times New Roman"/>
          <w:sz w:val="28"/>
          <w:szCs w:val="28"/>
          <w:lang w:val="ro-RO"/>
        </w:rPr>
        <w:t>20:</w:t>
      </w:r>
      <w:r w:rsidR="005C1F1B" w:rsidRPr="00AA78DA">
        <w:rPr>
          <w:rFonts w:cs="Times New Roman"/>
          <w:spacing w:val="-13"/>
          <w:sz w:val="28"/>
          <w:szCs w:val="28"/>
          <w:lang w:val="ro-RO"/>
        </w:rPr>
        <w:t xml:space="preserve"> </w:t>
      </w:r>
      <w:r w:rsidRPr="00AA78DA">
        <w:rPr>
          <w:rFonts w:cs="Times New Roman"/>
          <w:sz w:val="28"/>
          <w:szCs w:val="28"/>
          <w:lang w:val="ro-RO"/>
        </w:rPr>
        <w:t>Cerințe privind raportarea față de Comisie; și</w:t>
      </w:r>
      <w:r w:rsidRPr="00AA78DA">
        <w:rPr>
          <w:rFonts w:cs="Times New Roman"/>
          <w:spacing w:val="-13"/>
          <w:sz w:val="28"/>
          <w:szCs w:val="28"/>
          <w:lang w:val="ro-RO"/>
        </w:rPr>
        <w:t xml:space="preserve"> </w:t>
      </w:r>
    </w:p>
    <w:p w:rsidR="00EB4E9D" w:rsidRPr="00AA78DA" w:rsidRDefault="00234900" w:rsidP="00050B80">
      <w:pPr>
        <w:pStyle w:val="BodyText"/>
        <w:numPr>
          <w:ilvl w:val="0"/>
          <w:numId w:val="8"/>
        </w:numPr>
        <w:tabs>
          <w:tab w:val="left" w:pos="883"/>
        </w:tabs>
        <w:rPr>
          <w:rFonts w:cs="Times New Roman"/>
          <w:sz w:val="28"/>
          <w:szCs w:val="28"/>
          <w:lang w:val="ro-RO"/>
        </w:rPr>
      </w:pPr>
      <w:r w:rsidRPr="00AA78DA">
        <w:rPr>
          <w:rFonts w:cs="Times New Roman"/>
          <w:sz w:val="28"/>
          <w:szCs w:val="28"/>
          <w:lang w:val="ro-RO"/>
        </w:rPr>
        <w:t>Articolele</w:t>
      </w:r>
      <w:r w:rsidR="005C1F1B" w:rsidRPr="00AA78DA">
        <w:rPr>
          <w:rFonts w:cs="Times New Roman"/>
          <w:spacing w:val="-12"/>
          <w:sz w:val="28"/>
          <w:szCs w:val="28"/>
          <w:lang w:val="ro-RO"/>
        </w:rPr>
        <w:t xml:space="preserve"> </w:t>
      </w:r>
      <w:r w:rsidR="005C1F1B" w:rsidRPr="00AA78DA">
        <w:rPr>
          <w:rFonts w:cs="Times New Roman"/>
          <w:sz w:val="28"/>
          <w:szCs w:val="28"/>
          <w:lang w:val="ro-RO"/>
        </w:rPr>
        <w:t>21-24:</w:t>
      </w:r>
      <w:r w:rsidR="005C1F1B" w:rsidRPr="00AA78DA">
        <w:rPr>
          <w:rFonts w:cs="Times New Roman"/>
          <w:spacing w:val="-19"/>
          <w:sz w:val="28"/>
          <w:szCs w:val="28"/>
          <w:lang w:val="ro-RO"/>
        </w:rPr>
        <w:t xml:space="preserve"> </w:t>
      </w:r>
      <w:r w:rsidRPr="00AA78DA">
        <w:rPr>
          <w:rFonts w:cs="Times New Roman"/>
          <w:sz w:val="28"/>
          <w:szCs w:val="28"/>
          <w:lang w:val="ro-RO"/>
        </w:rPr>
        <w:t>Prevederi finale</w:t>
      </w:r>
      <w:r w:rsidR="005C1F1B" w:rsidRPr="00AA78DA">
        <w:rPr>
          <w:rFonts w:cs="Times New Roman"/>
          <w:sz w:val="28"/>
          <w:szCs w:val="28"/>
          <w:lang w:val="ro-RO"/>
        </w:rPr>
        <w:t>.</w:t>
      </w:r>
    </w:p>
    <w:p w:rsidR="00EB4E9D" w:rsidRPr="00AA78DA" w:rsidRDefault="00EB4E9D" w:rsidP="00441764">
      <w:pPr>
        <w:rPr>
          <w:rFonts w:ascii="Times New Roman" w:hAnsi="Times New Roman" w:cs="Times New Roman"/>
          <w:sz w:val="28"/>
          <w:szCs w:val="28"/>
          <w:lang w:val="ro-RO"/>
        </w:rPr>
      </w:pPr>
    </w:p>
    <w:p w:rsidR="005E2489" w:rsidRPr="00AA78DA" w:rsidRDefault="00623197" w:rsidP="00441764">
      <w:pPr>
        <w:rPr>
          <w:rFonts w:ascii="Times New Roman" w:hAnsi="Times New Roman" w:cs="Times New Roman"/>
          <w:b/>
          <w:sz w:val="28"/>
          <w:szCs w:val="28"/>
          <w:lang w:val="ro-RO"/>
        </w:rPr>
      </w:pPr>
      <w:r w:rsidRPr="00AA78DA">
        <w:rPr>
          <w:rFonts w:ascii="Times New Roman" w:hAnsi="Times New Roman" w:cs="Times New Roman"/>
          <w:b/>
          <w:sz w:val="28"/>
          <w:szCs w:val="28"/>
          <w:lang w:val="ro-RO"/>
        </w:rPr>
        <w:t>4. Surse de informare</w:t>
      </w:r>
    </w:p>
    <w:p w:rsidR="00623197" w:rsidRPr="00AA78DA" w:rsidRDefault="00623197" w:rsidP="00441764">
      <w:pPr>
        <w:rPr>
          <w:rFonts w:ascii="Times New Roman" w:hAnsi="Times New Roman" w:cs="Times New Roman"/>
          <w:b/>
          <w:sz w:val="28"/>
          <w:szCs w:val="28"/>
          <w:lang w:val="ro-RO"/>
        </w:rPr>
      </w:pPr>
    </w:p>
    <w:p w:rsidR="005E2489" w:rsidRPr="00AA78DA" w:rsidRDefault="005E2489" w:rsidP="00441764">
      <w:pPr>
        <w:jc w:val="both"/>
        <w:rPr>
          <w:rStyle w:val="Emphasis"/>
          <w:rFonts w:ascii="Times New Roman" w:hAnsi="Times New Roman" w:cs="Times New Roman"/>
          <w:color w:val="444444"/>
          <w:shd w:val="clear" w:color="auto" w:fill="FFFFFF"/>
          <w:lang w:val="ro-RO"/>
        </w:rPr>
      </w:pPr>
      <w:r w:rsidRPr="00AA78DA">
        <w:rPr>
          <w:rFonts w:ascii="Times New Roman" w:hAnsi="Times New Roman" w:cs="Times New Roman"/>
          <w:b/>
          <w:sz w:val="24"/>
          <w:szCs w:val="24"/>
          <w:shd w:val="clear" w:color="auto" w:fill="FFFFFF"/>
          <w:lang w:val="ro-RO"/>
        </w:rPr>
        <w:t>1.</w:t>
      </w:r>
      <w:r w:rsidRPr="00AA78DA">
        <w:rPr>
          <w:rFonts w:ascii="Times New Roman" w:hAnsi="Times New Roman" w:cs="Times New Roman"/>
          <w:sz w:val="24"/>
          <w:szCs w:val="24"/>
          <w:shd w:val="clear" w:color="auto" w:fill="FFFFFF"/>
          <w:lang w:val="ro-RO"/>
        </w:rPr>
        <w:t xml:space="preserve"> Regulamentul (CE) nr. 765/2008 al Parlamentului European și al Consiliului din 9 iulie 2008 de stabilire a cerințelor de acreditare și de supraveghere a pieței în ceea ce privește comercializarea produselor și de abrogare a Regulamentului (CEE) nr. 339/93, </w:t>
      </w:r>
      <w:r w:rsidRPr="00AA78DA">
        <w:rPr>
          <w:rStyle w:val="Emphasis"/>
          <w:rFonts w:ascii="Times New Roman" w:hAnsi="Times New Roman" w:cs="Times New Roman"/>
          <w:i w:val="0"/>
          <w:sz w:val="24"/>
          <w:szCs w:val="24"/>
          <w:shd w:val="clear" w:color="auto" w:fill="FFFFFF"/>
          <w:lang w:val="ro-RO"/>
        </w:rPr>
        <w:t>JO L 218, 13.8.2008, p. 30-47,</w:t>
      </w:r>
      <w:r w:rsidRPr="00AA78DA">
        <w:rPr>
          <w:rStyle w:val="Emphasis"/>
          <w:rFonts w:ascii="Times New Roman" w:hAnsi="Times New Roman" w:cs="Times New Roman"/>
          <w:color w:val="444444"/>
          <w:sz w:val="24"/>
          <w:szCs w:val="24"/>
          <w:shd w:val="clear" w:color="auto" w:fill="FFFFFF"/>
          <w:lang w:val="ro-RO"/>
        </w:rPr>
        <w:t xml:space="preserve"> </w:t>
      </w:r>
      <w:hyperlink r:id="rId8" w:history="1">
        <w:r w:rsidRPr="00AA78DA">
          <w:rPr>
            <w:rStyle w:val="Hyperlink"/>
            <w:rFonts w:ascii="Times New Roman" w:hAnsi="Times New Roman" w:cs="Times New Roman"/>
            <w:shd w:val="clear" w:color="auto" w:fill="FFFFFF"/>
            <w:lang w:val="ro-RO"/>
          </w:rPr>
          <w:t>http://data.europa.eu/eli/reg/2008/765/oj</w:t>
        </w:r>
      </w:hyperlink>
    </w:p>
    <w:p w:rsidR="005E2489" w:rsidRPr="00AA78DA" w:rsidRDefault="005E2489" w:rsidP="00441764">
      <w:pPr>
        <w:jc w:val="both"/>
        <w:rPr>
          <w:rFonts w:ascii="Times New Roman" w:hAnsi="Times New Roman" w:cs="Times New Roman"/>
          <w:color w:val="444444"/>
          <w:shd w:val="clear" w:color="auto" w:fill="FFFFFF"/>
          <w:lang w:val="ro-RO"/>
        </w:rPr>
      </w:pPr>
      <w:r w:rsidRPr="00AA78DA">
        <w:rPr>
          <w:rFonts w:ascii="Times New Roman" w:hAnsi="Times New Roman" w:cs="Times New Roman"/>
          <w:b/>
          <w:sz w:val="24"/>
          <w:szCs w:val="24"/>
          <w:lang w:val="ro-RO"/>
        </w:rPr>
        <w:t>2.</w:t>
      </w:r>
      <w:r w:rsidRPr="00AA78DA">
        <w:rPr>
          <w:rFonts w:ascii="Times New Roman" w:hAnsi="Times New Roman" w:cs="Times New Roman"/>
          <w:sz w:val="24"/>
          <w:szCs w:val="24"/>
          <w:lang w:val="ro-RO"/>
        </w:rPr>
        <w:t xml:space="preserve"> </w:t>
      </w:r>
      <w:r w:rsidRPr="00AA78DA">
        <w:rPr>
          <w:rFonts w:ascii="Times New Roman" w:hAnsi="Times New Roman" w:cs="Times New Roman"/>
          <w:sz w:val="24"/>
          <w:szCs w:val="24"/>
          <w:shd w:val="clear" w:color="auto" w:fill="FFFFFF"/>
          <w:lang w:val="ro-RO"/>
        </w:rPr>
        <w:t>Directiva 2001/95/CE a Parlamentului European și a Consiliului din 3</w:t>
      </w:r>
      <w:r w:rsidR="004C1FD6" w:rsidRPr="00AA78DA">
        <w:rPr>
          <w:rFonts w:ascii="Times New Roman" w:hAnsi="Times New Roman" w:cs="Times New Roman"/>
          <w:sz w:val="24"/>
          <w:szCs w:val="24"/>
          <w:shd w:val="clear" w:color="auto" w:fill="FFFFFF"/>
          <w:lang w:val="ro-RO"/>
        </w:rPr>
        <w:t xml:space="preserve"> </w:t>
      </w:r>
      <w:r w:rsidRPr="00AA78DA">
        <w:rPr>
          <w:rFonts w:ascii="Times New Roman" w:hAnsi="Times New Roman" w:cs="Times New Roman"/>
          <w:sz w:val="24"/>
          <w:szCs w:val="24"/>
          <w:shd w:val="clear" w:color="auto" w:fill="FFFFFF"/>
          <w:lang w:val="ro-RO"/>
        </w:rPr>
        <w:t>decembrie 2001 privind siguranța generală a produselor</w:t>
      </w:r>
      <w:r w:rsidRPr="00AA78DA">
        <w:rPr>
          <w:rFonts w:ascii="Times New Roman" w:hAnsi="Times New Roman" w:cs="Times New Roman"/>
          <w:color w:val="444444"/>
          <w:sz w:val="24"/>
          <w:szCs w:val="24"/>
          <w:shd w:val="clear" w:color="auto" w:fill="FFFFFF"/>
          <w:lang w:val="ro-RO"/>
        </w:rPr>
        <w:t xml:space="preserve"> </w:t>
      </w:r>
      <w:hyperlink r:id="rId9" w:history="1">
        <w:r w:rsidR="004C1FD6" w:rsidRPr="00AA78DA">
          <w:rPr>
            <w:rStyle w:val="Hyperlink"/>
            <w:rFonts w:ascii="Times New Roman" w:hAnsi="Times New Roman" w:cs="Times New Roman"/>
            <w:shd w:val="clear" w:color="auto" w:fill="FFFFFF"/>
            <w:lang w:val="ro-RO"/>
          </w:rPr>
          <w:t>http://data.europa.eu/eli/dir/2001/95/2010-01-01</w:t>
        </w:r>
      </w:hyperlink>
    </w:p>
    <w:p w:rsidR="00040031" w:rsidRPr="00AA78DA" w:rsidRDefault="00040031" w:rsidP="00441764">
      <w:pPr>
        <w:pStyle w:val="FootnoteText"/>
        <w:rPr>
          <w:rFonts w:ascii="Times New Roman" w:hAnsi="Times New Roman" w:cs="Times New Roman"/>
          <w:sz w:val="22"/>
          <w:szCs w:val="22"/>
          <w:lang w:val="ro-RO"/>
        </w:rPr>
      </w:pPr>
      <w:r w:rsidRPr="00AA78DA">
        <w:rPr>
          <w:rFonts w:ascii="Times New Roman" w:hAnsi="Times New Roman" w:cs="Times New Roman"/>
          <w:b/>
          <w:spacing w:val="2"/>
          <w:sz w:val="24"/>
          <w:szCs w:val="24"/>
          <w:lang w:val="ro-RO"/>
        </w:rPr>
        <w:t>3.</w:t>
      </w:r>
      <w:r w:rsidRPr="00AA78DA">
        <w:rPr>
          <w:rFonts w:ascii="Times New Roman" w:hAnsi="Times New Roman" w:cs="Times New Roman"/>
          <w:spacing w:val="2"/>
          <w:sz w:val="24"/>
          <w:szCs w:val="24"/>
          <w:lang w:val="ro-RO"/>
        </w:rPr>
        <w:t xml:space="preserve"> Ghidul „</w:t>
      </w:r>
      <w:r w:rsidRPr="00AA78DA">
        <w:rPr>
          <w:rFonts w:ascii="Times New Roman" w:hAnsi="Times New Roman" w:cs="Times New Roman"/>
          <w:bCs/>
          <w:sz w:val="24"/>
          <w:szCs w:val="24"/>
          <w:lang w:val="ro-RO"/>
        </w:rPr>
        <w:t>Best Practices Techniques in Market Surveillance</w:t>
      </w:r>
      <w:r w:rsidRPr="00AA78DA">
        <w:rPr>
          <w:rFonts w:ascii="Times New Roman" w:hAnsi="Times New Roman" w:cs="Times New Roman"/>
          <w:spacing w:val="2"/>
          <w:sz w:val="24"/>
          <w:szCs w:val="24"/>
          <w:lang w:val="ro-RO"/>
        </w:rPr>
        <w:t>”</w:t>
      </w:r>
      <w:r w:rsidRPr="00AA78DA">
        <w:rPr>
          <w:rFonts w:ascii="Times New Roman" w:eastAsia="Times New Roman" w:hAnsi="Times New Roman" w:cs="Times New Roman"/>
          <w:sz w:val="24"/>
          <w:szCs w:val="24"/>
          <w:lang w:val="ro-RO"/>
        </w:rPr>
        <w:t>, disponibil pe:</w:t>
      </w:r>
      <w:r w:rsidRPr="00AA78DA">
        <w:rPr>
          <w:rFonts w:ascii="Times New Roman" w:hAnsi="Times New Roman" w:cs="Times New Roman"/>
          <w:sz w:val="24"/>
          <w:szCs w:val="24"/>
          <w:lang w:val="ro-RO"/>
        </w:rPr>
        <w:t xml:space="preserve"> </w:t>
      </w:r>
      <w:hyperlink r:id="rId10" w:history="1">
        <w:r w:rsidRPr="00AA78DA">
          <w:rPr>
            <w:rStyle w:val="Hyperlink"/>
            <w:rFonts w:ascii="Times New Roman" w:hAnsi="Times New Roman" w:cs="Times New Roman"/>
            <w:sz w:val="22"/>
            <w:szCs w:val="22"/>
            <w:lang w:val="ro-RO"/>
          </w:rPr>
          <w:t>http://www.prosafe.org/index.php/best-practice/item/best-practices-techniques-in-market-surveillance</w:t>
        </w:r>
      </w:hyperlink>
    </w:p>
    <w:p w:rsidR="004C1FD6" w:rsidRPr="00AA78DA" w:rsidRDefault="00A918D8" w:rsidP="00441764">
      <w:pPr>
        <w:rPr>
          <w:rFonts w:ascii="Times New Roman" w:hAnsi="Times New Roman" w:cs="Times New Roman"/>
          <w:shd w:val="clear" w:color="auto" w:fill="FFFFFF"/>
          <w:lang w:val="ro-RO"/>
        </w:rPr>
      </w:pPr>
      <w:r w:rsidRPr="00AA78DA">
        <w:rPr>
          <w:rFonts w:ascii="Times New Roman" w:hAnsi="Times New Roman" w:cs="Times New Roman"/>
          <w:b/>
          <w:sz w:val="24"/>
          <w:szCs w:val="24"/>
          <w:shd w:val="clear" w:color="auto" w:fill="FFFFFF"/>
          <w:lang w:val="ro-RO"/>
        </w:rPr>
        <w:t>4.</w:t>
      </w:r>
      <w:r w:rsidRPr="00AA78DA">
        <w:rPr>
          <w:rFonts w:ascii="Times New Roman" w:hAnsi="Times New Roman" w:cs="Times New Roman"/>
          <w:sz w:val="24"/>
          <w:szCs w:val="24"/>
          <w:shd w:val="clear" w:color="auto" w:fill="FFFFFF"/>
          <w:lang w:val="ro-RO"/>
        </w:rPr>
        <w:t xml:space="preserve"> </w:t>
      </w:r>
      <w:r w:rsidR="00287EC5" w:rsidRPr="00AA78DA">
        <w:rPr>
          <w:rFonts w:ascii="Times New Roman" w:hAnsi="Times New Roman" w:cs="Times New Roman"/>
          <w:sz w:val="24"/>
          <w:szCs w:val="24"/>
          <w:shd w:val="clear" w:color="auto" w:fill="FFFFFF"/>
          <w:lang w:val="ro-RO"/>
        </w:rPr>
        <w:t>Document de lucru care descrie în detaliu r</w:t>
      </w:r>
      <w:r w:rsidRPr="00AA78DA">
        <w:rPr>
          <w:rFonts w:ascii="Times New Roman" w:hAnsi="Times New Roman" w:cs="Times New Roman"/>
          <w:sz w:val="24"/>
          <w:szCs w:val="24"/>
          <w:shd w:val="clear" w:color="auto" w:fill="FFFFFF"/>
          <w:lang w:val="ro-RO"/>
        </w:rPr>
        <w:t xml:space="preserve">elația dintre Regulamentul (CE) nr. 765/2008 și </w:t>
      </w:r>
      <w:r w:rsidR="00287EC5" w:rsidRPr="00AA78DA">
        <w:rPr>
          <w:rFonts w:ascii="Times New Roman" w:hAnsi="Times New Roman" w:cs="Times New Roman"/>
          <w:sz w:val="24"/>
          <w:szCs w:val="24"/>
          <w:shd w:val="clear" w:color="auto" w:fill="FFFFFF"/>
          <w:lang w:val="ro-RO"/>
        </w:rPr>
        <w:t xml:space="preserve">Directiva 2001/95/CE </w:t>
      </w:r>
      <w:r w:rsidRPr="00AA78DA">
        <w:rPr>
          <w:rFonts w:ascii="Times New Roman" w:hAnsi="Times New Roman" w:cs="Times New Roman"/>
          <w:sz w:val="24"/>
          <w:szCs w:val="24"/>
          <w:shd w:val="clear" w:color="auto" w:fill="FFFFFF"/>
          <w:lang w:val="ro-RO"/>
        </w:rPr>
        <w:t xml:space="preserve">respectivă este descrisă în detaliu în din 3 martie 2010, disponibil la adresa: </w:t>
      </w:r>
      <w:hyperlink r:id="rId11" w:history="1">
        <w:r w:rsidRPr="00AA78DA">
          <w:rPr>
            <w:rStyle w:val="Hyperlink"/>
            <w:rFonts w:ascii="Times New Roman" w:hAnsi="Times New Roman" w:cs="Times New Roman"/>
            <w:shd w:val="clear" w:color="auto" w:fill="FFFFFF"/>
            <w:lang w:val="ro-RO"/>
          </w:rPr>
          <w:t>http://ec.europa.eu/consumers/safety/prod_legis/docs/20100324_guidance_gspd_reg_en.pdf</w:t>
        </w:r>
      </w:hyperlink>
      <w:r w:rsidRPr="00AA78DA">
        <w:rPr>
          <w:rFonts w:ascii="Times New Roman" w:hAnsi="Times New Roman" w:cs="Times New Roman"/>
          <w:shd w:val="clear" w:color="auto" w:fill="FFFFFF"/>
          <w:lang w:val="ro-RO"/>
        </w:rPr>
        <w:t>.</w:t>
      </w:r>
    </w:p>
    <w:p w:rsidR="00A918D8" w:rsidRPr="00AA78DA" w:rsidRDefault="00A918D8" w:rsidP="00441764">
      <w:pPr>
        <w:rPr>
          <w:rFonts w:ascii="Times New Roman" w:hAnsi="Times New Roman" w:cs="Times New Roman"/>
          <w:sz w:val="24"/>
          <w:szCs w:val="24"/>
          <w:lang w:val="ro-RO"/>
        </w:rPr>
      </w:pPr>
    </w:p>
    <w:sectPr w:rsidR="00A918D8" w:rsidRPr="00AA78DA" w:rsidSect="00494AA9">
      <w:footerReference w:type="default" r:id="rId12"/>
      <w:pgSz w:w="11801" w:h="16880"/>
      <w:pgMar w:top="1008" w:right="864" w:bottom="1138" w:left="1584" w:header="0" w:footer="9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F09" w:rsidRDefault="00121F09">
      <w:r>
        <w:separator/>
      </w:r>
    </w:p>
  </w:endnote>
  <w:endnote w:type="continuationSeparator" w:id="0">
    <w:p w:rsidR="00121F09" w:rsidRDefault="0012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250958"/>
      <w:docPartObj>
        <w:docPartGallery w:val="Page Numbers (Bottom of Page)"/>
        <w:docPartUnique/>
      </w:docPartObj>
    </w:sdtPr>
    <w:sdtEndPr>
      <w:rPr>
        <w:noProof/>
      </w:rPr>
    </w:sdtEndPr>
    <w:sdtContent>
      <w:p w:rsidR="00C97FB1" w:rsidRDefault="00C97FB1">
        <w:pPr>
          <w:pStyle w:val="Footer"/>
          <w:jc w:val="right"/>
        </w:pPr>
        <w:r>
          <w:fldChar w:fldCharType="begin"/>
        </w:r>
        <w:r>
          <w:instrText xml:space="preserve"> PAGE   \* MERGEFORMAT </w:instrText>
        </w:r>
        <w:r>
          <w:fldChar w:fldCharType="separate"/>
        </w:r>
        <w:r w:rsidR="008551BC">
          <w:rPr>
            <w:noProof/>
          </w:rPr>
          <w:t>3</w:t>
        </w:r>
        <w:r>
          <w:rPr>
            <w:noProof/>
          </w:rPr>
          <w:fldChar w:fldCharType="end"/>
        </w:r>
      </w:p>
    </w:sdtContent>
  </w:sdt>
  <w:p w:rsidR="00EB4E9D" w:rsidRDefault="00EB4E9D">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F09" w:rsidRDefault="00121F09">
      <w:r>
        <w:separator/>
      </w:r>
    </w:p>
  </w:footnote>
  <w:footnote w:type="continuationSeparator" w:id="0">
    <w:p w:rsidR="00121F09" w:rsidRDefault="00121F09">
      <w:r>
        <w:continuationSeparator/>
      </w:r>
    </w:p>
  </w:footnote>
  <w:footnote w:id="1">
    <w:p w:rsidR="005D00DB" w:rsidRDefault="005D00DB" w:rsidP="005D00DB">
      <w:pPr>
        <w:pStyle w:val="FootnoteText"/>
      </w:pPr>
      <w:r>
        <w:rPr>
          <w:rStyle w:val="FootnoteReference"/>
        </w:rPr>
        <w:footnoteRef/>
      </w:r>
      <w:r>
        <w:rPr>
          <w:lang w:val="it-IT"/>
        </w:rPr>
        <w:t xml:space="preserve"> </w:t>
      </w:r>
      <w:r w:rsidR="00DE43E5" w:rsidRPr="00DE43E5">
        <w:rPr>
          <w:rFonts w:ascii="Times New Roman" w:hAnsi="Times New Roman" w:cs="Times New Roman"/>
          <w:spacing w:val="2"/>
          <w:lang w:val="ro-RO"/>
        </w:rPr>
        <w:t>Ghidul „</w:t>
      </w:r>
      <w:r w:rsidR="00DE43E5" w:rsidRPr="00DE43E5">
        <w:rPr>
          <w:rFonts w:ascii="Times New Roman" w:hAnsi="Times New Roman" w:cs="Times New Roman"/>
          <w:bCs/>
        </w:rPr>
        <w:t>Best Practices Techniques in Market Surveillance</w:t>
      </w:r>
      <w:r w:rsidR="00DE43E5" w:rsidRPr="00DE43E5">
        <w:rPr>
          <w:rFonts w:ascii="Times New Roman" w:hAnsi="Times New Roman" w:cs="Times New Roman"/>
          <w:spacing w:val="2"/>
          <w:lang w:val="ro-RO"/>
        </w:rPr>
        <w:t>”</w:t>
      </w:r>
      <w:r w:rsidRPr="00DE43E5">
        <w:rPr>
          <w:rFonts w:ascii="Times New Roman" w:eastAsia="Times New Roman" w:hAnsi="Times New Roman" w:cs="Times New Roman"/>
          <w:lang w:val="ro-RO"/>
        </w:rPr>
        <w:t>, disponibilă pe:</w:t>
      </w:r>
      <w:r w:rsidRPr="00DE43E5">
        <w:rPr>
          <w:rFonts w:ascii="Times New Roman" w:hAnsi="Times New Roman" w:cs="Times New Roman"/>
          <w:lang w:val="it-IT"/>
        </w:rPr>
        <w:t xml:space="preserve"> </w:t>
      </w:r>
      <w:hyperlink r:id="rId1" w:history="1">
        <w:r w:rsidR="00DE43E5" w:rsidRPr="00DE43E5">
          <w:rPr>
            <w:rStyle w:val="Hyperlink"/>
            <w:rFonts w:ascii="Times New Roman" w:hAnsi="Times New Roman" w:cs="Times New Roman"/>
          </w:rPr>
          <w:t>http://www.prosafe.org/index.php/best-practice/item/best-practices-techniques-in-market-surveillance</w:t>
        </w:r>
      </w:hyperlink>
    </w:p>
    <w:p w:rsidR="00DE43E5" w:rsidRDefault="00DE43E5" w:rsidP="005D00DB">
      <w:pPr>
        <w:pStyle w:val="FootnoteText"/>
        <w:rPr>
          <w:lang w:val="ro-RO"/>
        </w:rPr>
      </w:pPr>
    </w:p>
  </w:footnote>
  <w:footnote w:id="2">
    <w:p w:rsidR="008F4C9B" w:rsidRPr="008F4C9B" w:rsidRDefault="008F4C9B">
      <w:pPr>
        <w:pStyle w:val="FootnoteText"/>
        <w:rPr>
          <w:lang w:val="ro-RO"/>
        </w:rPr>
      </w:pPr>
      <w:r>
        <w:rPr>
          <w:rStyle w:val="FootnoteReference"/>
        </w:rPr>
        <w:footnoteRef/>
      </w:r>
      <w:r w:rsidRPr="00D873D5">
        <w:rPr>
          <w:lang w:val="it-IT"/>
        </w:rPr>
        <w:t xml:space="preserve"> OJ L 11, 15.1.2002, p. 4</w:t>
      </w:r>
    </w:p>
  </w:footnote>
  <w:footnote w:id="3">
    <w:p w:rsidR="008F4C9B" w:rsidRPr="008F4C9B" w:rsidRDefault="008F4C9B">
      <w:pPr>
        <w:pStyle w:val="FootnoteText"/>
        <w:rPr>
          <w:lang w:val="ro-RO"/>
        </w:rPr>
      </w:pPr>
      <w:r>
        <w:rPr>
          <w:rStyle w:val="FootnoteReference"/>
        </w:rPr>
        <w:footnoteRef/>
      </w:r>
      <w:r w:rsidRPr="00D873D5">
        <w:rPr>
          <w:lang w:val="it-IT"/>
        </w:rPr>
        <w:t xml:space="preserve"> OJ L 218, 13.8.2008, p. 30</w:t>
      </w:r>
    </w:p>
  </w:footnote>
  <w:footnote w:id="4">
    <w:p w:rsidR="008F4C9B" w:rsidRPr="008F4C9B" w:rsidRDefault="008F4C9B">
      <w:pPr>
        <w:pStyle w:val="FootnoteText"/>
        <w:rPr>
          <w:lang w:val="ro-RO"/>
        </w:rPr>
      </w:pPr>
      <w:r>
        <w:rPr>
          <w:rStyle w:val="FootnoteReference"/>
        </w:rPr>
        <w:footnoteRef/>
      </w:r>
      <w:r w:rsidRPr="008F4C9B">
        <w:rPr>
          <w:lang w:val="it-IT"/>
        </w:rPr>
        <w:t xml:space="preserve"> </w:t>
      </w:r>
      <w:r w:rsidRPr="008F4C9B">
        <w:rPr>
          <w:rFonts w:ascii="Times New Roman" w:eastAsia="Times New Roman" w:hAnsi="Times New Roman" w:cs="Times New Roman"/>
          <w:lang w:val="it-IT"/>
        </w:rPr>
        <w:t>Prezentul document stabilește interpretarea serviciilor responsabile ale Comisiei. Aceasta nu prejudiciază în niciun fel posibila poziție oficială a Comisiei Europene. Mai mult, o interpretare obligatorie a dreptului comunitar este de competența exclusivă a Curții Europene de Justiție.</w:t>
      </w:r>
    </w:p>
  </w:footnote>
  <w:footnote w:id="5">
    <w:p w:rsidR="00FE7A19" w:rsidRPr="00FE7A19" w:rsidRDefault="00FE7A19">
      <w:pPr>
        <w:pStyle w:val="FootnoteText"/>
        <w:rPr>
          <w:lang w:val="ro-RO"/>
        </w:rPr>
      </w:pPr>
      <w:r>
        <w:rPr>
          <w:rStyle w:val="FootnoteReference"/>
        </w:rPr>
        <w:footnoteRef/>
      </w:r>
      <w:r w:rsidRPr="00D833FD">
        <w:rPr>
          <w:lang w:val="ro-RO"/>
        </w:rPr>
        <w:t xml:space="preserve"> </w:t>
      </w:r>
      <w:r w:rsidR="00D873D5" w:rsidRPr="00D873D5">
        <w:rPr>
          <w:rFonts w:ascii="Times New Roman" w:eastAsia="Times New Roman" w:hAnsi="Times New Roman" w:cs="Times New Roman"/>
          <w:lang w:val="ro-RO"/>
        </w:rPr>
        <w:t>Directiva 90/385 / CEE privind dispozitivele medicale implantabile active (JO L 189, 20.7.1990, p. 17), Directiva 93/42 / CEE privind dispozitivele medicale (JO L 169, 12.7.1993, p.</w:t>
      </w:r>
      <w:r w:rsidR="00D873D5">
        <w:rPr>
          <w:rFonts w:ascii="Times New Roman" w:eastAsia="Times New Roman" w:hAnsi="Times New Roman" w:cs="Times New Roman"/>
          <w:lang w:val="ro-RO"/>
        </w:rPr>
        <w:t xml:space="preserve">1 </w:t>
      </w:r>
      <w:r w:rsidR="00D873D5" w:rsidRPr="00D873D5">
        <w:rPr>
          <w:rFonts w:ascii="Times New Roman" w:eastAsia="Times New Roman" w:hAnsi="Times New Roman" w:cs="Times New Roman"/>
          <w:lang w:val="ro-RO"/>
        </w:rPr>
        <w:t xml:space="preserve"> 98/79 / CE privind dispozitivele medicale pentru diagnostic in vitro (JO L 331, 7.12.1998, p. 1)</w:t>
      </w:r>
      <w:r w:rsidRPr="00D833FD">
        <w:rPr>
          <w:rFonts w:ascii="Times New Roman" w:eastAsia="Times New Roman" w:hAnsi="Times New Roman" w:cs="Times New Roman"/>
          <w:spacing w:val="32"/>
          <w:lang w:val="ro-RO"/>
        </w:rPr>
        <w:t xml:space="preserve"> </w:t>
      </w:r>
    </w:p>
  </w:footnote>
  <w:footnote w:id="6">
    <w:p w:rsidR="00E3539E" w:rsidRPr="00E3539E" w:rsidRDefault="00D833FD">
      <w:pPr>
        <w:pStyle w:val="FootnoteText"/>
        <w:rPr>
          <w:rFonts w:ascii="Times New Roman" w:eastAsia="Times New Roman" w:hAnsi="Times New Roman" w:cs="Times New Roman"/>
        </w:rPr>
      </w:pPr>
      <w:r>
        <w:rPr>
          <w:rStyle w:val="FootnoteReference"/>
        </w:rPr>
        <w:footnoteRef/>
      </w:r>
      <w:r w:rsidRPr="00D873D5">
        <w:rPr>
          <w:lang w:val="ro-RO"/>
        </w:rPr>
        <w:t xml:space="preserve"> </w:t>
      </w:r>
      <w:r w:rsidR="00D873D5" w:rsidRPr="00D873D5">
        <w:rPr>
          <w:rFonts w:ascii="Times New Roman" w:eastAsia="Times New Roman" w:hAnsi="Times New Roman" w:cs="Times New Roman"/>
          <w:lang w:val="ro-RO"/>
        </w:rPr>
        <w:t>Directiva 76/768 / CEE privind produsele cosmetice (JO L 262, 27.9.1976, p. 169) (înlocuit încep</w:t>
      </w:r>
      <w:r w:rsidR="001344CD">
        <w:rPr>
          <w:rFonts w:ascii="Times New Roman" w:eastAsia="Times New Roman" w:hAnsi="Times New Roman" w:cs="Times New Roman"/>
          <w:lang w:val="ro-RO"/>
        </w:rPr>
        <w:t>î</w:t>
      </w:r>
      <w:r w:rsidR="00D873D5" w:rsidRPr="00D873D5">
        <w:rPr>
          <w:rFonts w:ascii="Times New Roman" w:eastAsia="Times New Roman" w:hAnsi="Times New Roman" w:cs="Times New Roman"/>
          <w:lang w:val="ro-RO"/>
        </w:rPr>
        <w:t>nd cu 11 iulie 2013 prin Regulamentul (CE) nr. 1223/2009 privind produsele cosmetice, JO L 342, 22.12. .</w:t>
      </w:r>
      <w:r w:rsidR="00D873D5" w:rsidRPr="00D873D5">
        <w:rPr>
          <w:rFonts w:ascii="Times New Roman" w:eastAsia="Times New Roman" w:hAnsi="Times New Roman" w:cs="Times New Roman"/>
        </w:rPr>
        <w:t>2009, p. 59)</w:t>
      </w:r>
    </w:p>
  </w:footnote>
  <w:footnote w:id="7">
    <w:p w:rsidR="00E36C77" w:rsidRPr="00206672" w:rsidRDefault="00E36C77">
      <w:pPr>
        <w:pStyle w:val="FootnoteText"/>
        <w:rPr>
          <w:lang w:val="ro-RO"/>
        </w:rPr>
      </w:pPr>
      <w:r w:rsidRPr="00206672">
        <w:rPr>
          <w:rStyle w:val="FootnoteReference"/>
          <w:lang w:val="ro-RO"/>
        </w:rPr>
        <w:footnoteRef/>
      </w:r>
      <w:r w:rsidRPr="00206672">
        <w:rPr>
          <w:lang w:val="ro-RO"/>
        </w:rPr>
        <w:t xml:space="preserve"> </w:t>
      </w:r>
      <w:r w:rsidRPr="00206672">
        <w:rPr>
          <w:rFonts w:ascii="Times New Roman" w:eastAsia="Times New Roman" w:hAnsi="Times New Roman" w:cs="Times New Roman"/>
          <w:lang w:val="ro-RO"/>
        </w:rPr>
        <w:t>Articolul 2 litera (a) din DSGP definește produsul (consumator) ca fiind "orice produs - inclusiv în contextul furnizării unui serviciu - destinat consumatorilor sau care, în condiții previzibile în mod rezonabil, poate fi utilizat de către consumatori, chiar dacă nu este destinat lor și este furnizat sau pus la dispoziție, fie cu titlu oneros sau nu, în cadrul unei activități comerciale și dacă sunt noi, utilizate sau recondiționate ". Această definiție nu se aplică produselor second-hand furnizate ca antichități sau ca produse care urmează să fie reparate sau recondiționate înainte de a fi utilizate, cu condiția ca furnizorul să informeze în mod clar persoana căreia îi furnizează produsul în acest sens;</w:t>
      </w:r>
    </w:p>
  </w:footnote>
  <w:footnote w:id="8">
    <w:p w:rsidR="00E36C77" w:rsidRPr="00206672" w:rsidRDefault="00E36C77">
      <w:pPr>
        <w:pStyle w:val="FootnoteText"/>
        <w:rPr>
          <w:lang w:val="ro-RO"/>
        </w:rPr>
      </w:pPr>
      <w:r w:rsidRPr="00206672">
        <w:rPr>
          <w:rStyle w:val="FootnoteReference"/>
          <w:lang w:val="ro-RO"/>
        </w:rPr>
        <w:footnoteRef/>
      </w:r>
      <w:r w:rsidRPr="00206672">
        <w:rPr>
          <w:lang w:val="ro-RO"/>
        </w:rPr>
        <w:t xml:space="preserve"> </w:t>
      </w:r>
      <w:r w:rsidRPr="00206672">
        <w:rPr>
          <w:rFonts w:ascii="Times New Roman" w:eastAsia="Times New Roman" w:hAnsi="Times New Roman" w:cs="Times New Roman"/>
          <w:lang w:val="ro-RO"/>
        </w:rPr>
        <w:t>Legislația comunitară armonizată este definită la articolul 2 alineatul (21) din Regulamentul 765/2008 drept "orice legislație comunitară care armonizează condițiile de comercializare a produselor". Exemple de astfel de reglementări sunt Directiva privind jucăriile (Directiva 88/378 / CEE privind siguranța jucăriilor, după cum a fost modificată (înlocuită de Directiva 2009/48 / CE privind siguranța jucăriilor), Directiva privind tensiunea joasă (Directiva 2006/95 / CE privind echipamentele electrice destinate utilizării în anumite limite de tensiune), Directiva privind compatibilitatea electromagnetică (Directiva 2004/108 / CE privind</w:t>
      </w:r>
      <w:r w:rsidRPr="00206672">
        <w:rPr>
          <w:rFonts w:ascii="Times New Roman" w:eastAsia="Times New Roman" w:hAnsi="Times New Roman" w:cs="Times New Roman"/>
          <w:spacing w:val="38"/>
          <w:lang w:val="ro-RO"/>
        </w:rPr>
        <w:t xml:space="preserve"> </w:t>
      </w:r>
      <w:r w:rsidRPr="00206672">
        <w:rPr>
          <w:rFonts w:ascii="Times New Roman" w:eastAsia="Times New Roman" w:hAnsi="Times New Roman" w:cs="Times New Roman"/>
          <w:lang w:val="ro-RO"/>
        </w:rPr>
        <w:t>privind compatibilitatea electromagnetică),</w:t>
      </w:r>
      <w:r w:rsidRPr="00206672">
        <w:rPr>
          <w:rFonts w:ascii="Times New Roman" w:eastAsia="Times New Roman" w:hAnsi="Times New Roman" w:cs="Times New Roman"/>
          <w:w w:val="99"/>
          <w:lang w:val="ro-RO"/>
        </w:rPr>
        <w:t xml:space="preserve"> </w:t>
      </w:r>
      <w:r w:rsidRPr="00206672">
        <w:rPr>
          <w:rFonts w:ascii="Times New Roman" w:eastAsia="Times New Roman" w:hAnsi="Times New Roman" w:cs="Times New Roman"/>
          <w:lang w:val="ro-RO"/>
        </w:rPr>
        <w:t>etc.</w:t>
      </w:r>
    </w:p>
  </w:footnote>
  <w:footnote w:id="9">
    <w:p w:rsidR="00E36C77" w:rsidRPr="003946A9" w:rsidRDefault="00E36C77">
      <w:pPr>
        <w:pStyle w:val="FootnoteText"/>
        <w:rPr>
          <w:lang w:val="ro-RO"/>
        </w:rPr>
      </w:pPr>
      <w:r w:rsidRPr="003946A9">
        <w:rPr>
          <w:rStyle w:val="FootnoteReference"/>
        </w:rPr>
        <w:footnoteRef/>
      </w:r>
      <w:r w:rsidRPr="003946A9">
        <w:t xml:space="preserve"> </w:t>
      </w:r>
      <w:r w:rsidRPr="003946A9">
        <w:rPr>
          <w:rFonts w:ascii="Times New Roman" w:eastAsia="Times New Roman" w:hAnsi="Times New Roman" w:cs="Times New Roman"/>
          <w:w w:val="105"/>
        </w:rPr>
        <w:t>OJ</w:t>
      </w:r>
      <w:r w:rsidRPr="003946A9">
        <w:rPr>
          <w:rFonts w:ascii="Times New Roman" w:eastAsia="Times New Roman" w:hAnsi="Times New Roman" w:cs="Times New Roman"/>
          <w:spacing w:val="1"/>
          <w:w w:val="105"/>
        </w:rPr>
        <w:t xml:space="preserve"> </w:t>
      </w:r>
      <w:r w:rsidRPr="003946A9">
        <w:rPr>
          <w:rFonts w:ascii="Times New Roman" w:eastAsia="Times New Roman" w:hAnsi="Times New Roman" w:cs="Times New Roman"/>
          <w:w w:val="105"/>
        </w:rPr>
        <w:t>L</w:t>
      </w:r>
      <w:r w:rsidRPr="003946A9">
        <w:rPr>
          <w:rFonts w:ascii="Times New Roman" w:eastAsia="Times New Roman" w:hAnsi="Times New Roman" w:cs="Times New Roman"/>
          <w:spacing w:val="-1"/>
          <w:w w:val="105"/>
        </w:rPr>
        <w:t xml:space="preserve"> </w:t>
      </w:r>
      <w:r w:rsidRPr="003946A9">
        <w:rPr>
          <w:rFonts w:ascii="Times New Roman" w:eastAsia="Times New Roman" w:hAnsi="Times New Roman" w:cs="Times New Roman"/>
          <w:w w:val="105"/>
        </w:rPr>
        <w:t>22,</w:t>
      </w:r>
      <w:r w:rsidRPr="003946A9">
        <w:rPr>
          <w:rFonts w:ascii="Times New Roman" w:eastAsia="Times New Roman" w:hAnsi="Times New Roman" w:cs="Times New Roman"/>
          <w:spacing w:val="1"/>
          <w:w w:val="105"/>
        </w:rPr>
        <w:t xml:space="preserve"> </w:t>
      </w:r>
      <w:r w:rsidRPr="003946A9">
        <w:rPr>
          <w:rFonts w:ascii="Times New Roman" w:eastAsia="Times New Roman" w:hAnsi="Times New Roman" w:cs="Times New Roman"/>
          <w:w w:val="105"/>
        </w:rPr>
        <w:t>26.1.2010,</w:t>
      </w:r>
      <w:r w:rsidRPr="003946A9">
        <w:rPr>
          <w:rFonts w:ascii="Times New Roman" w:eastAsia="Times New Roman" w:hAnsi="Times New Roman" w:cs="Times New Roman"/>
          <w:spacing w:val="6"/>
          <w:w w:val="105"/>
        </w:rPr>
        <w:t xml:space="preserve"> </w:t>
      </w:r>
      <w:r w:rsidRPr="003946A9">
        <w:rPr>
          <w:rFonts w:ascii="Times New Roman" w:eastAsia="Times New Roman" w:hAnsi="Times New Roman" w:cs="Times New Roman"/>
          <w:w w:val="105"/>
        </w:rPr>
        <w:t>p.</w:t>
      </w:r>
      <w:r w:rsidRPr="003946A9">
        <w:rPr>
          <w:rFonts w:ascii="Times New Roman" w:eastAsia="Times New Roman" w:hAnsi="Times New Roman" w:cs="Times New Roman"/>
          <w:spacing w:val="25"/>
          <w:w w:val="105"/>
        </w:rPr>
        <w:t xml:space="preserve"> </w:t>
      </w:r>
      <w:r w:rsidRPr="003946A9">
        <w:rPr>
          <w:rFonts w:ascii="Times New Roman" w:eastAsia="Times New Roman" w:hAnsi="Times New Roman" w:cs="Times New Roman"/>
          <w:w w:val="105"/>
        </w:rPr>
        <w:t>1</w:t>
      </w:r>
    </w:p>
  </w:footnote>
  <w:footnote w:id="10">
    <w:p w:rsidR="00883A4C" w:rsidRPr="00883A4C" w:rsidRDefault="00883A4C">
      <w:pPr>
        <w:pStyle w:val="FootnoteText"/>
        <w:rPr>
          <w:lang w:val="ro-RO"/>
        </w:rPr>
      </w:pPr>
      <w:r>
        <w:rPr>
          <w:rStyle w:val="FootnoteReference"/>
        </w:rPr>
        <w:footnoteRef/>
      </w:r>
      <w:r w:rsidRPr="005E4205">
        <w:rPr>
          <w:lang w:val="ro-RO"/>
        </w:rPr>
        <w:t xml:space="preserve"> </w:t>
      </w:r>
      <w:r w:rsidR="005E4205" w:rsidRPr="005E4205">
        <w:rPr>
          <w:rFonts w:ascii="Times New Roman" w:eastAsia="Times New Roman" w:hAnsi="Times New Roman" w:cs="Times New Roman"/>
          <w:w w:val="105"/>
          <w:sz w:val="19"/>
          <w:szCs w:val="19"/>
          <w:lang w:val="ro-RO"/>
        </w:rPr>
        <w:t>Această măsură nu poate fi considerată o măsură de supraveghere a pieței în sensul articolului 15 alineatul (3) din Regulament.</w:t>
      </w:r>
    </w:p>
  </w:footnote>
  <w:footnote w:id="11">
    <w:p w:rsidR="00234900" w:rsidRPr="005E4205" w:rsidRDefault="00234900">
      <w:pPr>
        <w:pStyle w:val="FootnoteText"/>
        <w:rPr>
          <w:rFonts w:ascii="Times New Roman" w:eastAsia="Times New Roman" w:hAnsi="Times New Roman" w:cs="Times New Roman"/>
          <w:w w:val="105"/>
          <w:sz w:val="19"/>
          <w:szCs w:val="19"/>
          <w:lang w:val="ro-RO"/>
        </w:rPr>
      </w:pPr>
      <w:r>
        <w:rPr>
          <w:rStyle w:val="FootnoteReference"/>
        </w:rPr>
        <w:footnoteRef/>
      </w:r>
      <w:r w:rsidRPr="005E4205">
        <w:rPr>
          <w:lang w:val="ro-RO"/>
        </w:rPr>
        <w:t xml:space="preserve"> </w:t>
      </w:r>
      <w:r w:rsidR="005E4205" w:rsidRPr="005E4205">
        <w:rPr>
          <w:rFonts w:ascii="Times New Roman" w:eastAsia="Times New Roman" w:hAnsi="Times New Roman" w:cs="Times New Roman"/>
          <w:w w:val="105"/>
          <w:sz w:val="19"/>
          <w:szCs w:val="19"/>
          <w:lang w:val="ro-RO"/>
        </w:rPr>
        <w:t xml:space="preserve">Directiva 85/374 / CEE din 25 iulie 1985 privind aproximarea actelor cu putere de lege și a actelor administrative ale statelor membre referitoare la răspunderea pentru produsele defecte, JO L 307, 12.11.1988, p. 1. 54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376A8"/>
    <w:multiLevelType w:val="hybridMultilevel"/>
    <w:tmpl w:val="973EB69E"/>
    <w:lvl w:ilvl="0" w:tplc="6B18FFE6">
      <w:start w:val="3"/>
      <w:numFmt w:val="decimal"/>
      <w:lvlText w:val="%1."/>
      <w:lvlJc w:val="left"/>
      <w:pPr>
        <w:ind w:hanging="485"/>
      </w:pPr>
      <w:rPr>
        <w:rFonts w:ascii="Times New Roman" w:eastAsia="Times New Roman" w:hAnsi="Times New Roman" w:hint="default"/>
        <w:b/>
        <w:bCs/>
        <w:sz w:val="24"/>
        <w:szCs w:val="24"/>
      </w:rPr>
    </w:lvl>
    <w:lvl w:ilvl="1" w:tplc="B75A8D5E">
      <w:start w:val="1"/>
      <w:numFmt w:val="bullet"/>
      <w:lvlText w:val="•"/>
      <w:lvlJc w:val="left"/>
      <w:pPr>
        <w:ind w:hanging="277"/>
      </w:pPr>
      <w:rPr>
        <w:rFonts w:ascii="Times New Roman" w:eastAsia="Times New Roman" w:hAnsi="Times New Roman" w:hint="default"/>
        <w:w w:val="157"/>
        <w:sz w:val="24"/>
        <w:szCs w:val="24"/>
      </w:rPr>
    </w:lvl>
    <w:lvl w:ilvl="2" w:tplc="DBE467D6">
      <w:start w:val="1"/>
      <w:numFmt w:val="bullet"/>
      <w:lvlText w:val="•"/>
      <w:lvlJc w:val="left"/>
      <w:rPr>
        <w:rFonts w:hint="default"/>
      </w:rPr>
    </w:lvl>
    <w:lvl w:ilvl="3" w:tplc="12EC4DD6">
      <w:start w:val="1"/>
      <w:numFmt w:val="bullet"/>
      <w:lvlText w:val="•"/>
      <w:lvlJc w:val="left"/>
      <w:rPr>
        <w:rFonts w:hint="default"/>
      </w:rPr>
    </w:lvl>
    <w:lvl w:ilvl="4" w:tplc="66A2E110">
      <w:start w:val="1"/>
      <w:numFmt w:val="bullet"/>
      <w:lvlText w:val="•"/>
      <w:lvlJc w:val="left"/>
      <w:rPr>
        <w:rFonts w:hint="default"/>
      </w:rPr>
    </w:lvl>
    <w:lvl w:ilvl="5" w:tplc="A86A95E8">
      <w:start w:val="1"/>
      <w:numFmt w:val="bullet"/>
      <w:lvlText w:val="•"/>
      <w:lvlJc w:val="left"/>
      <w:rPr>
        <w:rFonts w:hint="default"/>
      </w:rPr>
    </w:lvl>
    <w:lvl w:ilvl="6" w:tplc="67CC83C6">
      <w:start w:val="1"/>
      <w:numFmt w:val="bullet"/>
      <w:lvlText w:val="•"/>
      <w:lvlJc w:val="left"/>
      <w:rPr>
        <w:rFonts w:hint="default"/>
      </w:rPr>
    </w:lvl>
    <w:lvl w:ilvl="7" w:tplc="AFE8D38C">
      <w:start w:val="1"/>
      <w:numFmt w:val="bullet"/>
      <w:lvlText w:val="•"/>
      <w:lvlJc w:val="left"/>
      <w:rPr>
        <w:rFonts w:hint="default"/>
      </w:rPr>
    </w:lvl>
    <w:lvl w:ilvl="8" w:tplc="39421C92">
      <w:start w:val="1"/>
      <w:numFmt w:val="bullet"/>
      <w:lvlText w:val="•"/>
      <w:lvlJc w:val="left"/>
      <w:rPr>
        <w:rFonts w:hint="default"/>
      </w:rPr>
    </w:lvl>
  </w:abstractNum>
  <w:abstractNum w:abstractNumId="1">
    <w:nsid w:val="2A472546"/>
    <w:multiLevelType w:val="hybridMultilevel"/>
    <w:tmpl w:val="62109BA4"/>
    <w:lvl w:ilvl="0" w:tplc="08090001">
      <w:start w:val="1"/>
      <w:numFmt w:val="bullet"/>
      <w:lvlText w:val=""/>
      <w:lvlJc w:val="left"/>
      <w:pPr>
        <w:ind w:left="848" w:hanging="360"/>
      </w:pPr>
      <w:rPr>
        <w:rFonts w:ascii="Symbol" w:hAnsi="Symbol" w:hint="default"/>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2">
    <w:nsid w:val="3C610D68"/>
    <w:multiLevelType w:val="multilevel"/>
    <w:tmpl w:val="5FE8A5EE"/>
    <w:lvl w:ilvl="0">
      <w:start w:val="2"/>
      <w:numFmt w:val="decimal"/>
      <w:lvlText w:val="%1"/>
      <w:lvlJc w:val="left"/>
      <w:pPr>
        <w:ind w:hanging="710"/>
      </w:pPr>
      <w:rPr>
        <w:rFonts w:hint="default"/>
      </w:rPr>
    </w:lvl>
    <w:lvl w:ilvl="1">
      <w:start w:val="3"/>
      <w:numFmt w:val="decimal"/>
      <w:lvlText w:val="%1.%2"/>
      <w:lvlJc w:val="left"/>
      <w:pPr>
        <w:ind w:hanging="710"/>
      </w:pPr>
      <w:rPr>
        <w:rFonts w:hint="default"/>
      </w:rPr>
    </w:lvl>
    <w:lvl w:ilvl="2">
      <w:start w:val="1"/>
      <w:numFmt w:val="decimal"/>
      <w:lvlText w:val="%1.%2.%3."/>
      <w:lvlJc w:val="left"/>
      <w:pPr>
        <w:ind w:hanging="710"/>
      </w:pPr>
      <w:rPr>
        <w:rFonts w:ascii="Times New Roman" w:eastAsia="Times New Roman" w:hAnsi="Times New Roman" w:hint="default"/>
        <w:i/>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3FD76254"/>
    <w:multiLevelType w:val="hybridMultilevel"/>
    <w:tmpl w:val="381614D4"/>
    <w:lvl w:ilvl="0" w:tplc="5A8AB9C2">
      <w:start w:val="1"/>
      <w:numFmt w:val="lowerLetter"/>
      <w:lvlText w:val="(%1)"/>
      <w:lvlJc w:val="left"/>
      <w:pPr>
        <w:ind w:hanging="706"/>
      </w:pPr>
      <w:rPr>
        <w:rFonts w:ascii="Times New Roman" w:eastAsia="Times New Roman" w:hAnsi="Times New Roman" w:hint="default"/>
        <w:w w:val="99"/>
        <w:sz w:val="28"/>
        <w:szCs w:val="28"/>
      </w:rPr>
    </w:lvl>
    <w:lvl w:ilvl="1" w:tplc="48E4AEA0">
      <w:start w:val="1"/>
      <w:numFmt w:val="bullet"/>
      <w:lvlText w:val="•"/>
      <w:lvlJc w:val="left"/>
      <w:rPr>
        <w:rFonts w:hint="default"/>
      </w:rPr>
    </w:lvl>
    <w:lvl w:ilvl="2" w:tplc="D73EFCE6">
      <w:start w:val="1"/>
      <w:numFmt w:val="bullet"/>
      <w:lvlText w:val="•"/>
      <w:lvlJc w:val="left"/>
      <w:rPr>
        <w:rFonts w:hint="default"/>
      </w:rPr>
    </w:lvl>
    <w:lvl w:ilvl="3" w:tplc="A71412E6">
      <w:start w:val="1"/>
      <w:numFmt w:val="bullet"/>
      <w:lvlText w:val="•"/>
      <w:lvlJc w:val="left"/>
      <w:rPr>
        <w:rFonts w:hint="default"/>
      </w:rPr>
    </w:lvl>
    <w:lvl w:ilvl="4" w:tplc="45ECF5B4">
      <w:start w:val="1"/>
      <w:numFmt w:val="bullet"/>
      <w:lvlText w:val="•"/>
      <w:lvlJc w:val="left"/>
      <w:rPr>
        <w:rFonts w:hint="default"/>
      </w:rPr>
    </w:lvl>
    <w:lvl w:ilvl="5" w:tplc="907A1578">
      <w:start w:val="1"/>
      <w:numFmt w:val="bullet"/>
      <w:lvlText w:val="•"/>
      <w:lvlJc w:val="left"/>
      <w:rPr>
        <w:rFonts w:hint="default"/>
      </w:rPr>
    </w:lvl>
    <w:lvl w:ilvl="6" w:tplc="EA8E0F80">
      <w:start w:val="1"/>
      <w:numFmt w:val="bullet"/>
      <w:lvlText w:val="•"/>
      <w:lvlJc w:val="left"/>
      <w:rPr>
        <w:rFonts w:hint="default"/>
      </w:rPr>
    </w:lvl>
    <w:lvl w:ilvl="7" w:tplc="15F84182">
      <w:start w:val="1"/>
      <w:numFmt w:val="bullet"/>
      <w:lvlText w:val="•"/>
      <w:lvlJc w:val="left"/>
      <w:rPr>
        <w:rFonts w:hint="default"/>
      </w:rPr>
    </w:lvl>
    <w:lvl w:ilvl="8" w:tplc="8B5A6928">
      <w:start w:val="1"/>
      <w:numFmt w:val="bullet"/>
      <w:lvlText w:val="•"/>
      <w:lvlJc w:val="left"/>
      <w:rPr>
        <w:rFonts w:hint="default"/>
      </w:rPr>
    </w:lvl>
  </w:abstractNum>
  <w:abstractNum w:abstractNumId="4">
    <w:nsid w:val="44860134"/>
    <w:multiLevelType w:val="multilevel"/>
    <w:tmpl w:val="120805F2"/>
    <w:lvl w:ilvl="0">
      <w:start w:val="1"/>
      <w:numFmt w:val="decimal"/>
      <w:lvlText w:val="%1."/>
      <w:lvlJc w:val="left"/>
      <w:pPr>
        <w:ind w:hanging="468"/>
      </w:pPr>
      <w:rPr>
        <w:rFonts w:ascii="Times New Roman" w:eastAsia="Times New Roman" w:hAnsi="Times New Roman" w:hint="default"/>
        <w:w w:val="113"/>
        <w:sz w:val="24"/>
        <w:szCs w:val="24"/>
      </w:rPr>
    </w:lvl>
    <w:lvl w:ilvl="1">
      <w:start w:val="1"/>
      <w:numFmt w:val="decimal"/>
      <w:lvlText w:val="%1.%2."/>
      <w:lvlJc w:val="left"/>
      <w:pPr>
        <w:ind w:hanging="713"/>
      </w:pPr>
      <w:rPr>
        <w:rFonts w:ascii="Times New Roman" w:eastAsia="Times New Roman" w:hAnsi="Times New Roman" w:hint="default"/>
        <w:w w:val="101"/>
        <w:sz w:val="24"/>
        <w:szCs w:val="24"/>
      </w:rPr>
    </w:lvl>
    <w:lvl w:ilvl="2">
      <w:start w:val="1"/>
      <w:numFmt w:val="decimal"/>
      <w:lvlText w:val="%1.%2.%3."/>
      <w:lvlJc w:val="left"/>
      <w:pPr>
        <w:ind w:hanging="702"/>
      </w:pPr>
      <w:rPr>
        <w:rFonts w:ascii="Times New Roman" w:eastAsia="Times New Roman" w:hAnsi="Times New Roman" w:hint="default"/>
        <w:i/>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4F2170CE"/>
    <w:multiLevelType w:val="hybridMultilevel"/>
    <w:tmpl w:val="C2D6118A"/>
    <w:lvl w:ilvl="0" w:tplc="59C68BA0">
      <w:start w:val="1"/>
      <w:numFmt w:val="decimal"/>
      <w:lvlText w:val="%1."/>
      <w:lvlJc w:val="left"/>
      <w:pPr>
        <w:ind w:left="0" w:hanging="708"/>
      </w:pPr>
      <w:rPr>
        <w:rFonts w:ascii="Arial" w:eastAsia="Arial" w:hAnsi="Arial" w:cs="Times New Roman" w:hint="default"/>
        <w:sz w:val="24"/>
        <w:szCs w:val="24"/>
      </w:rPr>
    </w:lvl>
    <w:lvl w:ilvl="1" w:tplc="1FDEF768">
      <w:start w:val="1"/>
      <w:numFmt w:val="bullet"/>
      <w:lvlText w:val="-"/>
      <w:lvlJc w:val="left"/>
      <w:pPr>
        <w:ind w:left="0" w:hanging="360"/>
      </w:pPr>
      <w:rPr>
        <w:rFonts w:ascii="Arial" w:eastAsia="Arial" w:hAnsi="Arial" w:cs="Times New Roman" w:hint="default"/>
        <w:sz w:val="24"/>
        <w:szCs w:val="24"/>
      </w:rPr>
    </w:lvl>
    <w:lvl w:ilvl="2" w:tplc="E9DE6F96">
      <w:start w:val="1"/>
      <w:numFmt w:val="bullet"/>
      <w:lvlText w:val="•"/>
      <w:lvlJc w:val="left"/>
      <w:pPr>
        <w:ind w:left="0" w:firstLine="0"/>
      </w:pPr>
    </w:lvl>
    <w:lvl w:ilvl="3" w:tplc="303A8A06">
      <w:start w:val="1"/>
      <w:numFmt w:val="bullet"/>
      <w:lvlText w:val="•"/>
      <w:lvlJc w:val="left"/>
      <w:pPr>
        <w:ind w:left="0" w:firstLine="0"/>
      </w:pPr>
    </w:lvl>
    <w:lvl w:ilvl="4" w:tplc="A66E4472">
      <w:start w:val="1"/>
      <w:numFmt w:val="bullet"/>
      <w:lvlText w:val="•"/>
      <w:lvlJc w:val="left"/>
      <w:pPr>
        <w:ind w:left="0" w:firstLine="0"/>
      </w:pPr>
    </w:lvl>
    <w:lvl w:ilvl="5" w:tplc="52701464">
      <w:start w:val="1"/>
      <w:numFmt w:val="bullet"/>
      <w:lvlText w:val="•"/>
      <w:lvlJc w:val="left"/>
      <w:pPr>
        <w:ind w:left="0" w:firstLine="0"/>
      </w:pPr>
    </w:lvl>
    <w:lvl w:ilvl="6" w:tplc="859A0980">
      <w:start w:val="1"/>
      <w:numFmt w:val="bullet"/>
      <w:lvlText w:val="•"/>
      <w:lvlJc w:val="left"/>
      <w:pPr>
        <w:ind w:left="0" w:firstLine="0"/>
      </w:pPr>
    </w:lvl>
    <w:lvl w:ilvl="7" w:tplc="F5F2D320">
      <w:start w:val="1"/>
      <w:numFmt w:val="bullet"/>
      <w:lvlText w:val="•"/>
      <w:lvlJc w:val="left"/>
      <w:pPr>
        <w:ind w:left="0" w:firstLine="0"/>
      </w:pPr>
    </w:lvl>
    <w:lvl w:ilvl="8" w:tplc="2B7CB888">
      <w:start w:val="1"/>
      <w:numFmt w:val="bullet"/>
      <w:lvlText w:val="•"/>
      <w:lvlJc w:val="left"/>
      <w:pPr>
        <w:ind w:left="0" w:firstLine="0"/>
      </w:pPr>
    </w:lvl>
  </w:abstractNum>
  <w:num w:numId="1">
    <w:abstractNumId w:val="0"/>
  </w:num>
  <w:num w:numId="2">
    <w:abstractNumId w:val="2"/>
  </w:num>
  <w:num w:numId="3">
    <w:abstractNumId w:val="3"/>
  </w:num>
  <w:num w:numId="4">
    <w:abstractNumId w:val="4"/>
  </w:num>
  <w:num w:numId="5">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3"/>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B4E9D"/>
    <w:rsid w:val="000164FD"/>
    <w:rsid w:val="00040031"/>
    <w:rsid w:val="00050B80"/>
    <w:rsid w:val="00064A90"/>
    <w:rsid w:val="000839F2"/>
    <w:rsid w:val="000A3566"/>
    <w:rsid w:val="000A69D2"/>
    <w:rsid w:val="00104152"/>
    <w:rsid w:val="00121F09"/>
    <w:rsid w:val="001344CD"/>
    <w:rsid w:val="00151708"/>
    <w:rsid w:val="00155C8D"/>
    <w:rsid w:val="00182678"/>
    <w:rsid w:val="001904A4"/>
    <w:rsid w:val="001C4C9C"/>
    <w:rsid w:val="001D126A"/>
    <w:rsid w:val="001E5DE3"/>
    <w:rsid w:val="001F601B"/>
    <w:rsid w:val="0020001E"/>
    <w:rsid w:val="002063D2"/>
    <w:rsid w:val="00206672"/>
    <w:rsid w:val="00206917"/>
    <w:rsid w:val="00213A83"/>
    <w:rsid w:val="002313B0"/>
    <w:rsid w:val="00234900"/>
    <w:rsid w:val="00237C44"/>
    <w:rsid w:val="002455C3"/>
    <w:rsid w:val="00247522"/>
    <w:rsid w:val="002737C8"/>
    <w:rsid w:val="00287EC5"/>
    <w:rsid w:val="00292486"/>
    <w:rsid w:val="002C38EE"/>
    <w:rsid w:val="002E2665"/>
    <w:rsid w:val="0030498C"/>
    <w:rsid w:val="00311D0F"/>
    <w:rsid w:val="003362B9"/>
    <w:rsid w:val="00357BA4"/>
    <w:rsid w:val="00357CF1"/>
    <w:rsid w:val="00374A5C"/>
    <w:rsid w:val="00390F6D"/>
    <w:rsid w:val="003946A9"/>
    <w:rsid w:val="003A43AE"/>
    <w:rsid w:val="003B2E32"/>
    <w:rsid w:val="003D1847"/>
    <w:rsid w:val="003E395D"/>
    <w:rsid w:val="003F4082"/>
    <w:rsid w:val="00401382"/>
    <w:rsid w:val="004024E3"/>
    <w:rsid w:val="0040797B"/>
    <w:rsid w:val="00414644"/>
    <w:rsid w:val="00416F96"/>
    <w:rsid w:val="0043469D"/>
    <w:rsid w:val="00441764"/>
    <w:rsid w:val="00442DA7"/>
    <w:rsid w:val="0044328C"/>
    <w:rsid w:val="0047517B"/>
    <w:rsid w:val="00485C86"/>
    <w:rsid w:val="00494993"/>
    <w:rsid w:val="00494AA9"/>
    <w:rsid w:val="004B295B"/>
    <w:rsid w:val="004C1FD6"/>
    <w:rsid w:val="00532A5F"/>
    <w:rsid w:val="0057489F"/>
    <w:rsid w:val="005753DB"/>
    <w:rsid w:val="005A038A"/>
    <w:rsid w:val="005A3794"/>
    <w:rsid w:val="005B3C8E"/>
    <w:rsid w:val="005C19BC"/>
    <w:rsid w:val="005C1F1B"/>
    <w:rsid w:val="005D00DB"/>
    <w:rsid w:val="005D713C"/>
    <w:rsid w:val="005D75AA"/>
    <w:rsid w:val="005E0C4E"/>
    <w:rsid w:val="005E2489"/>
    <w:rsid w:val="005E4205"/>
    <w:rsid w:val="00615D54"/>
    <w:rsid w:val="00623197"/>
    <w:rsid w:val="00642095"/>
    <w:rsid w:val="00650A29"/>
    <w:rsid w:val="006860BE"/>
    <w:rsid w:val="00686E6E"/>
    <w:rsid w:val="006A2FD5"/>
    <w:rsid w:val="006A46C7"/>
    <w:rsid w:val="006B2AAA"/>
    <w:rsid w:val="006F1C1E"/>
    <w:rsid w:val="006F6D31"/>
    <w:rsid w:val="0071384F"/>
    <w:rsid w:val="007176B7"/>
    <w:rsid w:val="0074654C"/>
    <w:rsid w:val="00747EA3"/>
    <w:rsid w:val="00754864"/>
    <w:rsid w:val="007D08CD"/>
    <w:rsid w:val="007D7BA4"/>
    <w:rsid w:val="007F375F"/>
    <w:rsid w:val="0080173B"/>
    <w:rsid w:val="008054C2"/>
    <w:rsid w:val="008121AD"/>
    <w:rsid w:val="00841FFE"/>
    <w:rsid w:val="008444D7"/>
    <w:rsid w:val="00846C71"/>
    <w:rsid w:val="008551BC"/>
    <w:rsid w:val="00862008"/>
    <w:rsid w:val="0086379F"/>
    <w:rsid w:val="008679F7"/>
    <w:rsid w:val="00871614"/>
    <w:rsid w:val="00883A4C"/>
    <w:rsid w:val="00896A4B"/>
    <w:rsid w:val="008A25D8"/>
    <w:rsid w:val="008E34C6"/>
    <w:rsid w:val="008F2591"/>
    <w:rsid w:val="008F4C9B"/>
    <w:rsid w:val="00915228"/>
    <w:rsid w:val="00933501"/>
    <w:rsid w:val="00980DB9"/>
    <w:rsid w:val="00996C90"/>
    <w:rsid w:val="009D2382"/>
    <w:rsid w:val="009E0029"/>
    <w:rsid w:val="00A134EB"/>
    <w:rsid w:val="00A36C3F"/>
    <w:rsid w:val="00A408CA"/>
    <w:rsid w:val="00A57360"/>
    <w:rsid w:val="00A717A1"/>
    <w:rsid w:val="00A730AF"/>
    <w:rsid w:val="00A76BB7"/>
    <w:rsid w:val="00A84EA2"/>
    <w:rsid w:val="00A918D8"/>
    <w:rsid w:val="00AA78DA"/>
    <w:rsid w:val="00AB3E19"/>
    <w:rsid w:val="00AC5E9A"/>
    <w:rsid w:val="00AE591C"/>
    <w:rsid w:val="00AF3ADB"/>
    <w:rsid w:val="00B00A0E"/>
    <w:rsid w:val="00B22A59"/>
    <w:rsid w:val="00B242B5"/>
    <w:rsid w:val="00B341F9"/>
    <w:rsid w:val="00B667B2"/>
    <w:rsid w:val="00B73DA8"/>
    <w:rsid w:val="00B770B8"/>
    <w:rsid w:val="00B81091"/>
    <w:rsid w:val="00BE5193"/>
    <w:rsid w:val="00C11CDE"/>
    <w:rsid w:val="00C3454E"/>
    <w:rsid w:val="00C3496C"/>
    <w:rsid w:val="00C564E2"/>
    <w:rsid w:val="00C67F34"/>
    <w:rsid w:val="00C73FDC"/>
    <w:rsid w:val="00C84CBF"/>
    <w:rsid w:val="00C86640"/>
    <w:rsid w:val="00C97FB1"/>
    <w:rsid w:val="00CD1DF7"/>
    <w:rsid w:val="00D135C7"/>
    <w:rsid w:val="00D14747"/>
    <w:rsid w:val="00D310D1"/>
    <w:rsid w:val="00D833FD"/>
    <w:rsid w:val="00D873D5"/>
    <w:rsid w:val="00DA24EA"/>
    <w:rsid w:val="00DA7F9E"/>
    <w:rsid w:val="00DB51B0"/>
    <w:rsid w:val="00DE43E5"/>
    <w:rsid w:val="00DF0FED"/>
    <w:rsid w:val="00E10F81"/>
    <w:rsid w:val="00E1645E"/>
    <w:rsid w:val="00E3539E"/>
    <w:rsid w:val="00E36C77"/>
    <w:rsid w:val="00E424A0"/>
    <w:rsid w:val="00E479F4"/>
    <w:rsid w:val="00E669B5"/>
    <w:rsid w:val="00E6700A"/>
    <w:rsid w:val="00E750AC"/>
    <w:rsid w:val="00E86F1B"/>
    <w:rsid w:val="00E970F4"/>
    <w:rsid w:val="00EB4E9D"/>
    <w:rsid w:val="00EC6097"/>
    <w:rsid w:val="00F81C0F"/>
    <w:rsid w:val="00F8367E"/>
    <w:rsid w:val="00FA0A93"/>
    <w:rsid w:val="00FE00CA"/>
    <w:rsid w:val="00FE605D"/>
    <w:rsid w:val="00FE7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1AD1A2-9623-4964-874F-22599693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ind w:left="802" w:hanging="679"/>
      <w:outlineLvl w:val="0"/>
    </w:pPr>
    <w:rPr>
      <w:rFonts w:ascii="Times New Roman" w:eastAsia="Times New Roman" w:hAnsi="Times New Roman"/>
      <w:i/>
      <w:sz w:val="25"/>
      <w:szCs w:val="25"/>
    </w:rPr>
  </w:style>
  <w:style w:type="paragraph" w:styleId="Heading4">
    <w:name w:val="heading 4"/>
    <w:basedOn w:val="Normal"/>
    <w:next w:val="Normal"/>
    <w:link w:val="Heading4Char"/>
    <w:uiPriority w:val="9"/>
    <w:semiHidden/>
    <w:unhideWhenUsed/>
    <w:qFormat/>
    <w:rsid w:val="005D00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8"/>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6860BE"/>
    <w:rPr>
      <w:sz w:val="20"/>
      <w:szCs w:val="20"/>
    </w:rPr>
  </w:style>
  <w:style w:type="character" w:customStyle="1" w:styleId="FootnoteTextChar">
    <w:name w:val="Footnote Text Char"/>
    <w:basedOn w:val="DefaultParagraphFont"/>
    <w:link w:val="FootnoteText"/>
    <w:uiPriority w:val="99"/>
    <w:semiHidden/>
    <w:rsid w:val="006860BE"/>
    <w:rPr>
      <w:sz w:val="20"/>
      <w:szCs w:val="20"/>
    </w:rPr>
  </w:style>
  <w:style w:type="character" w:styleId="FootnoteReference">
    <w:name w:val="footnote reference"/>
    <w:basedOn w:val="DefaultParagraphFont"/>
    <w:uiPriority w:val="99"/>
    <w:semiHidden/>
    <w:unhideWhenUsed/>
    <w:rsid w:val="006860BE"/>
    <w:rPr>
      <w:vertAlign w:val="superscript"/>
    </w:rPr>
  </w:style>
  <w:style w:type="paragraph" w:styleId="Header">
    <w:name w:val="header"/>
    <w:basedOn w:val="Normal"/>
    <w:link w:val="HeaderChar"/>
    <w:uiPriority w:val="99"/>
    <w:unhideWhenUsed/>
    <w:rsid w:val="00E3539E"/>
    <w:pPr>
      <w:tabs>
        <w:tab w:val="center" w:pos="4536"/>
        <w:tab w:val="right" w:pos="9072"/>
      </w:tabs>
    </w:pPr>
  </w:style>
  <w:style w:type="character" w:customStyle="1" w:styleId="HeaderChar">
    <w:name w:val="Header Char"/>
    <w:basedOn w:val="DefaultParagraphFont"/>
    <w:link w:val="Header"/>
    <w:uiPriority w:val="99"/>
    <w:rsid w:val="00E3539E"/>
  </w:style>
  <w:style w:type="paragraph" w:styleId="Footer">
    <w:name w:val="footer"/>
    <w:basedOn w:val="Normal"/>
    <w:link w:val="FooterChar"/>
    <w:uiPriority w:val="99"/>
    <w:unhideWhenUsed/>
    <w:rsid w:val="00E3539E"/>
    <w:pPr>
      <w:tabs>
        <w:tab w:val="center" w:pos="4536"/>
        <w:tab w:val="right" w:pos="9072"/>
      </w:tabs>
    </w:pPr>
  </w:style>
  <w:style w:type="character" w:customStyle="1" w:styleId="FooterChar">
    <w:name w:val="Footer Char"/>
    <w:basedOn w:val="DefaultParagraphFont"/>
    <w:link w:val="Footer"/>
    <w:uiPriority w:val="99"/>
    <w:rsid w:val="00E3539E"/>
  </w:style>
  <w:style w:type="table" w:styleId="TableGrid">
    <w:name w:val="Table Grid"/>
    <w:basedOn w:val="TableNormal"/>
    <w:uiPriority w:val="39"/>
    <w:rsid w:val="00996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E2665"/>
    <w:rPr>
      <w:color w:val="0000FF" w:themeColor="hyperlink"/>
      <w:u w:val="single"/>
    </w:rPr>
  </w:style>
  <w:style w:type="character" w:styleId="FollowedHyperlink">
    <w:name w:val="FollowedHyperlink"/>
    <w:basedOn w:val="DefaultParagraphFont"/>
    <w:uiPriority w:val="99"/>
    <w:semiHidden/>
    <w:unhideWhenUsed/>
    <w:rsid w:val="00213A83"/>
    <w:rPr>
      <w:color w:val="800080" w:themeColor="followedHyperlink"/>
      <w:u w:val="single"/>
    </w:rPr>
  </w:style>
  <w:style w:type="character" w:customStyle="1" w:styleId="BodyTextChar">
    <w:name w:val="Body Text Char"/>
    <w:basedOn w:val="DefaultParagraphFont"/>
    <w:link w:val="BodyText"/>
    <w:uiPriority w:val="1"/>
    <w:rsid w:val="00C73FDC"/>
    <w:rPr>
      <w:rFonts w:ascii="Times New Roman" w:eastAsia="Times New Roman" w:hAnsi="Times New Roman"/>
      <w:sz w:val="24"/>
      <w:szCs w:val="24"/>
    </w:rPr>
  </w:style>
  <w:style w:type="paragraph" w:customStyle="1" w:styleId="Default">
    <w:name w:val="Default"/>
    <w:rsid w:val="00416F96"/>
    <w:pPr>
      <w:widowControl/>
      <w:autoSpaceDE w:val="0"/>
      <w:autoSpaceDN w:val="0"/>
      <w:adjustRightInd w:val="0"/>
    </w:pPr>
    <w:rPr>
      <w:rFonts w:ascii="Times New Roman" w:hAnsi="Times New Roman" w:cs="Times New Roman"/>
      <w:color w:val="000000"/>
      <w:sz w:val="24"/>
      <w:szCs w:val="24"/>
      <w:lang w:val="en-GB"/>
    </w:rPr>
  </w:style>
  <w:style w:type="character" w:customStyle="1" w:styleId="Heading4Char">
    <w:name w:val="Heading 4 Char"/>
    <w:basedOn w:val="DefaultParagraphFont"/>
    <w:link w:val="Heading4"/>
    <w:uiPriority w:val="9"/>
    <w:semiHidden/>
    <w:rsid w:val="005D00DB"/>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DE43E5"/>
    <w:rPr>
      <w:rFonts w:ascii="Times New Roman" w:eastAsia="Times New Roman" w:hAnsi="Times New Roman"/>
      <w:i/>
      <w:sz w:val="25"/>
      <w:szCs w:val="25"/>
    </w:rPr>
  </w:style>
  <w:style w:type="character" w:styleId="Emphasis">
    <w:name w:val="Emphasis"/>
    <w:basedOn w:val="DefaultParagraphFont"/>
    <w:uiPriority w:val="20"/>
    <w:qFormat/>
    <w:rsid w:val="005E24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1230">
      <w:bodyDiv w:val="1"/>
      <w:marLeft w:val="0"/>
      <w:marRight w:val="0"/>
      <w:marTop w:val="0"/>
      <w:marBottom w:val="0"/>
      <w:divBdr>
        <w:top w:val="none" w:sz="0" w:space="0" w:color="auto"/>
        <w:left w:val="none" w:sz="0" w:space="0" w:color="auto"/>
        <w:bottom w:val="none" w:sz="0" w:space="0" w:color="auto"/>
        <w:right w:val="none" w:sz="0" w:space="0" w:color="auto"/>
      </w:divBdr>
    </w:div>
    <w:div w:id="129373273">
      <w:bodyDiv w:val="1"/>
      <w:marLeft w:val="0"/>
      <w:marRight w:val="0"/>
      <w:marTop w:val="0"/>
      <w:marBottom w:val="0"/>
      <w:divBdr>
        <w:top w:val="none" w:sz="0" w:space="0" w:color="auto"/>
        <w:left w:val="none" w:sz="0" w:space="0" w:color="auto"/>
        <w:bottom w:val="none" w:sz="0" w:space="0" w:color="auto"/>
        <w:right w:val="none" w:sz="0" w:space="0" w:color="auto"/>
      </w:divBdr>
    </w:div>
    <w:div w:id="159081884">
      <w:bodyDiv w:val="1"/>
      <w:marLeft w:val="0"/>
      <w:marRight w:val="0"/>
      <w:marTop w:val="0"/>
      <w:marBottom w:val="0"/>
      <w:divBdr>
        <w:top w:val="none" w:sz="0" w:space="0" w:color="auto"/>
        <w:left w:val="none" w:sz="0" w:space="0" w:color="auto"/>
        <w:bottom w:val="none" w:sz="0" w:space="0" w:color="auto"/>
        <w:right w:val="none" w:sz="0" w:space="0" w:color="auto"/>
      </w:divBdr>
    </w:div>
    <w:div w:id="182787951">
      <w:bodyDiv w:val="1"/>
      <w:marLeft w:val="0"/>
      <w:marRight w:val="0"/>
      <w:marTop w:val="0"/>
      <w:marBottom w:val="0"/>
      <w:divBdr>
        <w:top w:val="none" w:sz="0" w:space="0" w:color="auto"/>
        <w:left w:val="none" w:sz="0" w:space="0" w:color="auto"/>
        <w:bottom w:val="none" w:sz="0" w:space="0" w:color="auto"/>
        <w:right w:val="none" w:sz="0" w:space="0" w:color="auto"/>
      </w:divBdr>
    </w:div>
    <w:div w:id="182911524">
      <w:bodyDiv w:val="1"/>
      <w:marLeft w:val="0"/>
      <w:marRight w:val="0"/>
      <w:marTop w:val="0"/>
      <w:marBottom w:val="0"/>
      <w:divBdr>
        <w:top w:val="none" w:sz="0" w:space="0" w:color="auto"/>
        <w:left w:val="none" w:sz="0" w:space="0" w:color="auto"/>
        <w:bottom w:val="none" w:sz="0" w:space="0" w:color="auto"/>
        <w:right w:val="none" w:sz="0" w:space="0" w:color="auto"/>
      </w:divBdr>
    </w:div>
    <w:div w:id="203954147">
      <w:bodyDiv w:val="1"/>
      <w:marLeft w:val="0"/>
      <w:marRight w:val="0"/>
      <w:marTop w:val="0"/>
      <w:marBottom w:val="0"/>
      <w:divBdr>
        <w:top w:val="none" w:sz="0" w:space="0" w:color="auto"/>
        <w:left w:val="none" w:sz="0" w:space="0" w:color="auto"/>
        <w:bottom w:val="none" w:sz="0" w:space="0" w:color="auto"/>
        <w:right w:val="none" w:sz="0" w:space="0" w:color="auto"/>
      </w:divBdr>
    </w:div>
    <w:div w:id="219219640">
      <w:bodyDiv w:val="1"/>
      <w:marLeft w:val="0"/>
      <w:marRight w:val="0"/>
      <w:marTop w:val="0"/>
      <w:marBottom w:val="0"/>
      <w:divBdr>
        <w:top w:val="none" w:sz="0" w:space="0" w:color="auto"/>
        <w:left w:val="none" w:sz="0" w:space="0" w:color="auto"/>
        <w:bottom w:val="none" w:sz="0" w:space="0" w:color="auto"/>
        <w:right w:val="none" w:sz="0" w:space="0" w:color="auto"/>
      </w:divBdr>
    </w:div>
    <w:div w:id="267858782">
      <w:bodyDiv w:val="1"/>
      <w:marLeft w:val="0"/>
      <w:marRight w:val="0"/>
      <w:marTop w:val="0"/>
      <w:marBottom w:val="0"/>
      <w:divBdr>
        <w:top w:val="none" w:sz="0" w:space="0" w:color="auto"/>
        <w:left w:val="none" w:sz="0" w:space="0" w:color="auto"/>
        <w:bottom w:val="none" w:sz="0" w:space="0" w:color="auto"/>
        <w:right w:val="none" w:sz="0" w:space="0" w:color="auto"/>
      </w:divBdr>
    </w:div>
    <w:div w:id="297496516">
      <w:bodyDiv w:val="1"/>
      <w:marLeft w:val="0"/>
      <w:marRight w:val="0"/>
      <w:marTop w:val="0"/>
      <w:marBottom w:val="0"/>
      <w:divBdr>
        <w:top w:val="none" w:sz="0" w:space="0" w:color="auto"/>
        <w:left w:val="none" w:sz="0" w:space="0" w:color="auto"/>
        <w:bottom w:val="none" w:sz="0" w:space="0" w:color="auto"/>
        <w:right w:val="none" w:sz="0" w:space="0" w:color="auto"/>
      </w:divBdr>
    </w:div>
    <w:div w:id="348870728">
      <w:bodyDiv w:val="1"/>
      <w:marLeft w:val="0"/>
      <w:marRight w:val="0"/>
      <w:marTop w:val="0"/>
      <w:marBottom w:val="0"/>
      <w:divBdr>
        <w:top w:val="none" w:sz="0" w:space="0" w:color="auto"/>
        <w:left w:val="none" w:sz="0" w:space="0" w:color="auto"/>
        <w:bottom w:val="none" w:sz="0" w:space="0" w:color="auto"/>
        <w:right w:val="none" w:sz="0" w:space="0" w:color="auto"/>
      </w:divBdr>
    </w:div>
    <w:div w:id="414939069">
      <w:bodyDiv w:val="1"/>
      <w:marLeft w:val="0"/>
      <w:marRight w:val="0"/>
      <w:marTop w:val="0"/>
      <w:marBottom w:val="0"/>
      <w:divBdr>
        <w:top w:val="none" w:sz="0" w:space="0" w:color="auto"/>
        <w:left w:val="none" w:sz="0" w:space="0" w:color="auto"/>
        <w:bottom w:val="none" w:sz="0" w:space="0" w:color="auto"/>
        <w:right w:val="none" w:sz="0" w:space="0" w:color="auto"/>
      </w:divBdr>
    </w:div>
    <w:div w:id="436097980">
      <w:bodyDiv w:val="1"/>
      <w:marLeft w:val="0"/>
      <w:marRight w:val="0"/>
      <w:marTop w:val="0"/>
      <w:marBottom w:val="0"/>
      <w:divBdr>
        <w:top w:val="none" w:sz="0" w:space="0" w:color="auto"/>
        <w:left w:val="none" w:sz="0" w:space="0" w:color="auto"/>
        <w:bottom w:val="none" w:sz="0" w:space="0" w:color="auto"/>
        <w:right w:val="none" w:sz="0" w:space="0" w:color="auto"/>
      </w:divBdr>
    </w:div>
    <w:div w:id="450901917">
      <w:bodyDiv w:val="1"/>
      <w:marLeft w:val="0"/>
      <w:marRight w:val="0"/>
      <w:marTop w:val="0"/>
      <w:marBottom w:val="0"/>
      <w:divBdr>
        <w:top w:val="none" w:sz="0" w:space="0" w:color="auto"/>
        <w:left w:val="none" w:sz="0" w:space="0" w:color="auto"/>
        <w:bottom w:val="none" w:sz="0" w:space="0" w:color="auto"/>
        <w:right w:val="none" w:sz="0" w:space="0" w:color="auto"/>
      </w:divBdr>
    </w:div>
    <w:div w:id="578177829">
      <w:bodyDiv w:val="1"/>
      <w:marLeft w:val="0"/>
      <w:marRight w:val="0"/>
      <w:marTop w:val="0"/>
      <w:marBottom w:val="0"/>
      <w:divBdr>
        <w:top w:val="none" w:sz="0" w:space="0" w:color="auto"/>
        <w:left w:val="none" w:sz="0" w:space="0" w:color="auto"/>
        <w:bottom w:val="none" w:sz="0" w:space="0" w:color="auto"/>
        <w:right w:val="none" w:sz="0" w:space="0" w:color="auto"/>
      </w:divBdr>
    </w:div>
    <w:div w:id="588318280">
      <w:bodyDiv w:val="1"/>
      <w:marLeft w:val="0"/>
      <w:marRight w:val="0"/>
      <w:marTop w:val="0"/>
      <w:marBottom w:val="0"/>
      <w:divBdr>
        <w:top w:val="none" w:sz="0" w:space="0" w:color="auto"/>
        <w:left w:val="none" w:sz="0" w:space="0" w:color="auto"/>
        <w:bottom w:val="none" w:sz="0" w:space="0" w:color="auto"/>
        <w:right w:val="none" w:sz="0" w:space="0" w:color="auto"/>
      </w:divBdr>
    </w:div>
    <w:div w:id="588850911">
      <w:bodyDiv w:val="1"/>
      <w:marLeft w:val="0"/>
      <w:marRight w:val="0"/>
      <w:marTop w:val="0"/>
      <w:marBottom w:val="0"/>
      <w:divBdr>
        <w:top w:val="none" w:sz="0" w:space="0" w:color="auto"/>
        <w:left w:val="none" w:sz="0" w:space="0" w:color="auto"/>
        <w:bottom w:val="none" w:sz="0" w:space="0" w:color="auto"/>
        <w:right w:val="none" w:sz="0" w:space="0" w:color="auto"/>
      </w:divBdr>
    </w:div>
    <w:div w:id="630093679">
      <w:bodyDiv w:val="1"/>
      <w:marLeft w:val="0"/>
      <w:marRight w:val="0"/>
      <w:marTop w:val="0"/>
      <w:marBottom w:val="0"/>
      <w:divBdr>
        <w:top w:val="none" w:sz="0" w:space="0" w:color="auto"/>
        <w:left w:val="none" w:sz="0" w:space="0" w:color="auto"/>
        <w:bottom w:val="none" w:sz="0" w:space="0" w:color="auto"/>
        <w:right w:val="none" w:sz="0" w:space="0" w:color="auto"/>
      </w:divBdr>
    </w:div>
    <w:div w:id="630328235">
      <w:bodyDiv w:val="1"/>
      <w:marLeft w:val="0"/>
      <w:marRight w:val="0"/>
      <w:marTop w:val="0"/>
      <w:marBottom w:val="0"/>
      <w:divBdr>
        <w:top w:val="none" w:sz="0" w:space="0" w:color="auto"/>
        <w:left w:val="none" w:sz="0" w:space="0" w:color="auto"/>
        <w:bottom w:val="none" w:sz="0" w:space="0" w:color="auto"/>
        <w:right w:val="none" w:sz="0" w:space="0" w:color="auto"/>
      </w:divBdr>
    </w:div>
    <w:div w:id="651904682">
      <w:bodyDiv w:val="1"/>
      <w:marLeft w:val="0"/>
      <w:marRight w:val="0"/>
      <w:marTop w:val="0"/>
      <w:marBottom w:val="0"/>
      <w:divBdr>
        <w:top w:val="none" w:sz="0" w:space="0" w:color="auto"/>
        <w:left w:val="none" w:sz="0" w:space="0" w:color="auto"/>
        <w:bottom w:val="none" w:sz="0" w:space="0" w:color="auto"/>
        <w:right w:val="none" w:sz="0" w:space="0" w:color="auto"/>
      </w:divBdr>
    </w:div>
    <w:div w:id="662900821">
      <w:bodyDiv w:val="1"/>
      <w:marLeft w:val="0"/>
      <w:marRight w:val="0"/>
      <w:marTop w:val="0"/>
      <w:marBottom w:val="0"/>
      <w:divBdr>
        <w:top w:val="none" w:sz="0" w:space="0" w:color="auto"/>
        <w:left w:val="none" w:sz="0" w:space="0" w:color="auto"/>
        <w:bottom w:val="none" w:sz="0" w:space="0" w:color="auto"/>
        <w:right w:val="none" w:sz="0" w:space="0" w:color="auto"/>
      </w:divBdr>
    </w:div>
    <w:div w:id="674385935">
      <w:bodyDiv w:val="1"/>
      <w:marLeft w:val="0"/>
      <w:marRight w:val="0"/>
      <w:marTop w:val="0"/>
      <w:marBottom w:val="0"/>
      <w:divBdr>
        <w:top w:val="none" w:sz="0" w:space="0" w:color="auto"/>
        <w:left w:val="none" w:sz="0" w:space="0" w:color="auto"/>
        <w:bottom w:val="none" w:sz="0" w:space="0" w:color="auto"/>
        <w:right w:val="none" w:sz="0" w:space="0" w:color="auto"/>
      </w:divBdr>
    </w:div>
    <w:div w:id="683240648">
      <w:bodyDiv w:val="1"/>
      <w:marLeft w:val="0"/>
      <w:marRight w:val="0"/>
      <w:marTop w:val="0"/>
      <w:marBottom w:val="0"/>
      <w:divBdr>
        <w:top w:val="none" w:sz="0" w:space="0" w:color="auto"/>
        <w:left w:val="none" w:sz="0" w:space="0" w:color="auto"/>
        <w:bottom w:val="none" w:sz="0" w:space="0" w:color="auto"/>
        <w:right w:val="none" w:sz="0" w:space="0" w:color="auto"/>
      </w:divBdr>
    </w:div>
    <w:div w:id="715744122">
      <w:bodyDiv w:val="1"/>
      <w:marLeft w:val="0"/>
      <w:marRight w:val="0"/>
      <w:marTop w:val="0"/>
      <w:marBottom w:val="0"/>
      <w:divBdr>
        <w:top w:val="none" w:sz="0" w:space="0" w:color="auto"/>
        <w:left w:val="none" w:sz="0" w:space="0" w:color="auto"/>
        <w:bottom w:val="none" w:sz="0" w:space="0" w:color="auto"/>
        <w:right w:val="none" w:sz="0" w:space="0" w:color="auto"/>
      </w:divBdr>
    </w:div>
    <w:div w:id="730270342">
      <w:bodyDiv w:val="1"/>
      <w:marLeft w:val="0"/>
      <w:marRight w:val="0"/>
      <w:marTop w:val="0"/>
      <w:marBottom w:val="0"/>
      <w:divBdr>
        <w:top w:val="none" w:sz="0" w:space="0" w:color="auto"/>
        <w:left w:val="none" w:sz="0" w:space="0" w:color="auto"/>
        <w:bottom w:val="none" w:sz="0" w:space="0" w:color="auto"/>
        <w:right w:val="none" w:sz="0" w:space="0" w:color="auto"/>
      </w:divBdr>
    </w:div>
    <w:div w:id="738484714">
      <w:bodyDiv w:val="1"/>
      <w:marLeft w:val="0"/>
      <w:marRight w:val="0"/>
      <w:marTop w:val="0"/>
      <w:marBottom w:val="0"/>
      <w:divBdr>
        <w:top w:val="none" w:sz="0" w:space="0" w:color="auto"/>
        <w:left w:val="none" w:sz="0" w:space="0" w:color="auto"/>
        <w:bottom w:val="none" w:sz="0" w:space="0" w:color="auto"/>
        <w:right w:val="none" w:sz="0" w:space="0" w:color="auto"/>
      </w:divBdr>
    </w:div>
    <w:div w:id="740178756">
      <w:bodyDiv w:val="1"/>
      <w:marLeft w:val="0"/>
      <w:marRight w:val="0"/>
      <w:marTop w:val="0"/>
      <w:marBottom w:val="0"/>
      <w:divBdr>
        <w:top w:val="none" w:sz="0" w:space="0" w:color="auto"/>
        <w:left w:val="none" w:sz="0" w:space="0" w:color="auto"/>
        <w:bottom w:val="none" w:sz="0" w:space="0" w:color="auto"/>
        <w:right w:val="none" w:sz="0" w:space="0" w:color="auto"/>
      </w:divBdr>
    </w:div>
    <w:div w:id="746652575">
      <w:bodyDiv w:val="1"/>
      <w:marLeft w:val="0"/>
      <w:marRight w:val="0"/>
      <w:marTop w:val="0"/>
      <w:marBottom w:val="0"/>
      <w:divBdr>
        <w:top w:val="none" w:sz="0" w:space="0" w:color="auto"/>
        <w:left w:val="none" w:sz="0" w:space="0" w:color="auto"/>
        <w:bottom w:val="none" w:sz="0" w:space="0" w:color="auto"/>
        <w:right w:val="none" w:sz="0" w:space="0" w:color="auto"/>
      </w:divBdr>
    </w:div>
    <w:div w:id="772936882">
      <w:bodyDiv w:val="1"/>
      <w:marLeft w:val="0"/>
      <w:marRight w:val="0"/>
      <w:marTop w:val="0"/>
      <w:marBottom w:val="0"/>
      <w:divBdr>
        <w:top w:val="none" w:sz="0" w:space="0" w:color="auto"/>
        <w:left w:val="none" w:sz="0" w:space="0" w:color="auto"/>
        <w:bottom w:val="none" w:sz="0" w:space="0" w:color="auto"/>
        <w:right w:val="none" w:sz="0" w:space="0" w:color="auto"/>
      </w:divBdr>
    </w:div>
    <w:div w:id="827549731">
      <w:bodyDiv w:val="1"/>
      <w:marLeft w:val="0"/>
      <w:marRight w:val="0"/>
      <w:marTop w:val="0"/>
      <w:marBottom w:val="0"/>
      <w:divBdr>
        <w:top w:val="none" w:sz="0" w:space="0" w:color="auto"/>
        <w:left w:val="none" w:sz="0" w:space="0" w:color="auto"/>
        <w:bottom w:val="none" w:sz="0" w:space="0" w:color="auto"/>
        <w:right w:val="none" w:sz="0" w:space="0" w:color="auto"/>
      </w:divBdr>
    </w:div>
    <w:div w:id="840775756">
      <w:bodyDiv w:val="1"/>
      <w:marLeft w:val="0"/>
      <w:marRight w:val="0"/>
      <w:marTop w:val="0"/>
      <w:marBottom w:val="0"/>
      <w:divBdr>
        <w:top w:val="none" w:sz="0" w:space="0" w:color="auto"/>
        <w:left w:val="none" w:sz="0" w:space="0" w:color="auto"/>
        <w:bottom w:val="none" w:sz="0" w:space="0" w:color="auto"/>
        <w:right w:val="none" w:sz="0" w:space="0" w:color="auto"/>
      </w:divBdr>
    </w:div>
    <w:div w:id="843669057">
      <w:bodyDiv w:val="1"/>
      <w:marLeft w:val="0"/>
      <w:marRight w:val="0"/>
      <w:marTop w:val="0"/>
      <w:marBottom w:val="0"/>
      <w:divBdr>
        <w:top w:val="none" w:sz="0" w:space="0" w:color="auto"/>
        <w:left w:val="none" w:sz="0" w:space="0" w:color="auto"/>
        <w:bottom w:val="none" w:sz="0" w:space="0" w:color="auto"/>
        <w:right w:val="none" w:sz="0" w:space="0" w:color="auto"/>
      </w:divBdr>
    </w:div>
    <w:div w:id="876160575">
      <w:bodyDiv w:val="1"/>
      <w:marLeft w:val="0"/>
      <w:marRight w:val="0"/>
      <w:marTop w:val="0"/>
      <w:marBottom w:val="0"/>
      <w:divBdr>
        <w:top w:val="none" w:sz="0" w:space="0" w:color="auto"/>
        <w:left w:val="none" w:sz="0" w:space="0" w:color="auto"/>
        <w:bottom w:val="none" w:sz="0" w:space="0" w:color="auto"/>
        <w:right w:val="none" w:sz="0" w:space="0" w:color="auto"/>
      </w:divBdr>
    </w:div>
    <w:div w:id="899442625">
      <w:bodyDiv w:val="1"/>
      <w:marLeft w:val="0"/>
      <w:marRight w:val="0"/>
      <w:marTop w:val="0"/>
      <w:marBottom w:val="0"/>
      <w:divBdr>
        <w:top w:val="none" w:sz="0" w:space="0" w:color="auto"/>
        <w:left w:val="none" w:sz="0" w:space="0" w:color="auto"/>
        <w:bottom w:val="none" w:sz="0" w:space="0" w:color="auto"/>
        <w:right w:val="none" w:sz="0" w:space="0" w:color="auto"/>
      </w:divBdr>
    </w:div>
    <w:div w:id="932321406">
      <w:bodyDiv w:val="1"/>
      <w:marLeft w:val="0"/>
      <w:marRight w:val="0"/>
      <w:marTop w:val="0"/>
      <w:marBottom w:val="0"/>
      <w:divBdr>
        <w:top w:val="none" w:sz="0" w:space="0" w:color="auto"/>
        <w:left w:val="none" w:sz="0" w:space="0" w:color="auto"/>
        <w:bottom w:val="none" w:sz="0" w:space="0" w:color="auto"/>
        <w:right w:val="none" w:sz="0" w:space="0" w:color="auto"/>
      </w:divBdr>
    </w:div>
    <w:div w:id="981735609">
      <w:bodyDiv w:val="1"/>
      <w:marLeft w:val="0"/>
      <w:marRight w:val="0"/>
      <w:marTop w:val="0"/>
      <w:marBottom w:val="0"/>
      <w:divBdr>
        <w:top w:val="none" w:sz="0" w:space="0" w:color="auto"/>
        <w:left w:val="none" w:sz="0" w:space="0" w:color="auto"/>
        <w:bottom w:val="none" w:sz="0" w:space="0" w:color="auto"/>
        <w:right w:val="none" w:sz="0" w:space="0" w:color="auto"/>
      </w:divBdr>
    </w:div>
    <w:div w:id="981889865">
      <w:bodyDiv w:val="1"/>
      <w:marLeft w:val="0"/>
      <w:marRight w:val="0"/>
      <w:marTop w:val="0"/>
      <w:marBottom w:val="0"/>
      <w:divBdr>
        <w:top w:val="none" w:sz="0" w:space="0" w:color="auto"/>
        <w:left w:val="none" w:sz="0" w:space="0" w:color="auto"/>
        <w:bottom w:val="none" w:sz="0" w:space="0" w:color="auto"/>
        <w:right w:val="none" w:sz="0" w:space="0" w:color="auto"/>
      </w:divBdr>
    </w:div>
    <w:div w:id="1002976983">
      <w:bodyDiv w:val="1"/>
      <w:marLeft w:val="0"/>
      <w:marRight w:val="0"/>
      <w:marTop w:val="0"/>
      <w:marBottom w:val="0"/>
      <w:divBdr>
        <w:top w:val="none" w:sz="0" w:space="0" w:color="auto"/>
        <w:left w:val="none" w:sz="0" w:space="0" w:color="auto"/>
        <w:bottom w:val="none" w:sz="0" w:space="0" w:color="auto"/>
        <w:right w:val="none" w:sz="0" w:space="0" w:color="auto"/>
      </w:divBdr>
    </w:div>
    <w:div w:id="1020207606">
      <w:bodyDiv w:val="1"/>
      <w:marLeft w:val="0"/>
      <w:marRight w:val="0"/>
      <w:marTop w:val="0"/>
      <w:marBottom w:val="0"/>
      <w:divBdr>
        <w:top w:val="none" w:sz="0" w:space="0" w:color="auto"/>
        <w:left w:val="none" w:sz="0" w:space="0" w:color="auto"/>
        <w:bottom w:val="none" w:sz="0" w:space="0" w:color="auto"/>
        <w:right w:val="none" w:sz="0" w:space="0" w:color="auto"/>
      </w:divBdr>
    </w:div>
    <w:div w:id="1037046613">
      <w:bodyDiv w:val="1"/>
      <w:marLeft w:val="0"/>
      <w:marRight w:val="0"/>
      <w:marTop w:val="0"/>
      <w:marBottom w:val="0"/>
      <w:divBdr>
        <w:top w:val="none" w:sz="0" w:space="0" w:color="auto"/>
        <w:left w:val="none" w:sz="0" w:space="0" w:color="auto"/>
        <w:bottom w:val="none" w:sz="0" w:space="0" w:color="auto"/>
        <w:right w:val="none" w:sz="0" w:space="0" w:color="auto"/>
      </w:divBdr>
    </w:div>
    <w:div w:id="1041202575">
      <w:bodyDiv w:val="1"/>
      <w:marLeft w:val="0"/>
      <w:marRight w:val="0"/>
      <w:marTop w:val="0"/>
      <w:marBottom w:val="0"/>
      <w:divBdr>
        <w:top w:val="none" w:sz="0" w:space="0" w:color="auto"/>
        <w:left w:val="none" w:sz="0" w:space="0" w:color="auto"/>
        <w:bottom w:val="none" w:sz="0" w:space="0" w:color="auto"/>
        <w:right w:val="none" w:sz="0" w:space="0" w:color="auto"/>
      </w:divBdr>
    </w:div>
    <w:div w:id="1042023714">
      <w:bodyDiv w:val="1"/>
      <w:marLeft w:val="0"/>
      <w:marRight w:val="0"/>
      <w:marTop w:val="0"/>
      <w:marBottom w:val="0"/>
      <w:divBdr>
        <w:top w:val="none" w:sz="0" w:space="0" w:color="auto"/>
        <w:left w:val="none" w:sz="0" w:space="0" w:color="auto"/>
        <w:bottom w:val="none" w:sz="0" w:space="0" w:color="auto"/>
        <w:right w:val="none" w:sz="0" w:space="0" w:color="auto"/>
      </w:divBdr>
    </w:div>
    <w:div w:id="1061564218">
      <w:bodyDiv w:val="1"/>
      <w:marLeft w:val="0"/>
      <w:marRight w:val="0"/>
      <w:marTop w:val="0"/>
      <w:marBottom w:val="0"/>
      <w:divBdr>
        <w:top w:val="none" w:sz="0" w:space="0" w:color="auto"/>
        <w:left w:val="none" w:sz="0" w:space="0" w:color="auto"/>
        <w:bottom w:val="none" w:sz="0" w:space="0" w:color="auto"/>
        <w:right w:val="none" w:sz="0" w:space="0" w:color="auto"/>
      </w:divBdr>
    </w:div>
    <w:div w:id="1103963699">
      <w:bodyDiv w:val="1"/>
      <w:marLeft w:val="0"/>
      <w:marRight w:val="0"/>
      <w:marTop w:val="0"/>
      <w:marBottom w:val="0"/>
      <w:divBdr>
        <w:top w:val="none" w:sz="0" w:space="0" w:color="auto"/>
        <w:left w:val="none" w:sz="0" w:space="0" w:color="auto"/>
        <w:bottom w:val="none" w:sz="0" w:space="0" w:color="auto"/>
        <w:right w:val="none" w:sz="0" w:space="0" w:color="auto"/>
      </w:divBdr>
    </w:div>
    <w:div w:id="1105030024">
      <w:bodyDiv w:val="1"/>
      <w:marLeft w:val="0"/>
      <w:marRight w:val="0"/>
      <w:marTop w:val="0"/>
      <w:marBottom w:val="0"/>
      <w:divBdr>
        <w:top w:val="none" w:sz="0" w:space="0" w:color="auto"/>
        <w:left w:val="none" w:sz="0" w:space="0" w:color="auto"/>
        <w:bottom w:val="none" w:sz="0" w:space="0" w:color="auto"/>
        <w:right w:val="none" w:sz="0" w:space="0" w:color="auto"/>
      </w:divBdr>
    </w:div>
    <w:div w:id="1105611568">
      <w:bodyDiv w:val="1"/>
      <w:marLeft w:val="0"/>
      <w:marRight w:val="0"/>
      <w:marTop w:val="0"/>
      <w:marBottom w:val="0"/>
      <w:divBdr>
        <w:top w:val="none" w:sz="0" w:space="0" w:color="auto"/>
        <w:left w:val="none" w:sz="0" w:space="0" w:color="auto"/>
        <w:bottom w:val="none" w:sz="0" w:space="0" w:color="auto"/>
        <w:right w:val="none" w:sz="0" w:space="0" w:color="auto"/>
      </w:divBdr>
    </w:div>
    <w:div w:id="1107310604">
      <w:bodyDiv w:val="1"/>
      <w:marLeft w:val="0"/>
      <w:marRight w:val="0"/>
      <w:marTop w:val="0"/>
      <w:marBottom w:val="0"/>
      <w:divBdr>
        <w:top w:val="none" w:sz="0" w:space="0" w:color="auto"/>
        <w:left w:val="none" w:sz="0" w:space="0" w:color="auto"/>
        <w:bottom w:val="none" w:sz="0" w:space="0" w:color="auto"/>
        <w:right w:val="none" w:sz="0" w:space="0" w:color="auto"/>
      </w:divBdr>
    </w:div>
    <w:div w:id="1154568278">
      <w:bodyDiv w:val="1"/>
      <w:marLeft w:val="0"/>
      <w:marRight w:val="0"/>
      <w:marTop w:val="0"/>
      <w:marBottom w:val="0"/>
      <w:divBdr>
        <w:top w:val="none" w:sz="0" w:space="0" w:color="auto"/>
        <w:left w:val="none" w:sz="0" w:space="0" w:color="auto"/>
        <w:bottom w:val="none" w:sz="0" w:space="0" w:color="auto"/>
        <w:right w:val="none" w:sz="0" w:space="0" w:color="auto"/>
      </w:divBdr>
    </w:div>
    <w:div w:id="1183015704">
      <w:bodyDiv w:val="1"/>
      <w:marLeft w:val="0"/>
      <w:marRight w:val="0"/>
      <w:marTop w:val="0"/>
      <w:marBottom w:val="0"/>
      <w:divBdr>
        <w:top w:val="none" w:sz="0" w:space="0" w:color="auto"/>
        <w:left w:val="none" w:sz="0" w:space="0" w:color="auto"/>
        <w:bottom w:val="none" w:sz="0" w:space="0" w:color="auto"/>
        <w:right w:val="none" w:sz="0" w:space="0" w:color="auto"/>
      </w:divBdr>
    </w:div>
    <w:div w:id="1236085014">
      <w:bodyDiv w:val="1"/>
      <w:marLeft w:val="0"/>
      <w:marRight w:val="0"/>
      <w:marTop w:val="0"/>
      <w:marBottom w:val="0"/>
      <w:divBdr>
        <w:top w:val="none" w:sz="0" w:space="0" w:color="auto"/>
        <w:left w:val="none" w:sz="0" w:space="0" w:color="auto"/>
        <w:bottom w:val="none" w:sz="0" w:space="0" w:color="auto"/>
        <w:right w:val="none" w:sz="0" w:space="0" w:color="auto"/>
      </w:divBdr>
    </w:div>
    <w:div w:id="1249774236">
      <w:bodyDiv w:val="1"/>
      <w:marLeft w:val="0"/>
      <w:marRight w:val="0"/>
      <w:marTop w:val="0"/>
      <w:marBottom w:val="0"/>
      <w:divBdr>
        <w:top w:val="none" w:sz="0" w:space="0" w:color="auto"/>
        <w:left w:val="none" w:sz="0" w:space="0" w:color="auto"/>
        <w:bottom w:val="none" w:sz="0" w:space="0" w:color="auto"/>
        <w:right w:val="none" w:sz="0" w:space="0" w:color="auto"/>
      </w:divBdr>
    </w:div>
    <w:div w:id="1252201516">
      <w:bodyDiv w:val="1"/>
      <w:marLeft w:val="0"/>
      <w:marRight w:val="0"/>
      <w:marTop w:val="0"/>
      <w:marBottom w:val="0"/>
      <w:divBdr>
        <w:top w:val="none" w:sz="0" w:space="0" w:color="auto"/>
        <w:left w:val="none" w:sz="0" w:space="0" w:color="auto"/>
        <w:bottom w:val="none" w:sz="0" w:space="0" w:color="auto"/>
        <w:right w:val="none" w:sz="0" w:space="0" w:color="auto"/>
      </w:divBdr>
    </w:div>
    <w:div w:id="1272977887">
      <w:bodyDiv w:val="1"/>
      <w:marLeft w:val="0"/>
      <w:marRight w:val="0"/>
      <w:marTop w:val="0"/>
      <w:marBottom w:val="0"/>
      <w:divBdr>
        <w:top w:val="none" w:sz="0" w:space="0" w:color="auto"/>
        <w:left w:val="none" w:sz="0" w:space="0" w:color="auto"/>
        <w:bottom w:val="none" w:sz="0" w:space="0" w:color="auto"/>
        <w:right w:val="none" w:sz="0" w:space="0" w:color="auto"/>
      </w:divBdr>
    </w:div>
    <w:div w:id="1315841639">
      <w:bodyDiv w:val="1"/>
      <w:marLeft w:val="0"/>
      <w:marRight w:val="0"/>
      <w:marTop w:val="0"/>
      <w:marBottom w:val="0"/>
      <w:divBdr>
        <w:top w:val="none" w:sz="0" w:space="0" w:color="auto"/>
        <w:left w:val="none" w:sz="0" w:space="0" w:color="auto"/>
        <w:bottom w:val="none" w:sz="0" w:space="0" w:color="auto"/>
        <w:right w:val="none" w:sz="0" w:space="0" w:color="auto"/>
      </w:divBdr>
    </w:div>
    <w:div w:id="1323463620">
      <w:bodyDiv w:val="1"/>
      <w:marLeft w:val="0"/>
      <w:marRight w:val="0"/>
      <w:marTop w:val="0"/>
      <w:marBottom w:val="0"/>
      <w:divBdr>
        <w:top w:val="none" w:sz="0" w:space="0" w:color="auto"/>
        <w:left w:val="none" w:sz="0" w:space="0" w:color="auto"/>
        <w:bottom w:val="none" w:sz="0" w:space="0" w:color="auto"/>
        <w:right w:val="none" w:sz="0" w:space="0" w:color="auto"/>
      </w:divBdr>
    </w:div>
    <w:div w:id="1327441372">
      <w:bodyDiv w:val="1"/>
      <w:marLeft w:val="0"/>
      <w:marRight w:val="0"/>
      <w:marTop w:val="0"/>
      <w:marBottom w:val="0"/>
      <w:divBdr>
        <w:top w:val="none" w:sz="0" w:space="0" w:color="auto"/>
        <w:left w:val="none" w:sz="0" w:space="0" w:color="auto"/>
        <w:bottom w:val="none" w:sz="0" w:space="0" w:color="auto"/>
        <w:right w:val="none" w:sz="0" w:space="0" w:color="auto"/>
      </w:divBdr>
    </w:div>
    <w:div w:id="1374962077">
      <w:bodyDiv w:val="1"/>
      <w:marLeft w:val="0"/>
      <w:marRight w:val="0"/>
      <w:marTop w:val="0"/>
      <w:marBottom w:val="0"/>
      <w:divBdr>
        <w:top w:val="none" w:sz="0" w:space="0" w:color="auto"/>
        <w:left w:val="none" w:sz="0" w:space="0" w:color="auto"/>
        <w:bottom w:val="none" w:sz="0" w:space="0" w:color="auto"/>
        <w:right w:val="none" w:sz="0" w:space="0" w:color="auto"/>
      </w:divBdr>
    </w:div>
    <w:div w:id="1378385194">
      <w:bodyDiv w:val="1"/>
      <w:marLeft w:val="0"/>
      <w:marRight w:val="0"/>
      <w:marTop w:val="0"/>
      <w:marBottom w:val="0"/>
      <w:divBdr>
        <w:top w:val="none" w:sz="0" w:space="0" w:color="auto"/>
        <w:left w:val="none" w:sz="0" w:space="0" w:color="auto"/>
        <w:bottom w:val="none" w:sz="0" w:space="0" w:color="auto"/>
        <w:right w:val="none" w:sz="0" w:space="0" w:color="auto"/>
      </w:divBdr>
    </w:div>
    <w:div w:id="1430657338">
      <w:bodyDiv w:val="1"/>
      <w:marLeft w:val="0"/>
      <w:marRight w:val="0"/>
      <w:marTop w:val="0"/>
      <w:marBottom w:val="0"/>
      <w:divBdr>
        <w:top w:val="none" w:sz="0" w:space="0" w:color="auto"/>
        <w:left w:val="none" w:sz="0" w:space="0" w:color="auto"/>
        <w:bottom w:val="none" w:sz="0" w:space="0" w:color="auto"/>
        <w:right w:val="none" w:sz="0" w:space="0" w:color="auto"/>
      </w:divBdr>
    </w:div>
    <w:div w:id="1434088286">
      <w:bodyDiv w:val="1"/>
      <w:marLeft w:val="0"/>
      <w:marRight w:val="0"/>
      <w:marTop w:val="0"/>
      <w:marBottom w:val="0"/>
      <w:divBdr>
        <w:top w:val="none" w:sz="0" w:space="0" w:color="auto"/>
        <w:left w:val="none" w:sz="0" w:space="0" w:color="auto"/>
        <w:bottom w:val="none" w:sz="0" w:space="0" w:color="auto"/>
        <w:right w:val="none" w:sz="0" w:space="0" w:color="auto"/>
      </w:divBdr>
    </w:div>
    <w:div w:id="1443649468">
      <w:bodyDiv w:val="1"/>
      <w:marLeft w:val="0"/>
      <w:marRight w:val="0"/>
      <w:marTop w:val="0"/>
      <w:marBottom w:val="0"/>
      <w:divBdr>
        <w:top w:val="none" w:sz="0" w:space="0" w:color="auto"/>
        <w:left w:val="none" w:sz="0" w:space="0" w:color="auto"/>
        <w:bottom w:val="none" w:sz="0" w:space="0" w:color="auto"/>
        <w:right w:val="none" w:sz="0" w:space="0" w:color="auto"/>
      </w:divBdr>
    </w:div>
    <w:div w:id="1443766267">
      <w:bodyDiv w:val="1"/>
      <w:marLeft w:val="0"/>
      <w:marRight w:val="0"/>
      <w:marTop w:val="0"/>
      <w:marBottom w:val="0"/>
      <w:divBdr>
        <w:top w:val="none" w:sz="0" w:space="0" w:color="auto"/>
        <w:left w:val="none" w:sz="0" w:space="0" w:color="auto"/>
        <w:bottom w:val="none" w:sz="0" w:space="0" w:color="auto"/>
        <w:right w:val="none" w:sz="0" w:space="0" w:color="auto"/>
      </w:divBdr>
    </w:div>
    <w:div w:id="1450124807">
      <w:bodyDiv w:val="1"/>
      <w:marLeft w:val="0"/>
      <w:marRight w:val="0"/>
      <w:marTop w:val="0"/>
      <w:marBottom w:val="0"/>
      <w:divBdr>
        <w:top w:val="none" w:sz="0" w:space="0" w:color="auto"/>
        <w:left w:val="none" w:sz="0" w:space="0" w:color="auto"/>
        <w:bottom w:val="none" w:sz="0" w:space="0" w:color="auto"/>
        <w:right w:val="none" w:sz="0" w:space="0" w:color="auto"/>
      </w:divBdr>
    </w:div>
    <w:div w:id="1453402076">
      <w:bodyDiv w:val="1"/>
      <w:marLeft w:val="0"/>
      <w:marRight w:val="0"/>
      <w:marTop w:val="0"/>
      <w:marBottom w:val="0"/>
      <w:divBdr>
        <w:top w:val="none" w:sz="0" w:space="0" w:color="auto"/>
        <w:left w:val="none" w:sz="0" w:space="0" w:color="auto"/>
        <w:bottom w:val="none" w:sz="0" w:space="0" w:color="auto"/>
        <w:right w:val="none" w:sz="0" w:space="0" w:color="auto"/>
      </w:divBdr>
    </w:div>
    <w:div w:id="1464352510">
      <w:bodyDiv w:val="1"/>
      <w:marLeft w:val="0"/>
      <w:marRight w:val="0"/>
      <w:marTop w:val="0"/>
      <w:marBottom w:val="0"/>
      <w:divBdr>
        <w:top w:val="none" w:sz="0" w:space="0" w:color="auto"/>
        <w:left w:val="none" w:sz="0" w:space="0" w:color="auto"/>
        <w:bottom w:val="none" w:sz="0" w:space="0" w:color="auto"/>
        <w:right w:val="none" w:sz="0" w:space="0" w:color="auto"/>
      </w:divBdr>
    </w:div>
    <w:div w:id="1478958654">
      <w:bodyDiv w:val="1"/>
      <w:marLeft w:val="0"/>
      <w:marRight w:val="0"/>
      <w:marTop w:val="0"/>
      <w:marBottom w:val="0"/>
      <w:divBdr>
        <w:top w:val="none" w:sz="0" w:space="0" w:color="auto"/>
        <w:left w:val="none" w:sz="0" w:space="0" w:color="auto"/>
        <w:bottom w:val="none" w:sz="0" w:space="0" w:color="auto"/>
        <w:right w:val="none" w:sz="0" w:space="0" w:color="auto"/>
      </w:divBdr>
    </w:div>
    <w:div w:id="1533807033">
      <w:bodyDiv w:val="1"/>
      <w:marLeft w:val="0"/>
      <w:marRight w:val="0"/>
      <w:marTop w:val="0"/>
      <w:marBottom w:val="0"/>
      <w:divBdr>
        <w:top w:val="none" w:sz="0" w:space="0" w:color="auto"/>
        <w:left w:val="none" w:sz="0" w:space="0" w:color="auto"/>
        <w:bottom w:val="none" w:sz="0" w:space="0" w:color="auto"/>
        <w:right w:val="none" w:sz="0" w:space="0" w:color="auto"/>
      </w:divBdr>
    </w:div>
    <w:div w:id="1544756505">
      <w:bodyDiv w:val="1"/>
      <w:marLeft w:val="0"/>
      <w:marRight w:val="0"/>
      <w:marTop w:val="0"/>
      <w:marBottom w:val="0"/>
      <w:divBdr>
        <w:top w:val="none" w:sz="0" w:space="0" w:color="auto"/>
        <w:left w:val="none" w:sz="0" w:space="0" w:color="auto"/>
        <w:bottom w:val="none" w:sz="0" w:space="0" w:color="auto"/>
        <w:right w:val="none" w:sz="0" w:space="0" w:color="auto"/>
      </w:divBdr>
    </w:div>
    <w:div w:id="1563953779">
      <w:bodyDiv w:val="1"/>
      <w:marLeft w:val="0"/>
      <w:marRight w:val="0"/>
      <w:marTop w:val="0"/>
      <w:marBottom w:val="0"/>
      <w:divBdr>
        <w:top w:val="none" w:sz="0" w:space="0" w:color="auto"/>
        <w:left w:val="none" w:sz="0" w:space="0" w:color="auto"/>
        <w:bottom w:val="none" w:sz="0" w:space="0" w:color="auto"/>
        <w:right w:val="none" w:sz="0" w:space="0" w:color="auto"/>
      </w:divBdr>
    </w:div>
    <w:div w:id="1571040183">
      <w:bodyDiv w:val="1"/>
      <w:marLeft w:val="0"/>
      <w:marRight w:val="0"/>
      <w:marTop w:val="0"/>
      <w:marBottom w:val="0"/>
      <w:divBdr>
        <w:top w:val="none" w:sz="0" w:space="0" w:color="auto"/>
        <w:left w:val="none" w:sz="0" w:space="0" w:color="auto"/>
        <w:bottom w:val="none" w:sz="0" w:space="0" w:color="auto"/>
        <w:right w:val="none" w:sz="0" w:space="0" w:color="auto"/>
      </w:divBdr>
    </w:div>
    <w:div w:id="1583753816">
      <w:bodyDiv w:val="1"/>
      <w:marLeft w:val="0"/>
      <w:marRight w:val="0"/>
      <w:marTop w:val="0"/>
      <w:marBottom w:val="0"/>
      <w:divBdr>
        <w:top w:val="none" w:sz="0" w:space="0" w:color="auto"/>
        <w:left w:val="none" w:sz="0" w:space="0" w:color="auto"/>
        <w:bottom w:val="none" w:sz="0" w:space="0" w:color="auto"/>
        <w:right w:val="none" w:sz="0" w:space="0" w:color="auto"/>
      </w:divBdr>
    </w:div>
    <w:div w:id="1588878674">
      <w:bodyDiv w:val="1"/>
      <w:marLeft w:val="0"/>
      <w:marRight w:val="0"/>
      <w:marTop w:val="0"/>
      <w:marBottom w:val="0"/>
      <w:divBdr>
        <w:top w:val="none" w:sz="0" w:space="0" w:color="auto"/>
        <w:left w:val="none" w:sz="0" w:space="0" w:color="auto"/>
        <w:bottom w:val="none" w:sz="0" w:space="0" w:color="auto"/>
        <w:right w:val="none" w:sz="0" w:space="0" w:color="auto"/>
      </w:divBdr>
    </w:div>
    <w:div w:id="1605071301">
      <w:bodyDiv w:val="1"/>
      <w:marLeft w:val="0"/>
      <w:marRight w:val="0"/>
      <w:marTop w:val="0"/>
      <w:marBottom w:val="0"/>
      <w:divBdr>
        <w:top w:val="none" w:sz="0" w:space="0" w:color="auto"/>
        <w:left w:val="none" w:sz="0" w:space="0" w:color="auto"/>
        <w:bottom w:val="none" w:sz="0" w:space="0" w:color="auto"/>
        <w:right w:val="none" w:sz="0" w:space="0" w:color="auto"/>
      </w:divBdr>
    </w:div>
    <w:div w:id="1612055557">
      <w:bodyDiv w:val="1"/>
      <w:marLeft w:val="0"/>
      <w:marRight w:val="0"/>
      <w:marTop w:val="0"/>
      <w:marBottom w:val="0"/>
      <w:divBdr>
        <w:top w:val="none" w:sz="0" w:space="0" w:color="auto"/>
        <w:left w:val="none" w:sz="0" w:space="0" w:color="auto"/>
        <w:bottom w:val="none" w:sz="0" w:space="0" w:color="auto"/>
        <w:right w:val="none" w:sz="0" w:space="0" w:color="auto"/>
      </w:divBdr>
    </w:div>
    <w:div w:id="1724601935">
      <w:bodyDiv w:val="1"/>
      <w:marLeft w:val="0"/>
      <w:marRight w:val="0"/>
      <w:marTop w:val="0"/>
      <w:marBottom w:val="0"/>
      <w:divBdr>
        <w:top w:val="none" w:sz="0" w:space="0" w:color="auto"/>
        <w:left w:val="none" w:sz="0" w:space="0" w:color="auto"/>
        <w:bottom w:val="none" w:sz="0" w:space="0" w:color="auto"/>
        <w:right w:val="none" w:sz="0" w:space="0" w:color="auto"/>
      </w:divBdr>
    </w:div>
    <w:div w:id="1724867043">
      <w:bodyDiv w:val="1"/>
      <w:marLeft w:val="0"/>
      <w:marRight w:val="0"/>
      <w:marTop w:val="0"/>
      <w:marBottom w:val="0"/>
      <w:divBdr>
        <w:top w:val="none" w:sz="0" w:space="0" w:color="auto"/>
        <w:left w:val="none" w:sz="0" w:space="0" w:color="auto"/>
        <w:bottom w:val="none" w:sz="0" w:space="0" w:color="auto"/>
        <w:right w:val="none" w:sz="0" w:space="0" w:color="auto"/>
      </w:divBdr>
    </w:div>
    <w:div w:id="1748576089">
      <w:bodyDiv w:val="1"/>
      <w:marLeft w:val="0"/>
      <w:marRight w:val="0"/>
      <w:marTop w:val="0"/>
      <w:marBottom w:val="0"/>
      <w:divBdr>
        <w:top w:val="none" w:sz="0" w:space="0" w:color="auto"/>
        <w:left w:val="none" w:sz="0" w:space="0" w:color="auto"/>
        <w:bottom w:val="none" w:sz="0" w:space="0" w:color="auto"/>
        <w:right w:val="none" w:sz="0" w:space="0" w:color="auto"/>
      </w:divBdr>
    </w:div>
    <w:div w:id="1750729663">
      <w:bodyDiv w:val="1"/>
      <w:marLeft w:val="0"/>
      <w:marRight w:val="0"/>
      <w:marTop w:val="0"/>
      <w:marBottom w:val="0"/>
      <w:divBdr>
        <w:top w:val="none" w:sz="0" w:space="0" w:color="auto"/>
        <w:left w:val="none" w:sz="0" w:space="0" w:color="auto"/>
        <w:bottom w:val="none" w:sz="0" w:space="0" w:color="auto"/>
        <w:right w:val="none" w:sz="0" w:space="0" w:color="auto"/>
      </w:divBdr>
    </w:div>
    <w:div w:id="1764448533">
      <w:bodyDiv w:val="1"/>
      <w:marLeft w:val="0"/>
      <w:marRight w:val="0"/>
      <w:marTop w:val="0"/>
      <w:marBottom w:val="0"/>
      <w:divBdr>
        <w:top w:val="none" w:sz="0" w:space="0" w:color="auto"/>
        <w:left w:val="none" w:sz="0" w:space="0" w:color="auto"/>
        <w:bottom w:val="none" w:sz="0" w:space="0" w:color="auto"/>
        <w:right w:val="none" w:sz="0" w:space="0" w:color="auto"/>
      </w:divBdr>
    </w:div>
    <w:div w:id="1831403710">
      <w:bodyDiv w:val="1"/>
      <w:marLeft w:val="0"/>
      <w:marRight w:val="0"/>
      <w:marTop w:val="0"/>
      <w:marBottom w:val="0"/>
      <w:divBdr>
        <w:top w:val="none" w:sz="0" w:space="0" w:color="auto"/>
        <w:left w:val="none" w:sz="0" w:space="0" w:color="auto"/>
        <w:bottom w:val="none" w:sz="0" w:space="0" w:color="auto"/>
        <w:right w:val="none" w:sz="0" w:space="0" w:color="auto"/>
      </w:divBdr>
    </w:div>
    <w:div w:id="1833256626">
      <w:bodyDiv w:val="1"/>
      <w:marLeft w:val="0"/>
      <w:marRight w:val="0"/>
      <w:marTop w:val="0"/>
      <w:marBottom w:val="0"/>
      <w:divBdr>
        <w:top w:val="none" w:sz="0" w:space="0" w:color="auto"/>
        <w:left w:val="none" w:sz="0" w:space="0" w:color="auto"/>
        <w:bottom w:val="none" w:sz="0" w:space="0" w:color="auto"/>
        <w:right w:val="none" w:sz="0" w:space="0" w:color="auto"/>
      </w:divBdr>
    </w:div>
    <w:div w:id="1845625080">
      <w:bodyDiv w:val="1"/>
      <w:marLeft w:val="0"/>
      <w:marRight w:val="0"/>
      <w:marTop w:val="0"/>
      <w:marBottom w:val="0"/>
      <w:divBdr>
        <w:top w:val="none" w:sz="0" w:space="0" w:color="auto"/>
        <w:left w:val="none" w:sz="0" w:space="0" w:color="auto"/>
        <w:bottom w:val="none" w:sz="0" w:space="0" w:color="auto"/>
        <w:right w:val="none" w:sz="0" w:space="0" w:color="auto"/>
      </w:divBdr>
    </w:div>
    <w:div w:id="1853295516">
      <w:bodyDiv w:val="1"/>
      <w:marLeft w:val="0"/>
      <w:marRight w:val="0"/>
      <w:marTop w:val="0"/>
      <w:marBottom w:val="0"/>
      <w:divBdr>
        <w:top w:val="none" w:sz="0" w:space="0" w:color="auto"/>
        <w:left w:val="none" w:sz="0" w:space="0" w:color="auto"/>
        <w:bottom w:val="none" w:sz="0" w:space="0" w:color="auto"/>
        <w:right w:val="none" w:sz="0" w:space="0" w:color="auto"/>
      </w:divBdr>
    </w:div>
    <w:div w:id="1854100806">
      <w:bodyDiv w:val="1"/>
      <w:marLeft w:val="0"/>
      <w:marRight w:val="0"/>
      <w:marTop w:val="0"/>
      <w:marBottom w:val="0"/>
      <w:divBdr>
        <w:top w:val="none" w:sz="0" w:space="0" w:color="auto"/>
        <w:left w:val="none" w:sz="0" w:space="0" w:color="auto"/>
        <w:bottom w:val="none" w:sz="0" w:space="0" w:color="auto"/>
        <w:right w:val="none" w:sz="0" w:space="0" w:color="auto"/>
      </w:divBdr>
    </w:div>
    <w:div w:id="1876115480">
      <w:bodyDiv w:val="1"/>
      <w:marLeft w:val="0"/>
      <w:marRight w:val="0"/>
      <w:marTop w:val="0"/>
      <w:marBottom w:val="0"/>
      <w:divBdr>
        <w:top w:val="none" w:sz="0" w:space="0" w:color="auto"/>
        <w:left w:val="none" w:sz="0" w:space="0" w:color="auto"/>
        <w:bottom w:val="none" w:sz="0" w:space="0" w:color="auto"/>
        <w:right w:val="none" w:sz="0" w:space="0" w:color="auto"/>
      </w:divBdr>
    </w:div>
    <w:div w:id="1920207623">
      <w:bodyDiv w:val="1"/>
      <w:marLeft w:val="0"/>
      <w:marRight w:val="0"/>
      <w:marTop w:val="0"/>
      <w:marBottom w:val="0"/>
      <w:divBdr>
        <w:top w:val="none" w:sz="0" w:space="0" w:color="auto"/>
        <w:left w:val="none" w:sz="0" w:space="0" w:color="auto"/>
        <w:bottom w:val="none" w:sz="0" w:space="0" w:color="auto"/>
        <w:right w:val="none" w:sz="0" w:space="0" w:color="auto"/>
      </w:divBdr>
    </w:div>
    <w:div w:id="1943412360">
      <w:bodyDiv w:val="1"/>
      <w:marLeft w:val="0"/>
      <w:marRight w:val="0"/>
      <w:marTop w:val="0"/>
      <w:marBottom w:val="0"/>
      <w:divBdr>
        <w:top w:val="none" w:sz="0" w:space="0" w:color="auto"/>
        <w:left w:val="none" w:sz="0" w:space="0" w:color="auto"/>
        <w:bottom w:val="none" w:sz="0" w:space="0" w:color="auto"/>
        <w:right w:val="none" w:sz="0" w:space="0" w:color="auto"/>
      </w:divBdr>
    </w:div>
    <w:div w:id="1957979433">
      <w:bodyDiv w:val="1"/>
      <w:marLeft w:val="0"/>
      <w:marRight w:val="0"/>
      <w:marTop w:val="0"/>
      <w:marBottom w:val="0"/>
      <w:divBdr>
        <w:top w:val="none" w:sz="0" w:space="0" w:color="auto"/>
        <w:left w:val="none" w:sz="0" w:space="0" w:color="auto"/>
        <w:bottom w:val="none" w:sz="0" w:space="0" w:color="auto"/>
        <w:right w:val="none" w:sz="0" w:space="0" w:color="auto"/>
      </w:divBdr>
    </w:div>
    <w:div w:id="1975287401">
      <w:bodyDiv w:val="1"/>
      <w:marLeft w:val="0"/>
      <w:marRight w:val="0"/>
      <w:marTop w:val="0"/>
      <w:marBottom w:val="0"/>
      <w:divBdr>
        <w:top w:val="none" w:sz="0" w:space="0" w:color="auto"/>
        <w:left w:val="none" w:sz="0" w:space="0" w:color="auto"/>
        <w:bottom w:val="none" w:sz="0" w:space="0" w:color="auto"/>
        <w:right w:val="none" w:sz="0" w:space="0" w:color="auto"/>
      </w:divBdr>
    </w:div>
    <w:div w:id="1989506618">
      <w:bodyDiv w:val="1"/>
      <w:marLeft w:val="0"/>
      <w:marRight w:val="0"/>
      <w:marTop w:val="0"/>
      <w:marBottom w:val="0"/>
      <w:divBdr>
        <w:top w:val="none" w:sz="0" w:space="0" w:color="auto"/>
        <w:left w:val="none" w:sz="0" w:space="0" w:color="auto"/>
        <w:bottom w:val="none" w:sz="0" w:space="0" w:color="auto"/>
        <w:right w:val="none" w:sz="0" w:space="0" w:color="auto"/>
      </w:divBdr>
    </w:div>
    <w:div w:id="1997419860">
      <w:bodyDiv w:val="1"/>
      <w:marLeft w:val="0"/>
      <w:marRight w:val="0"/>
      <w:marTop w:val="0"/>
      <w:marBottom w:val="0"/>
      <w:divBdr>
        <w:top w:val="none" w:sz="0" w:space="0" w:color="auto"/>
        <w:left w:val="none" w:sz="0" w:space="0" w:color="auto"/>
        <w:bottom w:val="none" w:sz="0" w:space="0" w:color="auto"/>
        <w:right w:val="none" w:sz="0" w:space="0" w:color="auto"/>
      </w:divBdr>
    </w:div>
    <w:div w:id="2004506650">
      <w:bodyDiv w:val="1"/>
      <w:marLeft w:val="0"/>
      <w:marRight w:val="0"/>
      <w:marTop w:val="0"/>
      <w:marBottom w:val="0"/>
      <w:divBdr>
        <w:top w:val="none" w:sz="0" w:space="0" w:color="auto"/>
        <w:left w:val="none" w:sz="0" w:space="0" w:color="auto"/>
        <w:bottom w:val="none" w:sz="0" w:space="0" w:color="auto"/>
        <w:right w:val="none" w:sz="0" w:space="0" w:color="auto"/>
      </w:divBdr>
    </w:div>
    <w:div w:id="2013872796">
      <w:bodyDiv w:val="1"/>
      <w:marLeft w:val="0"/>
      <w:marRight w:val="0"/>
      <w:marTop w:val="0"/>
      <w:marBottom w:val="0"/>
      <w:divBdr>
        <w:top w:val="none" w:sz="0" w:space="0" w:color="auto"/>
        <w:left w:val="none" w:sz="0" w:space="0" w:color="auto"/>
        <w:bottom w:val="none" w:sz="0" w:space="0" w:color="auto"/>
        <w:right w:val="none" w:sz="0" w:space="0" w:color="auto"/>
      </w:divBdr>
    </w:div>
    <w:div w:id="2040274662">
      <w:bodyDiv w:val="1"/>
      <w:marLeft w:val="0"/>
      <w:marRight w:val="0"/>
      <w:marTop w:val="0"/>
      <w:marBottom w:val="0"/>
      <w:divBdr>
        <w:top w:val="none" w:sz="0" w:space="0" w:color="auto"/>
        <w:left w:val="none" w:sz="0" w:space="0" w:color="auto"/>
        <w:bottom w:val="none" w:sz="0" w:space="0" w:color="auto"/>
        <w:right w:val="none" w:sz="0" w:space="0" w:color="auto"/>
      </w:divBdr>
    </w:div>
    <w:div w:id="2044287505">
      <w:bodyDiv w:val="1"/>
      <w:marLeft w:val="0"/>
      <w:marRight w:val="0"/>
      <w:marTop w:val="0"/>
      <w:marBottom w:val="0"/>
      <w:divBdr>
        <w:top w:val="none" w:sz="0" w:space="0" w:color="auto"/>
        <w:left w:val="none" w:sz="0" w:space="0" w:color="auto"/>
        <w:bottom w:val="none" w:sz="0" w:space="0" w:color="auto"/>
        <w:right w:val="none" w:sz="0" w:space="0" w:color="auto"/>
      </w:divBdr>
      <w:divsChild>
        <w:div w:id="1555972053">
          <w:marLeft w:val="0"/>
          <w:marRight w:val="0"/>
          <w:marTop w:val="0"/>
          <w:marBottom w:val="0"/>
          <w:divBdr>
            <w:top w:val="none" w:sz="0" w:space="0" w:color="auto"/>
            <w:left w:val="none" w:sz="0" w:space="0" w:color="auto"/>
            <w:bottom w:val="none" w:sz="0" w:space="0" w:color="auto"/>
            <w:right w:val="none" w:sz="0" w:space="0" w:color="auto"/>
          </w:divBdr>
          <w:divsChild>
            <w:div w:id="1758213793">
              <w:marLeft w:val="0"/>
              <w:marRight w:val="0"/>
              <w:marTop w:val="0"/>
              <w:marBottom w:val="0"/>
              <w:divBdr>
                <w:top w:val="none" w:sz="0" w:space="0" w:color="auto"/>
                <w:left w:val="none" w:sz="0" w:space="0" w:color="auto"/>
                <w:bottom w:val="none" w:sz="0" w:space="0" w:color="auto"/>
                <w:right w:val="none" w:sz="0" w:space="0" w:color="auto"/>
              </w:divBdr>
              <w:divsChild>
                <w:div w:id="32003748">
                  <w:marLeft w:val="0"/>
                  <w:marRight w:val="0"/>
                  <w:marTop w:val="0"/>
                  <w:marBottom w:val="0"/>
                  <w:divBdr>
                    <w:top w:val="none" w:sz="0" w:space="0" w:color="auto"/>
                    <w:left w:val="none" w:sz="0" w:space="0" w:color="auto"/>
                    <w:bottom w:val="none" w:sz="0" w:space="0" w:color="auto"/>
                    <w:right w:val="none" w:sz="0" w:space="0" w:color="auto"/>
                  </w:divBdr>
                  <w:divsChild>
                    <w:div w:id="1367636443">
                      <w:marLeft w:val="0"/>
                      <w:marRight w:val="0"/>
                      <w:marTop w:val="45"/>
                      <w:marBottom w:val="0"/>
                      <w:divBdr>
                        <w:top w:val="none" w:sz="0" w:space="0" w:color="auto"/>
                        <w:left w:val="none" w:sz="0" w:space="0" w:color="auto"/>
                        <w:bottom w:val="none" w:sz="0" w:space="0" w:color="auto"/>
                        <w:right w:val="none" w:sz="0" w:space="0" w:color="auto"/>
                      </w:divBdr>
                      <w:divsChild>
                        <w:div w:id="884605380">
                          <w:marLeft w:val="0"/>
                          <w:marRight w:val="0"/>
                          <w:marTop w:val="0"/>
                          <w:marBottom w:val="0"/>
                          <w:divBdr>
                            <w:top w:val="none" w:sz="0" w:space="0" w:color="auto"/>
                            <w:left w:val="none" w:sz="0" w:space="0" w:color="auto"/>
                            <w:bottom w:val="none" w:sz="0" w:space="0" w:color="auto"/>
                            <w:right w:val="none" w:sz="0" w:space="0" w:color="auto"/>
                          </w:divBdr>
                          <w:divsChild>
                            <w:div w:id="337737177">
                              <w:marLeft w:val="2070"/>
                              <w:marRight w:val="3960"/>
                              <w:marTop w:val="0"/>
                              <w:marBottom w:val="0"/>
                              <w:divBdr>
                                <w:top w:val="none" w:sz="0" w:space="0" w:color="auto"/>
                                <w:left w:val="none" w:sz="0" w:space="0" w:color="auto"/>
                                <w:bottom w:val="none" w:sz="0" w:space="0" w:color="auto"/>
                                <w:right w:val="none" w:sz="0" w:space="0" w:color="auto"/>
                              </w:divBdr>
                              <w:divsChild>
                                <w:div w:id="363748199">
                                  <w:marLeft w:val="0"/>
                                  <w:marRight w:val="0"/>
                                  <w:marTop w:val="0"/>
                                  <w:marBottom w:val="0"/>
                                  <w:divBdr>
                                    <w:top w:val="none" w:sz="0" w:space="0" w:color="auto"/>
                                    <w:left w:val="none" w:sz="0" w:space="0" w:color="auto"/>
                                    <w:bottom w:val="none" w:sz="0" w:space="0" w:color="auto"/>
                                    <w:right w:val="none" w:sz="0" w:space="0" w:color="auto"/>
                                  </w:divBdr>
                                  <w:divsChild>
                                    <w:div w:id="645163596">
                                      <w:marLeft w:val="0"/>
                                      <w:marRight w:val="0"/>
                                      <w:marTop w:val="0"/>
                                      <w:marBottom w:val="0"/>
                                      <w:divBdr>
                                        <w:top w:val="none" w:sz="0" w:space="0" w:color="auto"/>
                                        <w:left w:val="none" w:sz="0" w:space="0" w:color="auto"/>
                                        <w:bottom w:val="none" w:sz="0" w:space="0" w:color="auto"/>
                                        <w:right w:val="none" w:sz="0" w:space="0" w:color="auto"/>
                                      </w:divBdr>
                                      <w:divsChild>
                                        <w:div w:id="1813936644">
                                          <w:marLeft w:val="0"/>
                                          <w:marRight w:val="0"/>
                                          <w:marTop w:val="0"/>
                                          <w:marBottom w:val="0"/>
                                          <w:divBdr>
                                            <w:top w:val="none" w:sz="0" w:space="0" w:color="auto"/>
                                            <w:left w:val="none" w:sz="0" w:space="0" w:color="auto"/>
                                            <w:bottom w:val="none" w:sz="0" w:space="0" w:color="auto"/>
                                            <w:right w:val="none" w:sz="0" w:space="0" w:color="auto"/>
                                          </w:divBdr>
                                          <w:divsChild>
                                            <w:div w:id="970289763">
                                              <w:marLeft w:val="0"/>
                                              <w:marRight w:val="0"/>
                                              <w:marTop w:val="90"/>
                                              <w:marBottom w:val="0"/>
                                              <w:divBdr>
                                                <w:top w:val="none" w:sz="0" w:space="0" w:color="auto"/>
                                                <w:left w:val="none" w:sz="0" w:space="0" w:color="auto"/>
                                                <w:bottom w:val="none" w:sz="0" w:space="0" w:color="auto"/>
                                                <w:right w:val="none" w:sz="0" w:space="0" w:color="auto"/>
                                              </w:divBdr>
                                              <w:divsChild>
                                                <w:div w:id="1177774239">
                                                  <w:marLeft w:val="0"/>
                                                  <w:marRight w:val="0"/>
                                                  <w:marTop w:val="0"/>
                                                  <w:marBottom w:val="0"/>
                                                  <w:divBdr>
                                                    <w:top w:val="none" w:sz="0" w:space="0" w:color="auto"/>
                                                    <w:left w:val="none" w:sz="0" w:space="0" w:color="auto"/>
                                                    <w:bottom w:val="none" w:sz="0" w:space="0" w:color="auto"/>
                                                    <w:right w:val="none" w:sz="0" w:space="0" w:color="auto"/>
                                                  </w:divBdr>
                                                  <w:divsChild>
                                                    <w:div w:id="1788890162">
                                                      <w:marLeft w:val="0"/>
                                                      <w:marRight w:val="0"/>
                                                      <w:marTop w:val="0"/>
                                                      <w:marBottom w:val="0"/>
                                                      <w:divBdr>
                                                        <w:top w:val="none" w:sz="0" w:space="0" w:color="auto"/>
                                                        <w:left w:val="none" w:sz="0" w:space="0" w:color="auto"/>
                                                        <w:bottom w:val="none" w:sz="0" w:space="0" w:color="auto"/>
                                                        <w:right w:val="none" w:sz="0" w:space="0" w:color="auto"/>
                                                      </w:divBdr>
                                                      <w:divsChild>
                                                        <w:div w:id="1503082486">
                                                          <w:marLeft w:val="0"/>
                                                          <w:marRight w:val="0"/>
                                                          <w:marTop w:val="0"/>
                                                          <w:marBottom w:val="390"/>
                                                          <w:divBdr>
                                                            <w:top w:val="none" w:sz="0" w:space="0" w:color="auto"/>
                                                            <w:left w:val="none" w:sz="0" w:space="0" w:color="auto"/>
                                                            <w:bottom w:val="none" w:sz="0" w:space="0" w:color="auto"/>
                                                            <w:right w:val="none" w:sz="0" w:space="0" w:color="auto"/>
                                                          </w:divBdr>
                                                          <w:divsChild>
                                                            <w:div w:id="431903508">
                                                              <w:marLeft w:val="0"/>
                                                              <w:marRight w:val="0"/>
                                                              <w:marTop w:val="0"/>
                                                              <w:marBottom w:val="0"/>
                                                              <w:divBdr>
                                                                <w:top w:val="none" w:sz="0" w:space="0" w:color="auto"/>
                                                                <w:left w:val="none" w:sz="0" w:space="0" w:color="auto"/>
                                                                <w:bottom w:val="none" w:sz="0" w:space="0" w:color="auto"/>
                                                                <w:right w:val="none" w:sz="0" w:space="0" w:color="auto"/>
                                                              </w:divBdr>
                                                              <w:divsChild>
                                                                <w:div w:id="456606592">
                                                                  <w:marLeft w:val="0"/>
                                                                  <w:marRight w:val="0"/>
                                                                  <w:marTop w:val="0"/>
                                                                  <w:marBottom w:val="0"/>
                                                                  <w:divBdr>
                                                                    <w:top w:val="none" w:sz="0" w:space="0" w:color="auto"/>
                                                                    <w:left w:val="none" w:sz="0" w:space="0" w:color="auto"/>
                                                                    <w:bottom w:val="none" w:sz="0" w:space="0" w:color="auto"/>
                                                                    <w:right w:val="none" w:sz="0" w:space="0" w:color="auto"/>
                                                                  </w:divBdr>
                                                                  <w:divsChild>
                                                                    <w:div w:id="2112890386">
                                                                      <w:marLeft w:val="0"/>
                                                                      <w:marRight w:val="0"/>
                                                                      <w:marTop w:val="0"/>
                                                                      <w:marBottom w:val="0"/>
                                                                      <w:divBdr>
                                                                        <w:top w:val="none" w:sz="0" w:space="0" w:color="auto"/>
                                                                        <w:left w:val="none" w:sz="0" w:space="0" w:color="auto"/>
                                                                        <w:bottom w:val="none" w:sz="0" w:space="0" w:color="auto"/>
                                                                        <w:right w:val="none" w:sz="0" w:space="0" w:color="auto"/>
                                                                      </w:divBdr>
                                                                      <w:divsChild>
                                                                        <w:div w:id="544757966">
                                                                          <w:marLeft w:val="0"/>
                                                                          <w:marRight w:val="0"/>
                                                                          <w:marTop w:val="0"/>
                                                                          <w:marBottom w:val="0"/>
                                                                          <w:divBdr>
                                                                            <w:top w:val="none" w:sz="0" w:space="0" w:color="auto"/>
                                                                            <w:left w:val="none" w:sz="0" w:space="0" w:color="auto"/>
                                                                            <w:bottom w:val="none" w:sz="0" w:space="0" w:color="auto"/>
                                                                            <w:right w:val="none" w:sz="0" w:space="0" w:color="auto"/>
                                                                          </w:divBdr>
                                                                          <w:divsChild>
                                                                            <w:div w:id="137307676">
                                                                              <w:marLeft w:val="0"/>
                                                                              <w:marRight w:val="0"/>
                                                                              <w:marTop w:val="0"/>
                                                                              <w:marBottom w:val="0"/>
                                                                              <w:divBdr>
                                                                                <w:top w:val="none" w:sz="0" w:space="0" w:color="auto"/>
                                                                                <w:left w:val="none" w:sz="0" w:space="0" w:color="auto"/>
                                                                                <w:bottom w:val="none" w:sz="0" w:space="0" w:color="auto"/>
                                                                                <w:right w:val="none" w:sz="0" w:space="0" w:color="auto"/>
                                                                              </w:divBdr>
                                                                              <w:divsChild>
                                                                                <w:div w:id="927466450">
                                                                                  <w:marLeft w:val="0"/>
                                                                                  <w:marRight w:val="0"/>
                                                                                  <w:marTop w:val="0"/>
                                                                                  <w:marBottom w:val="0"/>
                                                                                  <w:divBdr>
                                                                                    <w:top w:val="none" w:sz="0" w:space="0" w:color="auto"/>
                                                                                    <w:left w:val="none" w:sz="0" w:space="0" w:color="auto"/>
                                                                                    <w:bottom w:val="none" w:sz="0" w:space="0" w:color="auto"/>
                                                                                    <w:right w:val="none" w:sz="0" w:space="0" w:color="auto"/>
                                                                                  </w:divBdr>
                                                                                  <w:divsChild>
                                                                                    <w:div w:id="496193573">
                                                                                      <w:marLeft w:val="0"/>
                                                                                      <w:marRight w:val="0"/>
                                                                                      <w:marTop w:val="0"/>
                                                                                      <w:marBottom w:val="0"/>
                                                                                      <w:divBdr>
                                                                                        <w:top w:val="none" w:sz="0" w:space="0" w:color="auto"/>
                                                                                        <w:left w:val="none" w:sz="0" w:space="0" w:color="auto"/>
                                                                                        <w:bottom w:val="none" w:sz="0" w:space="0" w:color="auto"/>
                                                                                        <w:right w:val="none" w:sz="0" w:space="0" w:color="auto"/>
                                                                                      </w:divBdr>
                                                                                      <w:divsChild>
                                                                                        <w:div w:id="3605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7482456">
      <w:bodyDiv w:val="1"/>
      <w:marLeft w:val="0"/>
      <w:marRight w:val="0"/>
      <w:marTop w:val="0"/>
      <w:marBottom w:val="0"/>
      <w:divBdr>
        <w:top w:val="none" w:sz="0" w:space="0" w:color="auto"/>
        <w:left w:val="none" w:sz="0" w:space="0" w:color="auto"/>
        <w:bottom w:val="none" w:sz="0" w:space="0" w:color="auto"/>
        <w:right w:val="none" w:sz="0" w:space="0" w:color="auto"/>
      </w:divBdr>
    </w:div>
    <w:div w:id="2106883164">
      <w:bodyDiv w:val="1"/>
      <w:marLeft w:val="0"/>
      <w:marRight w:val="0"/>
      <w:marTop w:val="0"/>
      <w:marBottom w:val="0"/>
      <w:divBdr>
        <w:top w:val="none" w:sz="0" w:space="0" w:color="auto"/>
        <w:left w:val="none" w:sz="0" w:space="0" w:color="auto"/>
        <w:bottom w:val="none" w:sz="0" w:space="0" w:color="auto"/>
        <w:right w:val="none" w:sz="0" w:space="0" w:color="auto"/>
      </w:divBdr>
    </w:div>
    <w:div w:id="2113741545">
      <w:bodyDiv w:val="1"/>
      <w:marLeft w:val="0"/>
      <w:marRight w:val="0"/>
      <w:marTop w:val="0"/>
      <w:marBottom w:val="0"/>
      <w:divBdr>
        <w:top w:val="none" w:sz="0" w:space="0" w:color="auto"/>
        <w:left w:val="none" w:sz="0" w:space="0" w:color="auto"/>
        <w:bottom w:val="none" w:sz="0" w:space="0" w:color="auto"/>
        <w:right w:val="none" w:sz="0" w:space="0" w:color="auto"/>
      </w:divBdr>
    </w:div>
    <w:div w:id="2120490596">
      <w:bodyDiv w:val="1"/>
      <w:marLeft w:val="0"/>
      <w:marRight w:val="0"/>
      <w:marTop w:val="0"/>
      <w:marBottom w:val="0"/>
      <w:divBdr>
        <w:top w:val="none" w:sz="0" w:space="0" w:color="auto"/>
        <w:left w:val="none" w:sz="0" w:space="0" w:color="auto"/>
        <w:bottom w:val="none" w:sz="0" w:space="0" w:color="auto"/>
        <w:right w:val="none" w:sz="0" w:space="0" w:color="auto"/>
      </w:divBdr>
    </w:div>
    <w:div w:id="2125928360">
      <w:bodyDiv w:val="1"/>
      <w:marLeft w:val="0"/>
      <w:marRight w:val="0"/>
      <w:marTop w:val="0"/>
      <w:marBottom w:val="0"/>
      <w:divBdr>
        <w:top w:val="none" w:sz="0" w:space="0" w:color="auto"/>
        <w:left w:val="none" w:sz="0" w:space="0" w:color="auto"/>
        <w:bottom w:val="none" w:sz="0" w:space="0" w:color="auto"/>
        <w:right w:val="none" w:sz="0" w:space="0" w:color="auto"/>
      </w:divBdr>
    </w:div>
    <w:div w:id="2131897320">
      <w:bodyDiv w:val="1"/>
      <w:marLeft w:val="0"/>
      <w:marRight w:val="0"/>
      <w:marTop w:val="0"/>
      <w:marBottom w:val="0"/>
      <w:divBdr>
        <w:top w:val="none" w:sz="0" w:space="0" w:color="auto"/>
        <w:left w:val="none" w:sz="0" w:space="0" w:color="auto"/>
        <w:bottom w:val="none" w:sz="0" w:space="0" w:color="auto"/>
        <w:right w:val="none" w:sz="0" w:space="0" w:color="auto"/>
      </w:divBdr>
    </w:div>
    <w:div w:id="2135781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08/765/o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consumers/safety/prod_legis/docs/20100324_guidance_gspd_reg_en.pdf" TargetMode="External"/><Relationship Id="rId5" Type="http://schemas.openxmlformats.org/officeDocument/2006/relationships/webSettings" Target="webSettings.xml"/><Relationship Id="rId10" Type="http://schemas.openxmlformats.org/officeDocument/2006/relationships/hyperlink" Target="http://www.prosafe.org/index.php/best-practice/item/best-practices-techniques-in-market-surveillance" TargetMode="External"/><Relationship Id="rId4" Type="http://schemas.openxmlformats.org/officeDocument/2006/relationships/settings" Target="settings.xml"/><Relationship Id="rId9" Type="http://schemas.openxmlformats.org/officeDocument/2006/relationships/hyperlink" Target="http://data.europa.eu/eli/dir/2001/95/2010-01-0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rosafe.org/index.php/best-practice/item/best-practices-techniques-in-market-surveil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97C3B-4EBA-4FED-BF6E-427806CC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6392</Words>
  <Characters>36438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Puzderi</dc:creator>
  <cp:lastModifiedBy>Operator</cp:lastModifiedBy>
  <cp:revision>2</cp:revision>
  <dcterms:created xsi:type="dcterms:W3CDTF">2018-12-17T07:18:00Z</dcterms:created>
  <dcterms:modified xsi:type="dcterms:W3CDTF">2018-12-17T07:18:00Z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2010-03-16T00:00:00Z</vt:filetime>
  </property>
  <property fmtid="{D5CDD505-2E9C-101B-9397-08002B2CF9AE}" pid="3" name="LastSaved">
    <vt:filetime>2018-09-21T00:00:00Z</vt:filetime>
  </property>
</Properties>
</file>