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864E43" w:rsidRDefault="00D44490" w:rsidP="00CC4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CC45CA" w:rsidRPr="00CC45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Republica Indonezia</w:t>
            </w:r>
            <w:r w:rsidR="00CC45CA" w:rsidRPr="00CC45CA">
              <w:rPr>
                <w:sz w:val="23"/>
                <w:szCs w:val="23"/>
                <w:lang w:val="en-US"/>
              </w:rPr>
              <w:t xml:space="preserve"> 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D44490" w:rsidRPr="00864E43" w:rsidTr="00864E43">
        <w:tc>
          <w:tcPr>
            <w:tcW w:w="9776" w:type="dxa"/>
          </w:tcPr>
          <w:p w:rsidR="00C4339C" w:rsidRPr="00AC6BE8" w:rsidRDefault="00AC2D29" w:rsidP="00AC2D29">
            <w:pPr>
              <w:spacing w:before="120" w:line="240" w:lineRule="auto"/>
              <w:jc w:val="both"/>
              <w:rPr>
                <w:bCs/>
                <w:noProof/>
                <w:kern w:val="32"/>
                <w:lang w:val="ro-MD"/>
              </w:rPr>
            </w:pPr>
            <w:r w:rsidRPr="00AC2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Cadrul juridic între Republica Moldova şi Republica Indonezia include </w:t>
            </w:r>
            <w:r w:rsidRPr="00AC2D29">
              <w:rPr>
                <w:rFonts w:ascii="Times New Roman" w:hAnsi="Times New Roman"/>
                <w:color w:val="000000"/>
                <w:sz w:val="24"/>
                <w:szCs w:val="24"/>
              </w:rPr>
              <w:t>4 acorduri bilaterale</w:t>
            </w:r>
            <w:r w:rsidRPr="00AC2D29">
              <w:rPr>
                <w:rFonts w:ascii="Times New Roman" w:hAnsi="Times New Roman"/>
                <w:color w:val="000000"/>
                <w:sz w:val="24"/>
                <w:szCs w:val="24"/>
              </w:rPr>
              <w:t>. Acorduri de carac</w:t>
            </w:r>
            <w:r w:rsidRPr="00AC2D29">
              <w:rPr>
                <w:rFonts w:ascii="Times New Roman" w:hAnsi="Times New Roman"/>
                <w:color w:val="000000"/>
                <w:sz w:val="24"/>
                <w:szCs w:val="24"/>
              </w:rPr>
              <w:t>ter economic nu au fost semnate.</w:t>
            </w:r>
            <w:bookmarkStart w:id="0" w:name="_GoBack"/>
            <w:bookmarkEnd w:id="0"/>
          </w:p>
        </w:tc>
      </w:tr>
    </w:tbl>
    <w:p w:rsidR="00DA7532" w:rsidRPr="00E673F2" w:rsidRDefault="00DA7532" w:rsidP="00C23DF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C23DF7" w:rsidRPr="00864E43" w:rsidTr="00BB1C02">
        <w:tc>
          <w:tcPr>
            <w:tcW w:w="9776" w:type="dxa"/>
            <w:shd w:val="clear" w:color="auto" w:fill="D9D9D9"/>
          </w:tcPr>
          <w:p w:rsidR="00C23DF7" w:rsidRPr="00864E43" w:rsidRDefault="00C23DF7" w:rsidP="00BB1C02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C23DF7" w:rsidRPr="00864E43" w:rsidTr="00BB1C02">
        <w:tc>
          <w:tcPr>
            <w:tcW w:w="9776" w:type="dxa"/>
          </w:tcPr>
          <w:p w:rsidR="00C23DF7" w:rsidRPr="00864E43" w:rsidRDefault="00C23DF7" w:rsidP="00BB1C02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C23DF7" w:rsidRPr="00E673F2" w:rsidRDefault="00C23DF7" w:rsidP="00C23DF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381C7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1C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D44490" w:rsidRPr="00864E43" w:rsidTr="00864E43">
        <w:tc>
          <w:tcPr>
            <w:tcW w:w="9776" w:type="dxa"/>
          </w:tcPr>
          <w:p w:rsidR="00D44490" w:rsidRPr="00864E43" w:rsidRDefault="00381C73" w:rsidP="00A1361A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</w:t>
            </w:r>
            <w:r w:rsidR="00D44490"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n Republica </w:t>
            </w:r>
            <w:r w:rsidR="00D44490"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="00D44490"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nu sunt înregistrate </w:t>
            </w:r>
            <w:r w:rsidR="00D44490" w:rsidRPr="00381C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întreprinderi</w:t>
            </w:r>
            <w:r w:rsidR="00D44490"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</w:t>
            </w:r>
            <w:r w:rsidR="00A1361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capitalul I</w:t>
            </w:r>
            <w:r w:rsidRPr="00381C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ndonezi</w:t>
            </w:r>
            <w:r w:rsidR="00A1361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ei</w:t>
            </w:r>
            <w:r w:rsidRPr="00381C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</w:tcPr>
          <w:p w:rsidR="00D44490" w:rsidRPr="00864E43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864E43" w:rsidTr="00864E43">
        <w:tc>
          <w:tcPr>
            <w:tcW w:w="9776" w:type="dxa"/>
          </w:tcPr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 xml:space="preserve">Volumul </w:t>
            </w:r>
            <w:proofErr w:type="spellStart"/>
            <w:r w:rsidRPr="00F75FF1">
              <w:rPr>
                <w:rFonts w:ascii="Times New Roman" w:hAnsi="Times New Roman"/>
                <w:b/>
                <w:sz w:val="24"/>
                <w:szCs w:val="24"/>
              </w:rPr>
              <w:t>comerţului</w:t>
            </w:r>
            <w:proofErr w:type="spellEnd"/>
            <w:r w:rsidRPr="00F75FF1">
              <w:rPr>
                <w:rFonts w:ascii="Times New Roman" w:hAnsi="Times New Roman"/>
                <w:b/>
                <w:sz w:val="24"/>
                <w:szCs w:val="24"/>
              </w:rPr>
              <w:t xml:space="preserve"> exterior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Republica Indonezia,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75FF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75FF1">
              <w:rPr>
                <w:rFonts w:ascii="Times New Roman" w:hAnsi="Times New Roman"/>
                <w:sz w:val="24"/>
                <w:szCs w:val="24"/>
              </w:rPr>
              <w:t xml:space="preserve"> înregistrat suma de 8,54 mil. dolari SUA (cu 47,5% mai puțin sau cu 7,73 mil. dolari SUA în comparaţie cu anul 2015).</w:t>
            </w:r>
          </w:p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5FF1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Indonezia se situează pe locul 47 la nivel mondial între țările partenere cu care Republica Moldova întreține relaţii comerciale, </w:t>
            </w:r>
            <w:proofErr w:type="spellStart"/>
            <w:r w:rsidRPr="00F75FF1">
              <w:rPr>
                <w:rFonts w:ascii="Times New Roman" w:hAnsi="Times New Roman"/>
                <w:sz w:val="24"/>
                <w:szCs w:val="24"/>
              </w:rPr>
              <w:t>deţinând</w:t>
            </w:r>
            <w:proofErr w:type="spellEnd"/>
            <w:r w:rsidRPr="00F75FF1">
              <w:rPr>
                <w:rFonts w:ascii="Times New Roman" w:hAnsi="Times New Roman"/>
                <w:sz w:val="24"/>
                <w:szCs w:val="24"/>
              </w:rPr>
              <w:t xml:space="preserve"> o pondere de 0,14% în comerțul total al Republicii Moldova. </w:t>
            </w:r>
          </w:p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 xml:space="preserve">Soldul </w:t>
            </w:r>
            <w:proofErr w:type="spellStart"/>
            <w:r w:rsidRPr="00F75FF1">
              <w:rPr>
                <w:rFonts w:ascii="Times New Roman" w:hAnsi="Times New Roman"/>
                <w:b/>
                <w:sz w:val="24"/>
                <w:szCs w:val="24"/>
              </w:rPr>
              <w:t>balanţei</w:t>
            </w:r>
            <w:proofErr w:type="spellEnd"/>
            <w:r w:rsidRPr="00F75FF1">
              <w:rPr>
                <w:rFonts w:ascii="Times New Roman" w:hAnsi="Times New Roman"/>
                <w:b/>
                <w:sz w:val="24"/>
                <w:szCs w:val="24"/>
              </w:rPr>
              <w:t xml:space="preserve"> comerciale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75FF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75FF1">
              <w:rPr>
                <w:rFonts w:ascii="Times New Roman" w:hAnsi="Times New Roman"/>
                <w:sz w:val="24"/>
                <w:szCs w:val="24"/>
              </w:rPr>
              <w:t xml:space="preserve"> fost în favoarea Republicii Indonezia şi a constituit 774,87 mii dolari SUA.</w:t>
            </w:r>
          </w:p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75FF1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F75FF1">
              <w:rPr>
                <w:rFonts w:ascii="Times New Roman" w:hAnsi="Times New Roman"/>
                <w:sz w:val="24"/>
                <w:szCs w:val="24"/>
              </w:rPr>
              <w:t xml:space="preserve"> înregistrat suma de 3,88 mil. dolari SUA. Comparativ cu anul 2015, volumul exportului a scăzut cu 7,75 mil. dolari SUA sau </w:t>
            </w:r>
            <w:r w:rsidR="00FD1C1D">
              <w:rPr>
                <w:rFonts w:ascii="Times New Roman" w:hAnsi="Times New Roman"/>
                <w:sz w:val="24"/>
                <w:szCs w:val="24"/>
              </w:rPr>
              <w:t>66,6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 xml:space="preserve">Principale mărfuri exportate: 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grâu și </w:t>
            </w:r>
            <w:proofErr w:type="spellStart"/>
            <w:r w:rsidRPr="00F75FF1">
              <w:rPr>
                <w:rFonts w:ascii="Times New Roman" w:hAnsi="Times New Roman"/>
                <w:sz w:val="24"/>
                <w:szCs w:val="24"/>
              </w:rPr>
              <w:t>meslin</w:t>
            </w:r>
            <w:proofErr w:type="spellEnd"/>
            <w:r w:rsidRPr="00F75FF1">
              <w:rPr>
                <w:rFonts w:ascii="Times New Roman" w:hAnsi="Times New Roman"/>
                <w:sz w:val="24"/>
                <w:szCs w:val="24"/>
              </w:rPr>
              <w:t>, sorg boabe, maşini si aparate utilizate la imprimarea, articole de transport sau de ambalare din materiale plastice, etc.</w:t>
            </w:r>
          </w:p>
          <w:p w:rsidR="00F75FF1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F75F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>efectuat în anul 2016 din Indonezia în Republica Moldova a însumat 4,</w:t>
            </w:r>
            <w:r w:rsidR="001611CE">
              <w:rPr>
                <w:rFonts w:ascii="Times New Roman" w:hAnsi="Times New Roman"/>
                <w:sz w:val="24"/>
                <w:szCs w:val="24"/>
              </w:rPr>
              <w:t>7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 mil. dolari SUA, înregistrând astfel o creştere cu 0,</w:t>
            </w:r>
            <w:r w:rsidR="00367626">
              <w:rPr>
                <w:rFonts w:ascii="Times New Roman" w:hAnsi="Times New Roman"/>
                <w:sz w:val="24"/>
                <w:szCs w:val="24"/>
              </w:rPr>
              <w:t>5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 xml:space="preserve">% sau 23,26 mii dolari SUA. </w:t>
            </w:r>
          </w:p>
          <w:p w:rsidR="00D44490" w:rsidRPr="00F75FF1" w:rsidRDefault="00F75FF1" w:rsidP="00F75FF1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b/>
                <w:sz w:val="26"/>
                <w:szCs w:val="26"/>
              </w:rPr>
            </w:pPr>
            <w:r w:rsidRPr="00F75FF1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F75FF1">
              <w:rPr>
                <w:rFonts w:ascii="Times New Roman" w:hAnsi="Times New Roman"/>
                <w:sz w:val="24"/>
                <w:szCs w:val="24"/>
              </w:rPr>
              <w:t>: grăsimi și uleiuri de origine animală sau vegetală, hârții și cartoane, încălțăminte cu tălpi exterioare din cauciuc, ulei de cocos, de sâmburi de palmier, etc.</w:t>
            </w: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1562E5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>Evoluția</w:t>
      </w:r>
      <w:r w:rsidR="00D44490"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Moldova şi </w:t>
      </w:r>
      <w:r w:rsidR="00751938" w:rsidRPr="00751938">
        <w:rPr>
          <w:rFonts w:ascii="Times New Roman" w:hAnsi="Times New Roman"/>
          <w:b/>
          <w:sz w:val="26"/>
          <w:szCs w:val="26"/>
          <w:lang w:eastAsia="ru-RU"/>
        </w:rPr>
        <w:t>Republica Indonezia</w:t>
      </w:r>
      <w:r w:rsidR="00751938" w:rsidRPr="00CC45CA">
        <w:rPr>
          <w:sz w:val="23"/>
          <w:szCs w:val="23"/>
          <w:lang w:val="ro-MD"/>
        </w:rPr>
        <w:t xml:space="preserve"> 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Volumul </w:t>
      </w:r>
      <w:r w:rsidR="001562E5" w:rsidRPr="000A69F4">
        <w:rPr>
          <w:rFonts w:ascii="Times New Roman" w:hAnsi="Times New Roman"/>
          <w:b/>
          <w:sz w:val="26"/>
          <w:szCs w:val="26"/>
        </w:rPr>
        <w:t>comerțului</w:t>
      </w:r>
      <w:r w:rsidRPr="000A69F4">
        <w:rPr>
          <w:rFonts w:ascii="Times New Roman" w:hAnsi="Times New Roman"/>
          <w:b/>
          <w:sz w:val="26"/>
          <w:szCs w:val="26"/>
        </w:rPr>
        <w:t xml:space="preserve">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="00751938" w:rsidRPr="00751938">
        <w:rPr>
          <w:rFonts w:ascii="Times New Roman" w:hAnsi="Times New Roman"/>
          <w:sz w:val="26"/>
          <w:szCs w:val="26"/>
        </w:rPr>
        <w:t>Republica Indonezia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4D5F4F">
        <w:rPr>
          <w:rFonts w:ascii="Times New Roman" w:hAnsi="Times New Roman"/>
          <w:sz w:val="26"/>
          <w:szCs w:val="26"/>
        </w:rPr>
        <w:t>8,54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 xml:space="preserve">cu </w:t>
      </w:r>
      <w:r w:rsidR="004D5F4F">
        <w:rPr>
          <w:rFonts w:ascii="Times New Roman" w:hAnsi="Times New Roman"/>
          <w:sz w:val="26"/>
          <w:szCs w:val="26"/>
        </w:rPr>
        <w:t>47,5</w:t>
      </w:r>
      <w:r>
        <w:rPr>
          <w:rFonts w:ascii="Times New Roman" w:hAnsi="Times New Roman"/>
          <w:sz w:val="26"/>
          <w:szCs w:val="26"/>
        </w:rPr>
        <w:t>%</w:t>
      </w:r>
      <w:r w:rsidRPr="000A69F4">
        <w:rPr>
          <w:rFonts w:ascii="Times New Roman" w:hAnsi="Times New Roman"/>
          <w:sz w:val="26"/>
          <w:szCs w:val="26"/>
        </w:rPr>
        <w:t xml:space="preserve"> mai </w:t>
      </w:r>
      <w:r w:rsidR="004D5F4F">
        <w:rPr>
          <w:rFonts w:ascii="Times New Roman" w:hAnsi="Times New Roman"/>
          <w:sz w:val="26"/>
          <w:szCs w:val="26"/>
        </w:rPr>
        <w:t>puțin</w:t>
      </w:r>
      <w:r w:rsidRPr="000A69F4">
        <w:rPr>
          <w:rFonts w:ascii="Times New Roman" w:hAnsi="Times New Roman"/>
          <w:sz w:val="26"/>
          <w:szCs w:val="26"/>
        </w:rPr>
        <w:t xml:space="preserve"> sau </w:t>
      </w:r>
      <w:r w:rsidR="004D5F4F">
        <w:rPr>
          <w:rFonts w:ascii="Times New Roman" w:hAnsi="Times New Roman"/>
          <w:sz w:val="26"/>
          <w:szCs w:val="26"/>
        </w:rPr>
        <w:t>cu 7,73</w:t>
      </w:r>
      <w:r w:rsidRPr="000A69F4">
        <w:rPr>
          <w:rFonts w:ascii="Times New Roman" w:hAnsi="Times New Roman"/>
          <w:sz w:val="26"/>
          <w:szCs w:val="26"/>
        </w:rPr>
        <w:t xml:space="preserve"> mil.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4D5F4F" w:rsidRPr="00751938">
        <w:rPr>
          <w:rFonts w:ascii="Times New Roman" w:hAnsi="Times New Roman"/>
          <w:sz w:val="26"/>
          <w:szCs w:val="26"/>
        </w:rPr>
        <w:t>Indonezia</w:t>
      </w:r>
      <w:r w:rsidR="004D5F4F">
        <w:rPr>
          <w:rFonts w:ascii="Times New Roman" w:hAnsi="Times New Roman"/>
          <w:sz w:val="26"/>
          <w:szCs w:val="26"/>
        </w:rPr>
        <w:t xml:space="preserve"> </w:t>
      </w:r>
      <w:r w:rsidRPr="000A69F4">
        <w:rPr>
          <w:rFonts w:ascii="Times New Roman" w:hAnsi="Times New Roman"/>
          <w:sz w:val="26"/>
          <w:szCs w:val="26"/>
        </w:rPr>
        <w:t xml:space="preserve">se situează pe locul </w:t>
      </w:r>
      <w:r w:rsidR="004D5F4F">
        <w:rPr>
          <w:rFonts w:ascii="Times New Roman" w:hAnsi="Times New Roman"/>
          <w:sz w:val="26"/>
          <w:szCs w:val="26"/>
        </w:rPr>
        <w:t>47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r w:rsidR="00A47F5E" w:rsidRPr="000A69F4">
        <w:rPr>
          <w:rFonts w:ascii="Times New Roman" w:hAnsi="Times New Roman"/>
          <w:sz w:val="26"/>
          <w:szCs w:val="26"/>
        </w:rPr>
        <w:t>întreține</w:t>
      </w:r>
      <w:r w:rsidRPr="000A69F4">
        <w:rPr>
          <w:rFonts w:ascii="Times New Roman" w:hAnsi="Times New Roman"/>
          <w:sz w:val="26"/>
          <w:szCs w:val="26"/>
        </w:rPr>
        <w:t xml:space="preserve"> relaţii comerciale, </w:t>
      </w:r>
      <w:proofErr w:type="spellStart"/>
      <w:r w:rsidRPr="000A69F4">
        <w:rPr>
          <w:rFonts w:ascii="Times New Roman" w:hAnsi="Times New Roman"/>
          <w:sz w:val="26"/>
          <w:szCs w:val="26"/>
        </w:rPr>
        <w:t>deţinând</w:t>
      </w:r>
      <w:proofErr w:type="spellEnd"/>
      <w:r w:rsidRPr="000A69F4">
        <w:rPr>
          <w:rFonts w:ascii="Times New Roman" w:hAnsi="Times New Roman"/>
          <w:sz w:val="26"/>
          <w:szCs w:val="26"/>
        </w:rPr>
        <w:t xml:space="preserve"> o pondere de </w:t>
      </w:r>
      <w:r w:rsidR="004D5F4F">
        <w:rPr>
          <w:rFonts w:ascii="Times New Roman" w:hAnsi="Times New Roman"/>
          <w:sz w:val="26"/>
          <w:szCs w:val="26"/>
        </w:rPr>
        <w:t>0,14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r w:rsidR="001206DF" w:rsidRPr="008638D1">
        <w:rPr>
          <w:rFonts w:ascii="Times New Roman" w:hAnsi="Times New Roman"/>
          <w:b/>
          <w:sz w:val="26"/>
          <w:szCs w:val="26"/>
        </w:rPr>
        <w:t>balanței</w:t>
      </w:r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în favoarea </w:t>
      </w:r>
      <w:r w:rsidR="004D5F4F" w:rsidRPr="00751938">
        <w:rPr>
          <w:rFonts w:ascii="Times New Roman" w:hAnsi="Times New Roman"/>
          <w:sz w:val="26"/>
          <w:szCs w:val="26"/>
        </w:rPr>
        <w:t>Republic</w:t>
      </w:r>
      <w:r w:rsidR="004D5F4F">
        <w:rPr>
          <w:rFonts w:ascii="Times New Roman" w:hAnsi="Times New Roman"/>
          <w:sz w:val="26"/>
          <w:szCs w:val="26"/>
        </w:rPr>
        <w:t>ii</w:t>
      </w:r>
      <w:r w:rsidR="004D5F4F" w:rsidRPr="00751938">
        <w:rPr>
          <w:rFonts w:ascii="Times New Roman" w:hAnsi="Times New Roman"/>
          <w:sz w:val="26"/>
          <w:szCs w:val="26"/>
        </w:rPr>
        <w:t xml:space="preserve"> Indonezia</w:t>
      </w:r>
      <w:r w:rsidR="004D5F4F" w:rsidRPr="008638D1">
        <w:rPr>
          <w:rFonts w:ascii="Times New Roman" w:hAnsi="Times New Roman"/>
          <w:sz w:val="26"/>
          <w:szCs w:val="26"/>
        </w:rPr>
        <w:t xml:space="preserve"> </w:t>
      </w:r>
      <w:r w:rsidRPr="008638D1">
        <w:rPr>
          <w:rFonts w:ascii="Times New Roman" w:hAnsi="Times New Roman"/>
          <w:sz w:val="26"/>
          <w:szCs w:val="26"/>
        </w:rPr>
        <w:t xml:space="preserve">şi a constituit </w:t>
      </w:r>
      <w:r w:rsidR="00656790">
        <w:rPr>
          <w:rFonts w:ascii="Times New Roman" w:hAnsi="Times New Roman"/>
          <w:sz w:val="26"/>
          <w:szCs w:val="26"/>
        </w:rPr>
        <w:t>774,87 mii</w:t>
      </w:r>
      <w:r w:rsidRPr="008638D1">
        <w:rPr>
          <w:rFonts w:ascii="Times New Roman" w:hAnsi="Times New Roman"/>
          <w:sz w:val="26"/>
          <w:szCs w:val="26"/>
        </w:rPr>
        <w:t xml:space="preserve">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CC0BAF">
        <w:rPr>
          <w:rFonts w:ascii="Times New Roman" w:hAnsi="Times New Roman"/>
          <w:sz w:val="26"/>
          <w:szCs w:val="26"/>
        </w:rPr>
        <w:t>3,88</w:t>
      </w:r>
      <w:r w:rsidRPr="006E0325">
        <w:rPr>
          <w:rFonts w:ascii="Times New Roman" w:hAnsi="Times New Roman"/>
          <w:sz w:val="26"/>
          <w:szCs w:val="26"/>
        </w:rPr>
        <w:t xml:space="preserve"> mil.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</w:t>
      </w:r>
      <w:r w:rsidR="00CC0BAF">
        <w:rPr>
          <w:rFonts w:ascii="Times New Roman" w:hAnsi="Times New Roman"/>
          <w:sz w:val="26"/>
          <w:szCs w:val="26"/>
        </w:rPr>
        <w:t xml:space="preserve">scăzut </w:t>
      </w:r>
      <w:r w:rsidRPr="006E0325">
        <w:rPr>
          <w:rFonts w:ascii="Times New Roman" w:hAnsi="Times New Roman"/>
          <w:sz w:val="26"/>
          <w:szCs w:val="26"/>
        </w:rPr>
        <w:t xml:space="preserve">cu </w:t>
      </w:r>
      <w:r w:rsidR="00CC0BAF">
        <w:rPr>
          <w:rFonts w:ascii="Times New Roman" w:hAnsi="Times New Roman"/>
          <w:sz w:val="26"/>
          <w:szCs w:val="26"/>
        </w:rPr>
        <w:t>7,75</w:t>
      </w:r>
      <w:r>
        <w:rPr>
          <w:rFonts w:ascii="Times New Roman" w:hAnsi="Times New Roman"/>
          <w:sz w:val="26"/>
          <w:szCs w:val="26"/>
        </w:rPr>
        <w:t xml:space="preserve"> mi</w:t>
      </w:r>
      <w:r w:rsidR="00CC0BAF">
        <w:rPr>
          <w:rFonts w:ascii="Times New Roman" w:hAnsi="Times New Roman"/>
          <w:sz w:val="26"/>
          <w:szCs w:val="26"/>
        </w:rPr>
        <w:t>l.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 xml:space="preserve"> sau </w:t>
      </w:r>
      <w:r w:rsidR="001611CE">
        <w:rPr>
          <w:rFonts w:ascii="Times New Roman" w:hAnsi="Times New Roman"/>
          <w:sz w:val="26"/>
          <w:szCs w:val="26"/>
        </w:rPr>
        <w:t>66,6</w:t>
      </w:r>
      <w:r>
        <w:rPr>
          <w:rFonts w:ascii="Times New Roman" w:hAnsi="Times New Roman"/>
          <w:sz w:val="26"/>
          <w:szCs w:val="26"/>
        </w:rPr>
        <w:t>%.</w:t>
      </w:r>
    </w:p>
    <w:p w:rsidR="00F75FF1" w:rsidRDefault="006702BF" w:rsidP="00F75FF1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="00F75FF1">
        <w:rPr>
          <w:rFonts w:ascii="Times New Roman" w:hAnsi="Times New Roman"/>
          <w:b/>
          <w:sz w:val="26"/>
          <w:szCs w:val="26"/>
        </w:rPr>
        <w:t xml:space="preserve"> </w:t>
      </w:r>
      <w:r w:rsidR="00F75FF1" w:rsidRPr="00F75FF1">
        <w:rPr>
          <w:rFonts w:ascii="Times New Roman" w:hAnsi="Times New Roman"/>
          <w:sz w:val="26"/>
          <w:szCs w:val="26"/>
        </w:rPr>
        <w:t xml:space="preserve">grâu </w:t>
      </w:r>
      <w:r w:rsidR="00F75FF1">
        <w:rPr>
          <w:rFonts w:ascii="Times New Roman" w:hAnsi="Times New Roman"/>
          <w:sz w:val="26"/>
          <w:szCs w:val="26"/>
        </w:rPr>
        <w:t>ș</w:t>
      </w:r>
      <w:r w:rsidR="00F75FF1" w:rsidRPr="00F75FF1">
        <w:rPr>
          <w:rFonts w:ascii="Times New Roman" w:hAnsi="Times New Roman"/>
          <w:sz w:val="26"/>
          <w:szCs w:val="26"/>
        </w:rPr>
        <w:t xml:space="preserve">i </w:t>
      </w:r>
      <w:proofErr w:type="spellStart"/>
      <w:r w:rsidR="00F75FF1" w:rsidRPr="00F75FF1">
        <w:rPr>
          <w:rFonts w:ascii="Times New Roman" w:hAnsi="Times New Roman"/>
          <w:sz w:val="26"/>
          <w:szCs w:val="26"/>
        </w:rPr>
        <w:t>meslin</w:t>
      </w:r>
      <w:proofErr w:type="spellEnd"/>
      <w:r w:rsidR="00F75FF1" w:rsidRPr="00F75FF1">
        <w:rPr>
          <w:rFonts w:ascii="Times New Roman" w:hAnsi="Times New Roman"/>
          <w:sz w:val="26"/>
          <w:szCs w:val="26"/>
        </w:rPr>
        <w:t>, sorg boabe, maşini</w:t>
      </w:r>
      <w:r w:rsidR="00F75FF1" w:rsidRPr="00A47F5E">
        <w:rPr>
          <w:rFonts w:ascii="Times New Roman" w:hAnsi="Times New Roman"/>
          <w:sz w:val="26"/>
          <w:szCs w:val="26"/>
        </w:rPr>
        <w:t xml:space="preserve"> si aparate utilizate la imprimarea</w:t>
      </w:r>
      <w:r w:rsidR="00F75FF1" w:rsidRPr="00F75FF1">
        <w:rPr>
          <w:rFonts w:ascii="Times New Roman" w:hAnsi="Times New Roman"/>
          <w:sz w:val="26"/>
          <w:szCs w:val="26"/>
        </w:rPr>
        <w:t xml:space="preserve">, </w:t>
      </w:r>
      <w:r w:rsidR="00F75FF1" w:rsidRPr="00A47F5E">
        <w:rPr>
          <w:rFonts w:ascii="Times New Roman" w:hAnsi="Times New Roman"/>
          <w:sz w:val="26"/>
          <w:szCs w:val="26"/>
        </w:rPr>
        <w:t>articole de transport sau de ambalare din materiale plastice</w:t>
      </w:r>
      <w:r w:rsidR="00F75FF1">
        <w:rPr>
          <w:rFonts w:ascii="Times New Roman" w:hAnsi="Times New Roman"/>
          <w:sz w:val="26"/>
          <w:szCs w:val="26"/>
        </w:rPr>
        <w:t>, etc.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efectuat în anul 2016 din </w:t>
      </w:r>
      <w:r w:rsidR="00A47F5E" w:rsidRPr="00751938">
        <w:rPr>
          <w:rFonts w:ascii="Times New Roman" w:hAnsi="Times New Roman"/>
          <w:sz w:val="26"/>
          <w:szCs w:val="26"/>
        </w:rPr>
        <w:t>Indonezia</w:t>
      </w:r>
      <w:r w:rsidR="00A47F5E" w:rsidRPr="006702BF">
        <w:rPr>
          <w:rFonts w:ascii="Times New Roman" w:hAnsi="Times New Roman"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în Republica Moldova a însumat </w:t>
      </w:r>
      <w:r w:rsidR="00A47F5E">
        <w:rPr>
          <w:rFonts w:ascii="Times New Roman" w:hAnsi="Times New Roman"/>
          <w:sz w:val="26"/>
          <w:szCs w:val="26"/>
        </w:rPr>
        <w:t>4,</w:t>
      </w:r>
      <w:r w:rsidR="001611CE">
        <w:rPr>
          <w:rFonts w:ascii="Times New Roman" w:hAnsi="Times New Roman"/>
          <w:sz w:val="26"/>
          <w:szCs w:val="26"/>
        </w:rPr>
        <w:t>7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creştere cu </w:t>
      </w:r>
      <w:r w:rsidR="00A47F5E">
        <w:rPr>
          <w:rFonts w:ascii="Times New Roman" w:hAnsi="Times New Roman"/>
          <w:sz w:val="26"/>
          <w:szCs w:val="26"/>
        </w:rPr>
        <w:t>0,</w:t>
      </w:r>
      <w:r w:rsidR="00367626">
        <w:rPr>
          <w:rFonts w:ascii="Times New Roman" w:hAnsi="Times New Roman"/>
          <w:sz w:val="26"/>
          <w:szCs w:val="26"/>
        </w:rPr>
        <w:t>5</w:t>
      </w:r>
      <w:r w:rsidRPr="006702BF">
        <w:rPr>
          <w:rFonts w:ascii="Times New Roman" w:hAnsi="Times New Roman"/>
          <w:sz w:val="26"/>
          <w:szCs w:val="26"/>
        </w:rPr>
        <w:t xml:space="preserve">% sau </w:t>
      </w:r>
      <w:r w:rsidR="00A47F5E">
        <w:rPr>
          <w:rFonts w:ascii="Times New Roman" w:hAnsi="Times New Roman"/>
          <w:sz w:val="26"/>
          <w:szCs w:val="26"/>
        </w:rPr>
        <w:t>23,26 mii</w:t>
      </w:r>
      <w:r w:rsidRPr="006702BF">
        <w:rPr>
          <w:rFonts w:ascii="Times New Roman" w:hAnsi="Times New Roman"/>
          <w:sz w:val="26"/>
          <w:szCs w:val="26"/>
        </w:rPr>
        <w:t xml:space="preserve"> dolari SUA. </w:t>
      </w:r>
    </w:p>
    <w:p w:rsidR="00D44490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Pr="006702BF">
        <w:rPr>
          <w:rFonts w:ascii="Times New Roman" w:hAnsi="Times New Roman"/>
          <w:sz w:val="26"/>
          <w:szCs w:val="26"/>
        </w:rPr>
        <w:t xml:space="preserve">: </w:t>
      </w:r>
      <w:r w:rsidR="00F75FF1" w:rsidRPr="00A47F5E">
        <w:rPr>
          <w:rFonts w:ascii="Times New Roman" w:hAnsi="Times New Roman"/>
          <w:sz w:val="26"/>
          <w:szCs w:val="26"/>
        </w:rPr>
        <w:t xml:space="preserve">grăsimi </w:t>
      </w:r>
      <w:r w:rsidR="00F75FF1">
        <w:rPr>
          <w:rFonts w:ascii="Times New Roman" w:hAnsi="Times New Roman"/>
          <w:sz w:val="26"/>
          <w:szCs w:val="26"/>
        </w:rPr>
        <w:t>ș</w:t>
      </w:r>
      <w:r w:rsidR="00F75FF1" w:rsidRPr="00A47F5E">
        <w:rPr>
          <w:rFonts w:ascii="Times New Roman" w:hAnsi="Times New Roman"/>
          <w:sz w:val="26"/>
          <w:szCs w:val="26"/>
        </w:rPr>
        <w:t>i uleiuri de origine animal</w:t>
      </w:r>
      <w:r w:rsidR="00F75FF1">
        <w:rPr>
          <w:rFonts w:ascii="Times New Roman" w:hAnsi="Times New Roman"/>
          <w:sz w:val="26"/>
          <w:szCs w:val="26"/>
        </w:rPr>
        <w:t xml:space="preserve">ă </w:t>
      </w:r>
      <w:r w:rsidR="00F75FF1" w:rsidRPr="00A47F5E">
        <w:rPr>
          <w:rFonts w:ascii="Times New Roman" w:hAnsi="Times New Roman"/>
          <w:sz w:val="26"/>
          <w:szCs w:val="26"/>
        </w:rPr>
        <w:t>sau vegetal</w:t>
      </w:r>
      <w:r w:rsidR="00F75FF1">
        <w:rPr>
          <w:rFonts w:ascii="Times New Roman" w:hAnsi="Times New Roman"/>
          <w:sz w:val="26"/>
          <w:szCs w:val="26"/>
        </w:rPr>
        <w:t>ă</w:t>
      </w:r>
      <w:r w:rsidR="00F75FF1" w:rsidRPr="00F75FF1">
        <w:rPr>
          <w:rFonts w:ascii="Times New Roman" w:hAnsi="Times New Roman"/>
          <w:sz w:val="26"/>
          <w:szCs w:val="26"/>
        </w:rPr>
        <w:t xml:space="preserve">, </w:t>
      </w:r>
      <w:r w:rsidR="00F75FF1" w:rsidRPr="00A47F5E">
        <w:rPr>
          <w:rFonts w:ascii="Times New Roman" w:hAnsi="Times New Roman"/>
          <w:sz w:val="26"/>
          <w:szCs w:val="26"/>
        </w:rPr>
        <w:t xml:space="preserve">hârții </w:t>
      </w:r>
      <w:r w:rsidR="00F75FF1">
        <w:rPr>
          <w:rFonts w:ascii="Times New Roman" w:hAnsi="Times New Roman"/>
          <w:sz w:val="26"/>
          <w:szCs w:val="26"/>
        </w:rPr>
        <w:t>ș</w:t>
      </w:r>
      <w:r w:rsidR="00F75FF1" w:rsidRPr="00A47F5E">
        <w:rPr>
          <w:rFonts w:ascii="Times New Roman" w:hAnsi="Times New Roman"/>
          <w:sz w:val="26"/>
          <w:szCs w:val="26"/>
        </w:rPr>
        <w:t>i cartoane</w:t>
      </w:r>
      <w:r w:rsidR="00F75FF1" w:rsidRPr="00F75FF1">
        <w:rPr>
          <w:rFonts w:ascii="Times New Roman" w:hAnsi="Times New Roman"/>
          <w:sz w:val="26"/>
          <w:szCs w:val="26"/>
        </w:rPr>
        <w:t xml:space="preserve">, </w:t>
      </w:r>
      <w:r w:rsidR="00F75FF1" w:rsidRPr="00A47F5E">
        <w:rPr>
          <w:rFonts w:ascii="Times New Roman" w:hAnsi="Times New Roman"/>
          <w:sz w:val="26"/>
          <w:szCs w:val="26"/>
        </w:rPr>
        <w:t>încălțăminte cu tălpi exterioare din cauciuc,</w:t>
      </w:r>
      <w:r w:rsidR="00F75FF1" w:rsidRPr="00F75FF1">
        <w:rPr>
          <w:rFonts w:ascii="Times New Roman" w:hAnsi="Times New Roman"/>
          <w:sz w:val="26"/>
          <w:szCs w:val="26"/>
        </w:rPr>
        <w:t xml:space="preserve"> </w:t>
      </w:r>
      <w:r w:rsidR="00F75FF1" w:rsidRPr="00A47F5E">
        <w:rPr>
          <w:rFonts w:ascii="Times New Roman" w:hAnsi="Times New Roman"/>
          <w:sz w:val="26"/>
          <w:szCs w:val="26"/>
        </w:rPr>
        <w:t xml:space="preserve">ulei de cocos, de </w:t>
      </w:r>
      <w:r w:rsidR="00F75FF1" w:rsidRPr="00F75FF1">
        <w:rPr>
          <w:rFonts w:ascii="Times New Roman" w:hAnsi="Times New Roman"/>
          <w:sz w:val="26"/>
          <w:szCs w:val="26"/>
        </w:rPr>
        <w:t>sâmburi</w:t>
      </w:r>
      <w:r w:rsidR="00F75FF1" w:rsidRPr="00A47F5E">
        <w:rPr>
          <w:rFonts w:ascii="Times New Roman" w:hAnsi="Times New Roman"/>
          <w:sz w:val="26"/>
          <w:szCs w:val="26"/>
        </w:rPr>
        <w:t xml:space="preserve"> de palmier</w:t>
      </w:r>
      <w:r w:rsidR="00F75FF1" w:rsidRPr="00F75FF1">
        <w:rPr>
          <w:rFonts w:ascii="Times New Roman" w:hAnsi="Times New Roman"/>
          <w:sz w:val="26"/>
          <w:szCs w:val="26"/>
        </w:rPr>
        <w:t xml:space="preserve">, </w:t>
      </w:r>
      <w:r w:rsidR="00F75FF1">
        <w:rPr>
          <w:rFonts w:ascii="Times New Roman" w:hAnsi="Times New Roman"/>
          <w:sz w:val="26"/>
          <w:szCs w:val="26"/>
        </w:rPr>
        <w:t>etc.</w:t>
      </w:r>
    </w:p>
    <w:p w:rsidR="006702BF" w:rsidRDefault="006702BF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="00CC0BAF" w:rsidRPr="00CC0BAF">
        <w:rPr>
          <w:rFonts w:ascii="Times New Roman" w:hAnsi="Times New Roman"/>
          <w:b/>
          <w:sz w:val="26"/>
          <w:szCs w:val="26"/>
        </w:rPr>
        <w:t>Republica Indonezia</w:t>
      </w:r>
      <w:r w:rsidR="00CC0BAF">
        <w:rPr>
          <w:rFonts w:ascii="Times New Roman" w:hAnsi="Times New Roman"/>
          <w:b/>
          <w:sz w:val="26"/>
          <w:szCs w:val="26"/>
        </w:rPr>
        <w:t xml:space="preserve"> </w:t>
      </w:r>
    </w:p>
    <w:p w:rsidR="00D44490" w:rsidRPr="000A69F4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>(mi</w:t>
      </w:r>
      <w:r w:rsidR="00367626">
        <w:rPr>
          <w:rFonts w:ascii="Times New Roman" w:hAnsi="Times New Roman"/>
          <w:b/>
          <w:sz w:val="26"/>
          <w:szCs w:val="26"/>
        </w:rPr>
        <w:t>l.</w:t>
      </w:r>
      <w:r w:rsidRPr="000A69F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020ACE" w:rsidRDefault="00D44490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B514B6" w:rsidRPr="00020ACE" w:rsidTr="002B436F">
        <w:trPr>
          <w:trHeight w:hRule="exact" w:val="340"/>
          <w:jc w:val="center"/>
        </w:trPr>
        <w:tc>
          <w:tcPr>
            <w:tcW w:w="1499" w:type="dxa"/>
          </w:tcPr>
          <w:p w:rsidR="00B514B6" w:rsidRPr="00020ACE" w:rsidRDefault="00B514B6" w:rsidP="0036762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B514B6" w:rsidRPr="004972A4" w:rsidRDefault="00B91140" w:rsidP="0036762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2206" w:type="dxa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  <w:r w:rsidR="004D5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D5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4D5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B911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4D5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1" w:type="dxa"/>
            <w:vAlign w:val="bottom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52,</w:t>
            </w:r>
            <w:r w:rsidR="004D5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514B6" w:rsidRPr="00020ACE" w:rsidTr="002B436F">
        <w:trPr>
          <w:trHeight w:hRule="exact" w:val="340"/>
          <w:jc w:val="center"/>
        </w:trPr>
        <w:tc>
          <w:tcPr>
            <w:tcW w:w="1499" w:type="dxa"/>
          </w:tcPr>
          <w:p w:rsidR="00B514B6" w:rsidRPr="00020ACE" w:rsidRDefault="00B514B6" w:rsidP="0036762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B514B6" w:rsidRPr="00020ACE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91140">
              <w:rPr>
                <w:rFonts w:ascii="Times New Roman" w:hAnsi="Times New Roman"/>
                <w:color w:val="000000"/>
                <w:sz w:val="24"/>
                <w:szCs w:val="24"/>
              </w:rPr>
              <w:t>,26</w:t>
            </w:r>
          </w:p>
        </w:tc>
        <w:tc>
          <w:tcPr>
            <w:tcW w:w="2206" w:type="dxa"/>
          </w:tcPr>
          <w:p w:rsidR="00B514B6" w:rsidRPr="00020ACE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4D5F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51" w:type="dxa"/>
            <w:vAlign w:val="bottom"/>
          </w:tcPr>
          <w:p w:rsidR="00B514B6" w:rsidRPr="00020ACE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514B6" w:rsidRPr="00020ACE" w:rsidTr="002B436F">
        <w:trPr>
          <w:trHeight w:hRule="exact" w:val="340"/>
          <w:jc w:val="center"/>
        </w:trPr>
        <w:tc>
          <w:tcPr>
            <w:tcW w:w="1499" w:type="dxa"/>
          </w:tcPr>
          <w:p w:rsidR="00B514B6" w:rsidRPr="00020ACE" w:rsidRDefault="00B514B6" w:rsidP="0036762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B514B6" w:rsidRPr="00020ACE" w:rsidRDefault="00B91140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6,86</w:t>
            </w:r>
          </w:p>
        </w:tc>
        <w:tc>
          <w:tcPr>
            <w:tcW w:w="2206" w:type="dxa"/>
          </w:tcPr>
          <w:p w:rsidR="00B514B6" w:rsidRPr="00020ACE" w:rsidRDefault="00B91140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4D5F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4D5F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1" w:type="dxa"/>
            <w:vAlign w:val="bottom"/>
          </w:tcPr>
          <w:p w:rsidR="00B514B6" w:rsidRPr="00020ACE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</w:t>
            </w:r>
            <w:r w:rsidR="003676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514B6" w:rsidRPr="00020ACE" w:rsidTr="002B436F">
        <w:trPr>
          <w:trHeight w:hRule="exact" w:val="340"/>
          <w:jc w:val="center"/>
        </w:trPr>
        <w:tc>
          <w:tcPr>
            <w:tcW w:w="1499" w:type="dxa"/>
          </w:tcPr>
          <w:p w:rsidR="00B514B6" w:rsidRPr="00020ACE" w:rsidRDefault="00B514B6" w:rsidP="0036762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B514B6" w:rsidRPr="00020ACE" w:rsidRDefault="00B91140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2206" w:type="dxa"/>
          </w:tcPr>
          <w:p w:rsidR="00B514B6" w:rsidRPr="00020ACE" w:rsidRDefault="00B91140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B514B6" w:rsidRPr="004972A4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D5F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1" w:type="dxa"/>
            <w:vAlign w:val="bottom"/>
          </w:tcPr>
          <w:p w:rsidR="00B514B6" w:rsidRPr="00020ACE" w:rsidRDefault="00B514B6" w:rsidP="003676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D44490" w:rsidRDefault="00D44490" w:rsidP="00881FC6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340"/>
        <w:gridCol w:w="1096"/>
        <w:gridCol w:w="1072"/>
        <w:gridCol w:w="1255"/>
        <w:gridCol w:w="1273"/>
        <w:gridCol w:w="1322"/>
      </w:tblGrid>
      <w:tr w:rsidR="00D44490" w:rsidRPr="004D291F" w:rsidTr="004D291F">
        <w:trPr>
          <w:trHeight w:val="255"/>
        </w:trPr>
        <w:tc>
          <w:tcPr>
            <w:tcW w:w="900" w:type="dxa"/>
            <w:vAlign w:val="center"/>
          </w:tcPr>
          <w:p w:rsidR="00D44490" w:rsidRPr="004D291F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noWrap/>
            <w:vAlign w:val="center"/>
          </w:tcPr>
          <w:p w:rsidR="00D44490" w:rsidRPr="004D291F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096" w:type="dxa"/>
            <w:noWrap/>
            <w:vAlign w:val="center"/>
          </w:tcPr>
          <w:p w:rsidR="00D44490" w:rsidRPr="004D291F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72" w:type="dxa"/>
            <w:noWrap/>
            <w:vAlign w:val="center"/>
          </w:tcPr>
          <w:p w:rsidR="00D44490" w:rsidRPr="004D291F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55" w:type="dxa"/>
            <w:noWrap/>
            <w:vAlign w:val="center"/>
          </w:tcPr>
          <w:p w:rsidR="00D44490" w:rsidRPr="004D291F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3" w:type="dxa"/>
            <w:noWrap/>
            <w:vAlign w:val="center"/>
          </w:tcPr>
          <w:p w:rsidR="00D44490" w:rsidRPr="004D291F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4D291F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4D291F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B91140" w:rsidRPr="004D291F" w:rsidTr="00B91140">
        <w:trPr>
          <w:trHeight w:val="255"/>
        </w:trPr>
        <w:tc>
          <w:tcPr>
            <w:tcW w:w="900" w:type="dxa"/>
            <w:vAlign w:val="center"/>
          </w:tcPr>
          <w:p w:rsidR="00B91140" w:rsidRPr="004D291F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40" w:type="dxa"/>
            <w:noWrap/>
            <w:vAlign w:val="bottom"/>
          </w:tcPr>
          <w:p w:rsidR="00B91140" w:rsidRPr="004D291F" w:rsidRDefault="00B91140" w:rsidP="006A730E">
            <w:pPr>
              <w:spacing w:after="0" w:line="240" w:lineRule="auto"/>
              <w:rPr>
                <w:rFonts w:ascii="Times New Roman" w:hAnsi="Times New Roman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096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1140">
              <w:rPr>
                <w:rFonts w:ascii="Times New Roman" w:hAnsi="Times New Roman"/>
                <w:b/>
              </w:rPr>
              <w:t>6</w:t>
            </w:r>
            <w:r w:rsidR="00A47F5E">
              <w:rPr>
                <w:rFonts w:ascii="Times New Roman" w:hAnsi="Times New Roman"/>
                <w:b/>
              </w:rPr>
              <w:t xml:space="preserve"> </w:t>
            </w:r>
            <w:r w:rsidRPr="00B91140">
              <w:rPr>
                <w:rFonts w:ascii="Times New Roman" w:hAnsi="Times New Roman"/>
                <w:b/>
              </w:rPr>
              <w:t>257,0</w:t>
            </w:r>
          </w:p>
        </w:tc>
        <w:tc>
          <w:tcPr>
            <w:tcW w:w="1072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1140">
              <w:rPr>
                <w:rFonts w:ascii="Times New Roman" w:hAnsi="Times New Roman"/>
                <w:b/>
              </w:rPr>
              <w:t>11</w:t>
            </w:r>
            <w:r w:rsidR="00A47F5E">
              <w:rPr>
                <w:rFonts w:ascii="Times New Roman" w:hAnsi="Times New Roman"/>
                <w:b/>
              </w:rPr>
              <w:t xml:space="preserve"> </w:t>
            </w:r>
            <w:r w:rsidRPr="00B91140">
              <w:rPr>
                <w:rFonts w:ascii="Times New Roman" w:hAnsi="Times New Roman"/>
                <w:b/>
              </w:rPr>
              <w:t>634,3</w:t>
            </w:r>
          </w:p>
        </w:tc>
        <w:tc>
          <w:tcPr>
            <w:tcW w:w="1255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1140">
              <w:rPr>
                <w:rFonts w:ascii="Times New Roman" w:hAnsi="Times New Roman"/>
                <w:b/>
              </w:rPr>
              <w:t>3</w:t>
            </w:r>
            <w:r w:rsidR="00A47F5E">
              <w:rPr>
                <w:rFonts w:ascii="Times New Roman" w:hAnsi="Times New Roman"/>
                <w:b/>
              </w:rPr>
              <w:t xml:space="preserve"> </w:t>
            </w:r>
            <w:r w:rsidRPr="00B91140">
              <w:rPr>
                <w:rFonts w:ascii="Times New Roman" w:hAnsi="Times New Roman"/>
                <w:b/>
              </w:rPr>
              <w:t>880,3</w:t>
            </w:r>
          </w:p>
        </w:tc>
        <w:tc>
          <w:tcPr>
            <w:tcW w:w="1273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1140">
              <w:rPr>
                <w:rFonts w:ascii="Times New Roman" w:hAnsi="Times New Roman"/>
                <w:b/>
              </w:rPr>
              <w:t>33,35</w:t>
            </w:r>
          </w:p>
        </w:tc>
        <w:tc>
          <w:tcPr>
            <w:tcW w:w="1322" w:type="dxa"/>
            <w:noWrap/>
            <w:vAlign w:val="center"/>
          </w:tcPr>
          <w:p w:rsidR="00B91140" w:rsidRPr="007570CC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CC">
              <w:rPr>
                <w:rFonts w:ascii="Times New Roman" w:hAnsi="Times New Roman"/>
                <w:b/>
              </w:rPr>
              <w:t>100,0</w:t>
            </w:r>
          </w:p>
        </w:tc>
      </w:tr>
      <w:tr w:rsidR="00A47F5E" w:rsidRPr="00A47F5E" w:rsidTr="001611CE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47F5E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 xml:space="preserve">Grâu si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ro-RO"/>
              </w:rPr>
              <w:t>meslin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6 125,50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11 622,64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3 627,69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31,21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93,49</w:t>
            </w:r>
          </w:p>
        </w:tc>
      </w:tr>
      <w:tr w:rsidR="00A47F5E" w:rsidRPr="00A47F5E" w:rsidTr="00A47F5E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47F5E">
              <w:rPr>
                <w:rFonts w:ascii="Times New Roman" w:hAnsi="Times New Roman"/>
                <w:bCs/>
              </w:rPr>
              <w:lastRenderedPageBreak/>
              <w:t>1007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Sorg boabe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173,50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4,47</w:t>
            </w:r>
          </w:p>
        </w:tc>
      </w:tr>
      <w:tr w:rsidR="00A47F5E" w:rsidRPr="00A47F5E" w:rsidTr="00881FC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47F5E">
              <w:rPr>
                <w:rFonts w:ascii="Times New Roman" w:hAnsi="Times New Roman"/>
                <w:bCs/>
              </w:rPr>
              <w:t>8443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Maşini </w:t>
            </w:r>
            <w:r w:rsidR="001611CE">
              <w:rPr>
                <w:rFonts w:ascii="Times New Roman" w:hAnsi="Times New Roman"/>
                <w:bCs/>
                <w:color w:val="000000"/>
                <w:lang w:eastAsia="ro-RO"/>
              </w:rPr>
              <w:t>ș</w:t>
            </w:r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i aparate utilizate la imprimarea cu ajutorul </w:t>
            </w:r>
            <w:proofErr w:type="spellStart"/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>planselor</w:t>
            </w:r>
            <w:proofErr w:type="spellEnd"/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cilindrilor si altor organe de imprimare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1DDF">
              <w:rPr>
                <w:rFonts w:ascii="Times New Roman" w:hAnsi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1DDF">
              <w:rPr>
                <w:rFonts w:ascii="Times New Roman" w:hAnsi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70,48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1,82</w:t>
            </w:r>
          </w:p>
        </w:tc>
      </w:tr>
      <w:tr w:rsidR="00A47F5E" w:rsidRPr="00A47F5E" w:rsidTr="00A47F5E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47F5E">
              <w:rPr>
                <w:rFonts w:ascii="Times New Roman" w:hAnsi="Times New Roman"/>
                <w:bCs/>
              </w:rPr>
              <w:t>3923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Articole de transport sau de ambalare din materiale plastice; </w:t>
            </w:r>
            <w:proofErr w:type="spellStart"/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>busoane</w:t>
            </w:r>
            <w:proofErr w:type="spellEnd"/>
            <w:r w:rsidRPr="00A47F5E">
              <w:rPr>
                <w:rFonts w:ascii="Times New Roman" w:hAnsi="Times New Roman"/>
                <w:bCs/>
                <w:color w:val="000000"/>
                <w:lang w:eastAsia="ro-RO"/>
              </w:rPr>
              <w:t>, dopuri, capace, capsule si alte dispozitive de în</w:t>
            </w:r>
            <w:r>
              <w:rPr>
                <w:rFonts w:ascii="Times New Roman" w:hAnsi="Times New Roman"/>
                <w:bCs/>
                <w:color w:val="000000"/>
                <w:lang w:eastAsia="ro-RO"/>
              </w:rPr>
              <w:t>chidere, din materiale plastice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113,81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7,83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8,50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108,53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0,22</w:t>
            </w:r>
          </w:p>
        </w:tc>
      </w:tr>
    </w:tbl>
    <w:p w:rsidR="00B91140" w:rsidRDefault="00B9114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956"/>
        <w:gridCol w:w="993"/>
        <w:gridCol w:w="992"/>
        <w:gridCol w:w="992"/>
        <w:gridCol w:w="1134"/>
        <w:gridCol w:w="1393"/>
      </w:tblGrid>
      <w:tr w:rsidR="00D44490" w:rsidRPr="00864E43" w:rsidTr="00852A11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D44490" w:rsidRPr="002A41FA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956" w:type="dxa"/>
            <w:shd w:val="clear" w:color="000000" w:fill="FFFFFF"/>
            <w:vAlign w:val="center"/>
          </w:tcPr>
          <w:p w:rsidR="00D44490" w:rsidRPr="002A41FA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44490" w:rsidRPr="002A41FA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44490" w:rsidRPr="002A41FA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D44490" w:rsidRPr="002A41FA" w:rsidRDefault="00D4449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490" w:rsidRPr="002A41FA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A41FA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:rsidR="00D44490" w:rsidRPr="002A41FA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44490" w:rsidRPr="002A41FA" w:rsidRDefault="00D44490" w:rsidP="006A730E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B91140" w:rsidRPr="00A7382F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  <w:vAlign w:val="center"/>
          </w:tcPr>
          <w:p w:rsidR="00B91140" w:rsidRPr="00A35F26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5F26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56" w:type="dxa"/>
            <w:noWrap/>
            <w:vAlign w:val="bottom"/>
          </w:tcPr>
          <w:p w:rsidR="00B91140" w:rsidRDefault="00B91140" w:rsidP="006A730E">
            <w:pPr>
              <w:spacing w:after="0" w:line="240" w:lineRule="auto"/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993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B91140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6863,9</w:t>
            </w:r>
          </w:p>
        </w:tc>
        <w:tc>
          <w:tcPr>
            <w:tcW w:w="992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B91140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4631,9</w:t>
            </w:r>
          </w:p>
        </w:tc>
        <w:tc>
          <w:tcPr>
            <w:tcW w:w="992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B91140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4655,2</w:t>
            </w:r>
          </w:p>
        </w:tc>
        <w:tc>
          <w:tcPr>
            <w:tcW w:w="1134" w:type="dxa"/>
            <w:noWrap/>
            <w:vAlign w:val="center"/>
          </w:tcPr>
          <w:p w:rsidR="00B91140" w:rsidRPr="00B91140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B91140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100,5</w:t>
            </w:r>
          </w:p>
        </w:tc>
        <w:tc>
          <w:tcPr>
            <w:tcW w:w="1393" w:type="dxa"/>
            <w:noWrap/>
            <w:vAlign w:val="center"/>
          </w:tcPr>
          <w:p w:rsidR="00B91140" w:rsidRPr="00A35F26" w:rsidRDefault="00B91140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35F26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1516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Grasimi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uleiuri de origine animala sau vegetala si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fractiunile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acestora, hidrogenate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partial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sau total,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interesterificate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r</w:t>
            </w:r>
            <w:r w:rsidR="0037121A">
              <w:rPr>
                <w:rFonts w:ascii="Times New Roman" w:hAnsi="Times New Roman"/>
                <w:bCs/>
                <w:lang w:eastAsia="ru-RU"/>
              </w:rPr>
              <w:t>eesterifica</w:t>
            </w:r>
            <w:proofErr w:type="spellEnd"/>
            <w:r w:rsidR="00367626">
              <w:rPr>
                <w:rFonts w:ascii="Times New Roman" w:hAnsi="Times New Roman"/>
                <w:bCs/>
                <w:lang w:eastAsia="ru-RU"/>
              </w:rPr>
              <w:t>-</w:t>
            </w:r>
            <w:r w:rsidR="0037121A">
              <w:rPr>
                <w:rFonts w:ascii="Times New Roman" w:hAnsi="Times New Roman"/>
                <w:bCs/>
                <w:lang w:eastAsia="ru-RU"/>
              </w:rPr>
              <w:t xml:space="preserve">te sau </w:t>
            </w:r>
            <w:proofErr w:type="spellStart"/>
            <w:r w:rsidR="0037121A">
              <w:rPr>
                <w:rFonts w:ascii="Times New Roman" w:hAnsi="Times New Roman"/>
                <w:bCs/>
                <w:lang w:eastAsia="ru-RU"/>
              </w:rPr>
              <w:t>elaidinizate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272,48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141,06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570,22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404,24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12,2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4802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Hirtii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cartoane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necretate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, de tipul celor utilizate pentru scris,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tiparit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sau in alte scopuri grafice si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hirtii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cartoane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1 210,32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468,12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470,52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100,51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10,1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6403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Incaltaminte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cu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talpi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exterioare din cauciuc, material plastic, piele naturala sau reconstituit</w:t>
            </w:r>
            <w:r w:rsidR="00852A11">
              <w:rPr>
                <w:rFonts w:ascii="Times New Roman" w:hAnsi="Times New Roman"/>
                <w:bCs/>
                <w:lang w:eastAsia="ru-RU"/>
              </w:rPr>
              <w:t>a si cu fete din piele naturala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389,64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107,99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8,4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9607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852A11" w:rsidP="006A730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Fermoare si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partile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275,13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218,70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5,9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4810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Hirtii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cartoane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cretate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cu caolin sau cu alte </w:t>
            </w:r>
            <w:r w:rsidR="00881FC6" w:rsidRPr="00A47F5E">
              <w:rPr>
                <w:rFonts w:ascii="Times New Roman" w:hAnsi="Times New Roman"/>
                <w:bCs/>
                <w:lang w:eastAsia="ru-RU"/>
              </w:rPr>
              <w:t>substanțe</w:t>
            </w:r>
            <w:r w:rsidRPr="00A47F5E">
              <w:rPr>
                <w:rFonts w:ascii="Times New Roman" w:hAnsi="Times New Roman"/>
                <w:bCs/>
                <w:lang w:eastAsia="ru-RU"/>
              </w:rPr>
              <w:t xml:space="preserve"> anorganice pe una sau pe ambele fete, cu sau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fara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lianti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fara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alte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stratificari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sau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aplicari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la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suprafata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, chiar colorate la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suprafata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>, decor</w:t>
            </w:r>
            <w:r w:rsidR="00E56D80">
              <w:rPr>
                <w:rFonts w:ascii="Times New Roman" w:hAnsi="Times New Roman"/>
                <w:bCs/>
                <w:lang w:eastAsia="ru-RU"/>
              </w:rPr>
              <w:t xml:space="preserve">ate la </w:t>
            </w:r>
            <w:proofErr w:type="spellStart"/>
            <w:r w:rsidR="00E56D80">
              <w:rPr>
                <w:rFonts w:ascii="Times New Roman" w:hAnsi="Times New Roman"/>
                <w:bCs/>
                <w:lang w:eastAsia="ru-RU"/>
              </w:rPr>
              <w:t>suprafata</w:t>
            </w:r>
            <w:proofErr w:type="spellEnd"/>
            <w:r w:rsidR="00E56D80">
              <w:rPr>
                <w:rFonts w:ascii="Times New Roman" w:hAnsi="Times New Roman"/>
                <w:bCs/>
                <w:lang w:eastAsia="ru-RU"/>
              </w:rPr>
              <w:t xml:space="preserve"> sau imprimate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332,23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237,70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201,56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84,79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4,3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1513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 xml:space="preserve">Ulei de cocos (ulei de copra), de </w:t>
            </w:r>
            <w:r w:rsidR="00881FC6" w:rsidRPr="00A47F5E">
              <w:rPr>
                <w:rFonts w:ascii="Times New Roman" w:hAnsi="Times New Roman"/>
                <w:bCs/>
                <w:lang w:eastAsia="ru-RU"/>
              </w:rPr>
              <w:t>sâmburi</w:t>
            </w:r>
            <w:r w:rsidRPr="00A47F5E">
              <w:rPr>
                <w:rFonts w:ascii="Times New Roman" w:hAnsi="Times New Roman"/>
                <w:bCs/>
                <w:lang w:eastAsia="ru-RU"/>
              </w:rPr>
              <w:t xml:space="preserve"> de palmier sau de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babassu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fractiunile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acestora, chiar ra</w:t>
            </w:r>
            <w:r w:rsidR="00E56D80">
              <w:rPr>
                <w:rFonts w:ascii="Times New Roman" w:hAnsi="Times New Roman"/>
                <w:bCs/>
                <w:lang w:eastAsia="ru-RU"/>
              </w:rPr>
              <w:t>finate, dar nemodificate chimic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94,28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198,98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616,91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4,3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8516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Incalzitoare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de apa, instantanee sau cu stocare si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termoplonjoare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electrice; aparate electrice pentru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incalzirea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incaperilor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, a solului sau pentru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utilizari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similare; aparate electrotermice pentru coafura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137,82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132,26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164,43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124,32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3,5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6404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Incaltaminte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cu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talpi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exterioare din cauciuc, material plastic, piele naturala sau reconstituita s</w:t>
            </w:r>
            <w:r w:rsidR="00E56D80">
              <w:rPr>
                <w:rFonts w:ascii="Times New Roman" w:hAnsi="Times New Roman"/>
                <w:bCs/>
                <w:lang w:eastAsia="ru-RU"/>
              </w:rPr>
              <w:t>i cu fete din materiale textile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648,33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344,45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42,01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3,1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1517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 xml:space="preserve">Margarina; amestecuri sau preparate alimentare din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grasimi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sau din uleiuri de origine animala </w:t>
            </w:r>
            <w:r w:rsidRPr="00A47F5E">
              <w:rPr>
                <w:rFonts w:ascii="Times New Roman" w:hAnsi="Times New Roman"/>
                <w:bCs/>
                <w:lang w:eastAsia="ru-RU"/>
              </w:rPr>
              <w:lastRenderedPageBreak/>
              <w:t xml:space="preserve">sau vegetala sau din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fractiuni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ale </w:t>
            </w:r>
            <w:r w:rsidR="00E56D80">
              <w:rPr>
                <w:rFonts w:ascii="Times New Roman" w:hAnsi="Times New Roman"/>
                <w:bCs/>
                <w:lang w:eastAsia="ru-RU"/>
              </w:rPr>
              <w:t xml:space="preserve">diferitelor </w:t>
            </w:r>
            <w:proofErr w:type="spellStart"/>
            <w:r w:rsidR="00E56D80">
              <w:rPr>
                <w:rFonts w:ascii="Times New Roman" w:hAnsi="Times New Roman"/>
                <w:bCs/>
                <w:lang w:eastAsia="ru-RU"/>
              </w:rPr>
              <w:t>grasimi</w:t>
            </w:r>
            <w:proofErr w:type="spellEnd"/>
            <w:r w:rsidR="00E56D80">
              <w:rPr>
                <w:rFonts w:ascii="Times New Roman" w:hAnsi="Times New Roman"/>
                <w:bCs/>
                <w:lang w:eastAsia="ru-RU"/>
              </w:rPr>
              <w:t xml:space="preserve"> sau uleiuri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lastRenderedPageBreak/>
              <w:t>420,40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19,86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2,9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lastRenderedPageBreak/>
              <w:t>4011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Anvel</w:t>
            </w:r>
            <w:r w:rsidR="00E56D80">
              <w:rPr>
                <w:rFonts w:ascii="Times New Roman" w:hAnsi="Times New Roman"/>
                <w:bCs/>
                <w:lang w:eastAsia="ru-RU"/>
              </w:rPr>
              <w:t>ope pneumatice noi, din cauciuc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188,95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225,77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134,23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59,45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2,9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8443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Masini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si aparate utilizate la imprimarea cu ajutorul </w:t>
            </w: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planselor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>, cilindril</w:t>
            </w:r>
            <w:r w:rsidR="00E56D80">
              <w:rPr>
                <w:rFonts w:ascii="Times New Roman" w:hAnsi="Times New Roman"/>
                <w:bCs/>
                <w:lang w:eastAsia="ru-RU"/>
              </w:rPr>
              <w:t>or si altor organe de imprimare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152,88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103,18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213,24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2,2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9401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Scaune, chiar transform</w:t>
            </w:r>
            <w:r w:rsidR="00881FC6">
              <w:rPr>
                <w:rFonts w:ascii="Times New Roman" w:hAnsi="Times New Roman"/>
                <w:bCs/>
                <w:lang w:eastAsia="ru-RU"/>
              </w:rPr>
              <w:t xml:space="preserve">abile in paturi, si </w:t>
            </w:r>
            <w:proofErr w:type="spellStart"/>
            <w:r w:rsidR="00881FC6">
              <w:rPr>
                <w:rFonts w:ascii="Times New Roman" w:hAnsi="Times New Roman"/>
                <w:bCs/>
                <w:lang w:eastAsia="ru-RU"/>
              </w:rPr>
              <w:t>partile</w:t>
            </w:r>
            <w:proofErr w:type="spellEnd"/>
            <w:r w:rsidR="00881FC6">
              <w:rPr>
                <w:rFonts w:ascii="Times New Roman" w:hAnsi="Times New Roman"/>
                <w:bCs/>
                <w:lang w:eastAsia="ru-RU"/>
              </w:rPr>
              <w:t xml:space="preserve"> 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38,87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44,35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90,95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205,10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2,0</w:t>
            </w:r>
          </w:p>
        </w:tc>
      </w:tr>
      <w:tr w:rsidR="00A47F5E" w:rsidRPr="00A47F5E" w:rsidTr="00852A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7F5E">
              <w:rPr>
                <w:rFonts w:ascii="Times New Roman" w:hAnsi="Times New Roman"/>
                <w:bCs/>
                <w:lang w:eastAsia="ru-RU"/>
              </w:rPr>
              <w:t>8538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F5E" w:rsidRPr="00A47F5E" w:rsidRDefault="00A47F5E" w:rsidP="006A730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A47F5E">
              <w:rPr>
                <w:rFonts w:ascii="Times New Roman" w:hAnsi="Times New Roman"/>
                <w:bCs/>
                <w:lang w:eastAsia="ru-RU"/>
              </w:rPr>
              <w:t>Parti</w:t>
            </w:r>
            <w:proofErr w:type="spellEnd"/>
            <w:r w:rsidRPr="00A47F5E">
              <w:rPr>
                <w:rFonts w:ascii="Times New Roman" w:hAnsi="Times New Roman"/>
                <w:bCs/>
                <w:lang w:eastAsia="ru-RU"/>
              </w:rPr>
              <w:t xml:space="preserve"> destinate exclusiv sau in principal aparatelor de l</w:t>
            </w:r>
            <w:r w:rsidR="00E56D80">
              <w:rPr>
                <w:rFonts w:ascii="Times New Roman" w:hAnsi="Times New Roman"/>
                <w:bCs/>
                <w:lang w:eastAsia="ru-RU"/>
              </w:rPr>
              <w:t xml:space="preserve">a </w:t>
            </w:r>
            <w:proofErr w:type="spellStart"/>
            <w:r w:rsidR="00E56D80">
              <w:rPr>
                <w:rFonts w:ascii="Times New Roman" w:hAnsi="Times New Roman"/>
                <w:bCs/>
                <w:lang w:eastAsia="ru-RU"/>
              </w:rPr>
              <w:t>pozitiile</w:t>
            </w:r>
            <w:proofErr w:type="spellEnd"/>
            <w:r w:rsidR="00E56D80">
              <w:rPr>
                <w:rFonts w:ascii="Times New Roman" w:hAnsi="Times New Roman"/>
                <w:bCs/>
                <w:lang w:eastAsia="ru-RU"/>
              </w:rPr>
              <w:t xml:space="preserve"> 8535, 8536 sau 8537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88,56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148,34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F5E" w:rsidRPr="00A47F5E" w:rsidRDefault="00A47F5E" w:rsidP="006A7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F5E">
              <w:rPr>
                <w:rFonts w:ascii="Times New Roman" w:hAnsi="Times New Roman"/>
              </w:rPr>
              <w:t>1,9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p w:rsidR="00F75FF1" w:rsidRDefault="00F75FF1" w:rsidP="00881FC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1FC6" w:rsidRPr="00EE0C85" w:rsidRDefault="00881FC6" w:rsidP="00881FC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NOTA INFORMATIVĂ </w:t>
      </w:r>
    </w:p>
    <w:p w:rsidR="00881FC6" w:rsidRPr="00EE0C85" w:rsidRDefault="00881FC6" w:rsidP="00881FC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881FC6" w:rsidRPr="00EE0C85" w:rsidRDefault="00881FC6" w:rsidP="00881FC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</w:t>
      </w:r>
      <w:r w:rsidRPr="00CC0BAF">
        <w:rPr>
          <w:rFonts w:ascii="Times New Roman" w:hAnsi="Times New Roman"/>
          <w:b/>
          <w:sz w:val="26"/>
          <w:szCs w:val="26"/>
        </w:rPr>
        <w:t>Republica Indonezia</w:t>
      </w: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81FC6" w:rsidRDefault="00881FC6" w:rsidP="00881F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mai 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881FC6" w:rsidRPr="00EE0C85" w:rsidRDefault="00881FC6" w:rsidP="00881F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81FC6" w:rsidRPr="00EE0C85" w:rsidRDefault="00881FC6" w:rsidP="00881FC6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Volumul </w:t>
      </w:r>
      <w:proofErr w:type="spellStart"/>
      <w:r w:rsidRPr="002E5782">
        <w:rPr>
          <w:rFonts w:ascii="Times New Roman" w:hAnsi="Times New Roman"/>
          <w:b/>
          <w:sz w:val="24"/>
          <w:szCs w:val="24"/>
          <w:lang w:eastAsia="ru-RU"/>
        </w:rPr>
        <w:t>comerţului</w:t>
      </w:r>
      <w:proofErr w:type="spellEnd"/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eastAsia="ru-RU"/>
        </w:rPr>
        <w:t>) al Republicii Moldova cu</w:t>
      </w:r>
      <w:r>
        <w:rPr>
          <w:rFonts w:ascii="Times New Roman" w:hAnsi="Times New Roman"/>
          <w:sz w:val="24"/>
          <w:szCs w:val="24"/>
          <w:lang w:eastAsia="ru-RU"/>
        </w:rPr>
        <w:t xml:space="preserve"> Indonezia </w:t>
      </w:r>
      <w:r w:rsidRPr="00EE0C85">
        <w:rPr>
          <w:rFonts w:ascii="Times New Roman" w:hAnsi="Times New Roman"/>
          <w:sz w:val="24"/>
          <w:szCs w:val="24"/>
          <w:lang w:eastAsia="ru-RU"/>
        </w:rPr>
        <w:t>în ianuarie-</w:t>
      </w:r>
      <w:r>
        <w:rPr>
          <w:rFonts w:ascii="Times New Roman" w:hAnsi="Times New Roman"/>
          <w:sz w:val="24"/>
          <w:szCs w:val="24"/>
          <w:lang w:eastAsia="ru-RU"/>
        </w:rPr>
        <w:t xml:space="preserve">mai </w:t>
      </w:r>
      <w:r w:rsidRPr="00EE0C85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a înregistrat suma de </w:t>
      </w:r>
      <w:r w:rsidR="00A46D7A">
        <w:rPr>
          <w:rFonts w:ascii="Times New Roman" w:hAnsi="Times New Roman"/>
          <w:sz w:val="24"/>
          <w:szCs w:val="24"/>
          <w:lang w:eastAsia="ru-RU"/>
        </w:rPr>
        <w:t>3264,6</w:t>
      </w:r>
      <w:r>
        <w:rPr>
          <w:rFonts w:ascii="Times New Roman" w:hAnsi="Times New Roman"/>
          <w:sz w:val="24"/>
          <w:szCs w:val="24"/>
          <w:lang w:eastAsia="ru-RU"/>
        </w:rPr>
        <w:t xml:space="preserve"> mii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dolari SUA. Comparativ c</w:t>
      </w:r>
      <w:r>
        <w:rPr>
          <w:rFonts w:ascii="Times New Roman" w:hAnsi="Times New Roman"/>
          <w:sz w:val="24"/>
          <w:szCs w:val="24"/>
          <w:lang w:eastAsia="ru-RU"/>
        </w:rPr>
        <w:t>u aceeaşi perioadă a anului 2016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volumul comerțului exterior s-a </w:t>
      </w:r>
      <w:r w:rsidR="00BA1498">
        <w:rPr>
          <w:rFonts w:ascii="Times New Roman" w:hAnsi="Times New Roman"/>
          <w:sz w:val="24"/>
          <w:szCs w:val="24"/>
          <w:lang w:eastAsia="ru-RU"/>
        </w:rPr>
        <w:t>redus cu 21,3</w:t>
      </w:r>
      <w:r w:rsidR="00A46D7A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0C85">
        <w:rPr>
          <w:rFonts w:ascii="Times New Roman" w:hAnsi="Times New Roman"/>
          <w:sz w:val="24"/>
          <w:szCs w:val="24"/>
          <w:lang w:eastAsia="ru-RU"/>
        </w:rPr>
        <w:t>Ponderea comerțului constituie 0,</w:t>
      </w:r>
      <w:r w:rsidR="00A46D7A">
        <w:rPr>
          <w:rFonts w:ascii="Times New Roman" w:hAnsi="Times New Roman"/>
          <w:sz w:val="24"/>
          <w:szCs w:val="24"/>
          <w:lang w:eastAsia="ru-RU"/>
        </w:rPr>
        <w:t>12</w:t>
      </w:r>
      <w:r w:rsidRPr="00EE0C85">
        <w:rPr>
          <w:rFonts w:ascii="Times New Roman" w:hAnsi="Times New Roman"/>
          <w:sz w:val="24"/>
          <w:szCs w:val="24"/>
          <w:lang w:eastAsia="ru-RU"/>
        </w:rPr>
        <w:t>% în volumul comerțului total al R</w:t>
      </w:r>
      <w:r>
        <w:rPr>
          <w:rFonts w:ascii="Times New Roman" w:hAnsi="Times New Roman"/>
          <w:sz w:val="24"/>
          <w:szCs w:val="24"/>
          <w:lang w:eastAsia="ru-RU"/>
        </w:rPr>
        <w:t xml:space="preserve">epublicii </w:t>
      </w:r>
      <w:r w:rsidRPr="00EE0C85">
        <w:rPr>
          <w:rFonts w:ascii="Times New Roman" w:hAnsi="Times New Roman"/>
          <w:sz w:val="24"/>
          <w:szCs w:val="24"/>
          <w:lang w:eastAsia="ru-RU"/>
        </w:rPr>
        <w:t>M</w:t>
      </w:r>
      <w:r>
        <w:rPr>
          <w:rFonts w:ascii="Times New Roman" w:hAnsi="Times New Roman"/>
          <w:sz w:val="24"/>
          <w:szCs w:val="24"/>
          <w:lang w:eastAsia="ru-RU"/>
        </w:rPr>
        <w:t>oldova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şi </w:t>
      </w:r>
      <w:r w:rsidRPr="00EE0C85">
        <w:rPr>
          <w:rFonts w:ascii="Times New Roman" w:hAnsi="Times New Roman"/>
          <w:sz w:val="24"/>
          <w:szCs w:val="24"/>
        </w:rPr>
        <w:t xml:space="preserve">se situează pe locul </w:t>
      </w:r>
      <w:r w:rsidR="00A46D7A">
        <w:rPr>
          <w:rFonts w:ascii="Times New Roman" w:hAnsi="Times New Roman"/>
          <w:sz w:val="24"/>
          <w:szCs w:val="24"/>
        </w:rPr>
        <w:t>51</w:t>
      </w:r>
      <w:r w:rsidRPr="00EE0C85">
        <w:rPr>
          <w:rFonts w:ascii="Times New Roman" w:hAnsi="Times New Roman"/>
          <w:sz w:val="24"/>
          <w:szCs w:val="24"/>
        </w:rPr>
        <w:t xml:space="preserve"> între partenerii cu care Republica Moldova întreține relaţii comerciale.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1FC6" w:rsidRPr="00EE0C85" w:rsidRDefault="00881FC6" w:rsidP="00881FC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1FC6" w:rsidRPr="00EE0C85" w:rsidRDefault="00881FC6" w:rsidP="00881FC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Evoluția schimburilor comerciale </w:t>
      </w:r>
    </w:p>
    <w:p w:rsidR="00881FC6" w:rsidRPr="00EE0C85" w:rsidRDefault="00602F18" w:rsidP="00881FC6">
      <w:pPr>
        <w:spacing w:after="0"/>
        <w:ind w:left="7788" w:right="-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i/>
          <w:sz w:val="24"/>
          <w:szCs w:val="24"/>
          <w:lang w:eastAsia="ru-RU"/>
        </w:rPr>
        <w:t>mi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l. </w:t>
      </w:r>
      <w:r w:rsidR="00881FC6" w:rsidRPr="00EE0C85">
        <w:rPr>
          <w:rFonts w:ascii="Times New Roman" w:hAnsi="Times New Roman"/>
          <w:i/>
          <w:sz w:val="24"/>
          <w:szCs w:val="24"/>
          <w:lang w:eastAsia="ru-RU"/>
        </w:rPr>
        <w:t>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881FC6" w:rsidRPr="00EE0C85" w:rsidTr="002D3B6F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881FC6" w:rsidRPr="00EE0C85" w:rsidTr="002D3B6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4,1</w:t>
            </w:r>
            <w:r w:rsidR="00A46D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</w:t>
            </w:r>
            <w:r w:rsidR="00A46D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6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A46D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</w:t>
            </w:r>
          </w:p>
        </w:tc>
      </w:tr>
      <w:tr w:rsidR="00881FC6" w:rsidRPr="00EE0C85" w:rsidTr="002D3B6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2409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146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</w:t>
            </w:r>
            <w:r w:rsidR="00A46D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1FC6" w:rsidRPr="00EE0C85" w:rsidTr="002D3B6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1,89</w:t>
            </w:r>
          </w:p>
        </w:tc>
        <w:tc>
          <w:tcPr>
            <w:tcW w:w="2409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2146" w:type="dxa"/>
            <w:vAlign w:val="center"/>
          </w:tcPr>
          <w:p w:rsidR="00881FC6" w:rsidRPr="00EE0C85" w:rsidRDefault="00A46D7A" w:rsidP="006A7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115,3</w:t>
            </w:r>
          </w:p>
        </w:tc>
      </w:tr>
      <w:tr w:rsidR="00881FC6" w:rsidRPr="00EE0C85" w:rsidTr="002D3B6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+0,37</w:t>
            </w:r>
          </w:p>
        </w:tc>
        <w:tc>
          <w:tcPr>
            <w:tcW w:w="2409" w:type="dxa"/>
            <w:vAlign w:val="center"/>
          </w:tcPr>
          <w:p w:rsidR="00881FC6" w:rsidRPr="00EE0C85" w:rsidRDefault="00036866" w:rsidP="006A7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-1,09</w:t>
            </w:r>
          </w:p>
        </w:tc>
        <w:tc>
          <w:tcPr>
            <w:tcW w:w="2146" w:type="dxa"/>
            <w:vAlign w:val="center"/>
          </w:tcPr>
          <w:p w:rsidR="00881FC6" w:rsidRPr="00EE0C85" w:rsidRDefault="00881FC6" w:rsidP="006A7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81FC6" w:rsidRPr="00EE0C85" w:rsidRDefault="00881FC6" w:rsidP="006A73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81FC6" w:rsidRPr="00E673F2" w:rsidRDefault="00881FC6" w:rsidP="004D0F19">
      <w:pPr>
        <w:rPr>
          <w:rFonts w:ascii="Times New Roman" w:hAnsi="Times New Roman"/>
          <w:sz w:val="24"/>
          <w:szCs w:val="24"/>
        </w:rPr>
      </w:pPr>
    </w:p>
    <w:sectPr w:rsidR="00881FC6" w:rsidRPr="00E673F2" w:rsidSect="001562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B32"/>
    <w:multiLevelType w:val="hybridMultilevel"/>
    <w:tmpl w:val="204423E0"/>
    <w:lvl w:ilvl="0" w:tplc="976A29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CC0"/>
    <w:multiLevelType w:val="hybridMultilevel"/>
    <w:tmpl w:val="A3DA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0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24056"/>
    <w:multiLevelType w:val="hybridMultilevel"/>
    <w:tmpl w:val="C4FEBF98"/>
    <w:lvl w:ilvl="0" w:tplc="C0FAEF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21"/>
  </w:num>
  <w:num w:numId="7">
    <w:abstractNumId w:val="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7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19"/>
  </w:num>
  <w:num w:numId="17">
    <w:abstractNumId w:val="13"/>
  </w:num>
  <w:num w:numId="18">
    <w:abstractNumId w:val="15"/>
  </w:num>
  <w:num w:numId="19">
    <w:abstractNumId w:val="14"/>
  </w:num>
  <w:num w:numId="20">
    <w:abstractNumId w:val="12"/>
  </w:num>
  <w:num w:numId="21">
    <w:abstractNumId w:val="3"/>
  </w:num>
  <w:num w:numId="22">
    <w:abstractNumId w:val="2"/>
  </w:num>
  <w:num w:numId="23">
    <w:abstractNumId w:val="1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36866"/>
    <w:rsid w:val="000523F8"/>
    <w:rsid w:val="00053753"/>
    <w:rsid w:val="00054BE8"/>
    <w:rsid w:val="00054DA1"/>
    <w:rsid w:val="00056E74"/>
    <w:rsid w:val="0007167C"/>
    <w:rsid w:val="000826E4"/>
    <w:rsid w:val="00085751"/>
    <w:rsid w:val="00096EEF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06DF"/>
    <w:rsid w:val="001254BD"/>
    <w:rsid w:val="0012599A"/>
    <w:rsid w:val="0014389A"/>
    <w:rsid w:val="0014507F"/>
    <w:rsid w:val="0015077A"/>
    <w:rsid w:val="001562E5"/>
    <w:rsid w:val="00157297"/>
    <w:rsid w:val="001611CE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22BA7"/>
    <w:rsid w:val="00226A4E"/>
    <w:rsid w:val="0024561D"/>
    <w:rsid w:val="00246ADF"/>
    <w:rsid w:val="00256728"/>
    <w:rsid w:val="00286AFF"/>
    <w:rsid w:val="00293986"/>
    <w:rsid w:val="002A41FA"/>
    <w:rsid w:val="002A4AA4"/>
    <w:rsid w:val="002D333E"/>
    <w:rsid w:val="002D6336"/>
    <w:rsid w:val="002E331A"/>
    <w:rsid w:val="002F2D00"/>
    <w:rsid w:val="002F64E4"/>
    <w:rsid w:val="002F7C1E"/>
    <w:rsid w:val="0032406B"/>
    <w:rsid w:val="00327215"/>
    <w:rsid w:val="00332944"/>
    <w:rsid w:val="00343F6C"/>
    <w:rsid w:val="003467DF"/>
    <w:rsid w:val="003470C3"/>
    <w:rsid w:val="0035366D"/>
    <w:rsid w:val="00367626"/>
    <w:rsid w:val="0037121A"/>
    <w:rsid w:val="00381C73"/>
    <w:rsid w:val="0038698F"/>
    <w:rsid w:val="00387AE7"/>
    <w:rsid w:val="003A3B00"/>
    <w:rsid w:val="003B30A4"/>
    <w:rsid w:val="003C62BA"/>
    <w:rsid w:val="003E2CCB"/>
    <w:rsid w:val="003E5712"/>
    <w:rsid w:val="004010F9"/>
    <w:rsid w:val="004212C5"/>
    <w:rsid w:val="00432940"/>
    <w:rsid w:val="00440FC7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D291F"/>
    <w:rsid w:val="004D5F4F"/>
    <w:rsid w:val="004E4941"/>
    <w:rsid w:val="004E5EC1"/>
    <w:rsid w:val="004F66D4"/>
    <w:rsid w:val="0050602C"/>
    <w:rsid w:val="0051571B"/>
    <w:rsid w:val="00535140"/>
    <w:rsid w:val="00553043"/>
    <w:rsid w:val="005556D7"/>
    <w:rsid w:val="00556DFB"/>
    <w:rsid w:val="00563185"/>
    <w:rsid w:val="005776B0"/>
    <w:rsid w:val="00583645"/>
    <w:rsid w:val="00586561"/>
    <w:rsid w:val="005902F3"/>
    <w:rsid w:val="005A514D"/>
    <w:rsid w:val="005E0C12"/>
    <w:rsid w:val="005E7187"/>
    <w:rsid w:val="005F6CA0"/>
    <w:rsid w:val="005F7FDF"/>
    <w:rsid w:val="00602F18"/>
    <w:rsid w:val="00607C28"/>
    <w:rsid w:val="006127D3"/>
    <w:rsid w:val="00615BAA"/>
    <w:rsid w:val="006241F5"/>
    <w:rsid w:val="006404CF"/>
    <w:rsid w:val="00646050"/>
    <w:rsid w:val="00647D4A"/>
    <w:rsid w:val="00656790"/>
    <w:rsid w:val="00662F02"/>
    <w:rsid w:val="00664E3B"/>
    <w:rsid w:val="006702BF"/>
    <w:rsid w:val="0067454A"/>
    <w:rsid w:val="00685B4D"/>
    <w:rsid w:val="0068765A"/>
    <w:rsid w:val="00690C13"/>
    <w:rsid w:val="006A27FD"/>
    <w:rsid w:val="006A730E"/>
    <w:rsid w:val="006A7D77"/>
    <w:rsid w:val="006B630A"/>
    <w:rsid w:val="006E0325"/>
    <w:rsid w:val="006E5243"/>
    <w:rsid w:val="006E69E1"/>
    <w:rsid w:val="006E6B2C"/>
    <w:rsid w:val="006F5D62"/>
    <w:rsid w:val="006F6833"/>
    <w:rsid w:val="00703017"/>
    <w:rsid w:val="00710BE6"/>
    <w:rsid w:val="00711A56"/>
    <w:rsid w:val="00727844"/>
    <w:rsid w:val="007279E0"/>
    <w:rsid w:val="00740EDC"/>
    <w:rsid w:val="00741369"/>
    <w:rsid w:val="007421F5"/>
    <w:rsid w:val="007438D0"/>
    <w:rsid w:val="00746AF8"/>
    <w:rsid w:val="00751514"/>
    <w:rsid w:val="00751938"/>
    <w:rsid w:val="007570CC"/>
    <w:rsid w:val="00782881"/>
    <w:rsid w:val="00783B28"/>
    <w:rsid w:val="00784DC7"/>
    <w:rsid w:val="007879F1"/>
    <w:rsid w:val="00796323"/>
    <w:rsid w:val="007A5D87"/>
    <w:rsid w:val="007B28DD"/>
    <w:rsid w:val="007B5B6A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52A11"/>
    <w:rsid w:val="00861777"/>
    <w:rsid w:val="00861E13"/>
    <w:rsid w:val="008638D1"/>
    <w:rsid w:val="00864061"/>
    <w:rsid w:val="00864E43"/>
    <w:rsid w:val="008651DC"/>
    <w:rsid w:val="00880F03"/>
    <w:rsid w:val="00881FC6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6647"/>
    <w:rsid w:val="00921DF4"/>
    <w:rsid w:val="009260AF"/>
    <w:rsid w:val="00935E7C"/>
    <w:rsid w:val="00942CB6"/>
    <w:rsid w:val="00975FC2"/>
    <w:rsid w:val="00985889"/>
    <w:rsid w:val="00985C57"/>
    <w:rsid w:val="00996FCD"/>
    <w:rsid w:val="009B3629"/>
    <w:rsid w:val="009B6924"/>
    <w:rsid w:val="009B7733"/>
    <w:rsid w:val="009C0652"/>
    <w:rsid w:val="009C57DA"/>
    <w:rsid w:val="009C5C9D"/>
    <w:rsid w:val="009C62A6"/>
    <w:rsid w:val="009D1236"/>
    <w:rsid w:val="009D70E5"/>
    <w:rsid w:val="009E1751"/>
    <w:rsid w:val="009E54AB"/>
    <w:rsid w:val="009F26CC"/>
    <w:rsid w:val="00A11EC4"/>
    <w:rsid w:val="00A1361A"/>
    <w:rsid w:val="00A258BD"/>
    <w:rsid w:val="00A272BB"/>
    <w:rsid w:val="00A30DA0"/>
    <w:rsid w:val="00A35F26"/>
    <w:rsid w:val="00A42BF1"/>
    <w:rsid w:val="00A46D7A"/>
    <w:rsid w:val="00A47F5E"/>
    <w:rsid w:val="00A5077F"/>
    <w:rsid w:val="00A50EA9"/>
    <w:rsid w:val="00A7382F"/>
    <w:rsid w:val="00AA1F2D"/>
    <w:rsid w:val="00AA2B49"/>
    <w:rsid w:val="00AA502A"/>
    <w:rsid w:val="00AA5FE8"/>
    <w:rsid w:val="00AC2D29"/>
    <w:rsid w:val="00AC6BE8"/>
    <w:rsid w:val="00AF32F7"/>
    <w:rsid w:val="00B0444E"/>
    <w:rsid w:val="00B0516B"/>
    <w:rsid w:val="00B05A3A"/>
    <w:rsid w:val="00B07D92"/>
    <w:rsid w:val="00B172DD"/>
    <w:rsid w:val="00B22225"/>
    <w:rsid w:val="00B4019F"/>
    <w:rsid w:val="00B45CE6"/>
    <w:rsid w:val="00B514B6"/>
    <w:rsid w:val="00B6141C"/>
    <w:rsid w:val="00B66505"/>
    <w:rsid w:val="00B75556"/>
    <w:rsid w:val="00B84770"/>
    <w:rsid w:val="00B861F6"/>
    <w:rsid w:val="00B91140"/>
    <w:rsid w:val="00BA1498"/>
    <w:rsid w:val="00BA5810"/>
    <w:rsid w:val="00BB4C5D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23DF7"/>
    <w:rsid w:val="00C30E03"/>
    <w:rsid w:val="00C4339C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C0BAF"/>
    <w:rsid w:val="00CC45CA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44490"/>
    <w:rsid w:val="00D519D2"/>
    <w:rsid w:val="00D556D5"/>
    <w:rsid w:val="00D57665"/>
    <w:rsid w:val="00D70574"/>
    <w:rsid w:val="00D70CC0"/>
    <w:rsid w:val="00D77E88"/>
    <w:rsid w:val="00D81310"/>
    <w:rsid w:val="00D82453"/>
    <w:rsid w:val="00DA482B"/>
    <w:rsid w:val="00DA721D"/>
    <w:rsid w:val="00DA7532"/>
    <w:rsid w:val="00DB6290"/>
    <w:rsid w:val="00DC12F7"/>
    <w:rsid w:val="00DF1BC5"/>
    <w:rsid w:val="00DF7D31"/>
    <w:rsid w:val="00E155E2"/>
    <w:rsid w:val="00E40307"/>
    <w:rsid w:val="00E56D80"/>
    <w:rsid w:val="00E673F2"/>
    <w:rsid w:val="00E72869"/>
    <w:rsid w:val="00E80BAA"/>
    <w:rsid w:val="00E86368"/>
    <w:rsid w:val="00E97C09"/>
    <w:rsid w:val="00EA30FC"/>
    <w:rsid w:val="00EC51A2"/>
    <w:rsid w:val="00EC6278"/>
    <w:rsid w:val="00EE3C7C"/>
    <w:rsid w:val="00EF0C0B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75FF1"/>
    <w:rsid w:val="00F9452E"/>
    <w:rsid w:val="00F95813"/>
    <w:rsid w:val="00FA1737"/>
    <w:rsid w:val="00FB3031"/>
    <w:rsid w:val="00FC6C00"/>
    <w:rsid w:val="00FC6C8D"/>
    <w:rsid w:val="00FD1C1D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customStyle="1" w:styleId="Default">
    <w:name w:val="Default"/>
    <w:rsid w:val="00CC45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F774-A97C-45A7-A030-73100EA7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12</cp:revision>
  <cp:lastPrinted>2017-04-13T05:32:00Z</cp:lastPrinted>
  <dcterms:created xsi:type="dcterms:W3CDTF">2017-07-20T13:29:00Z</dcterms:created>
  <dcterms:modified xsi:type="dcterms:W3CDTF">2017-07-27T15:49:00Z</dcterms:modified>
</cp:coreProperties>
</file>