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Ind w:w="-431" w:type="dxa"/>
        <w:tblLook w:val="04A0" w:firstRow="1" w:lastRow="0" w:firstColumn="1" w:lastColumn="0" w:noHBand="0" w:noVBand="1"/>
      </w:tblPr>
      <w:tblGrid>
        <w:gridCol w:w="9776"/>
      </w:tblGrid>
      <w:tr w:rsidR="00A40D1E" w:rsidRPr="00E673F2" w:rsidTr="00B6250A">
        <w:tc>
          <w:tcPr>
            <w:tcW w:w="9776" w:type="dxa"/>
            <w:shd w:val="clear" w:color="auto" w:fill="D9D9D9" w:themeFill="background1" w:themeFillShade="D9"/>
            <w:vAlign w:val="center"/>
          </w:tcPr>
          <w:p w:rsidR="00A40D1E" w:rsidRPr="00E673F2" w:rsidRDefault="00A40D1E" w:rsidP="00B6250A">
            <w:pPr>
              <w:jc w:val="center"/>
              <w:rPr>
                <w:b/>
                <w:color w:val="000000" w:themeColor="text1"/>
                <w:sz w:val="24"/>
                <w:szCs w:val="24"/>
              </w:rPr>
            </w:pPr>
            <w:r w:rsidRPr="00E673F2">
              <w:rPr>
                <w:b/>
                <w:color w:val="000000" w:themeColor="text1"/>
                <w:sz w:val="24"/>
                <w:szCs w:val="24"/>
              </w:rPr>
              <w:t xml:space="preserve">NOTA INFORMATIVĂ </w:t>
            </w:r>
          </w:p>
          <w:p w:rsidR="00A40D1E" w:rsidRPr="00E673F2" w:rsidRDefault="00A40D1E" w:rsidP="00B6250A">
            <w:pPr>
              <w:jc w:val="center"/>
              <w:rPr>
                <w:b/>
                <w:color w:val="000000" w:themeColor="text1"/>
                <w:sz w:val="24"/>
                <w:szCs w:val="24"/>
              </w:rPr>
            </w:pPr>
            <w:r w:rsidRPr="00E673F2">
              <w:rPr>
                <w:b/>
                <w:color w:val="000000" w:themeColor="text1"/>
                <w:sz w:val="24"/>
                <w:szCs w:val="24"/>
              </w:rPr>
              <w:t>privind starea actuală a relațiilor comercial-economice</w:t>
            </w:r>
          </w:p>
          <w:p w:rsidR="00A40D1E" w:rsidRPr="0087056B" w:rsidRDefault="00A40D1E" w:rsidP="00B6250A">
            <w:pPr>
              <w:jc w:val="center"/>
              <w:rPr>
                <w:b/>
                <w:color w:val="000000" w:themeColor="text1"/>
                <w:sz w:val="24"/>
                <w:szCs w:val="24"/>
                <w:lang w:val="ro-RO"/>
              </w:rPr>
            </w:pPr>
            <w:r>
              <w:rPr>
                <w:b/>
                <w:color w:val="000000" w:themeColor="text1"/>
                <w:sz w:val="24"/>
                <w:szCs w:val="24"/>
              </w:rPr>
              <w:t>a</w:t>
            </w:r>
            <w:r w:rsidR="0087056B">
              <w:rPr>
                <w:b/>
                <w:color w:val="000000" w:themeColor="text1"/>
                <w:sz w:val="24"/>
                <w:szCs w:val="24"/>
              </w:rPr>
              <w:t>le</w:t>
            </w:r>
            <w:r w:rsidRPr="00E673F2">
              <w:rPr>
                <w:b/>
                <w:color w:val="000000" w:themeColor="text1"/>
                <w:sz w:val="24"/>
                <w:szCs w:val="24"/>
              </w:rPr>
              <w:t xml:space="preserve"> Republic</w:t>
            </w:r>
            <w:r>
              <w:rPr>
                <w:b/>
                <w:color w:val="000000" w:themeColor="text1"/>
                <w:sz w:val="24"/>
                <w:szCs w:val="24"/>
              </w:rPr>
              <w:t>ii</w:t>
            </w:r>
            <w:r w:rsidRPr="00E673F2">
              <w:rPr>
                <w:b/>
                <w:color w:val="000000" w:themeColor="text1"/>
                <w:sz w:val="24"/>
                <w:szCs w:val="24"/>
              </w:rPr>
              <w:t xml:space="preserve"> Moldova </w:t>
            </w:r>
            <w:r>
              <w:rPr>
                <w:b/>
                <w:color w:val="000000" w:themeColor="text1"/>
                <w:sz w:val="24"/>
                <w:szCs w:val="24"/>
              </w:rPr>
              <w:t>cu</w:t>
            </w:r>
            <w:r w:rsidRPr="00E673F2">
              <w:rPr>
                <w:b/>
                <w:color w:val="000000" w:themeColor="text1"/>
                <w:sz w:val="24"/>
                <w:szCs w:val="24"/>
              </w:rPr>
              <w:t xml:space="preserve"> </w:t>
            </w:r>
            <w:r w:rsidR="0087056B">
              <w:rPr>
                <w:b/>
                <w:color w:val="000000" w:themeColor="text1"/>
                <w:sz w:val="24"/>
                <w:szCs w:val="24"/>
              </w:rPr>
              <w:t xml:space="preserve">Bosnia </w:t>
            </w:r>
            <w:r w:rsidR="0087056B">
              <w:rPr>
                <w:b/>
                <w:color w:val="000000" w:themeColor="text1"/>
                <w:sz w:val="24"/>
                <w:szCs w:val="24"/>
                <w:lang w:val="ro-RO"/>
              </w:rPr>
              <w:t>și Herțegovina</w:t>
            </w:r>
          </w:p>
          <w:p w:rsidR="00A40D1E" w:rsidRPr="00E673F2" w:rsidRDefault="00A40D1E" w:rsidP="00B6250A">
            <w:pPr>
              <w:rPr>
                <w:sz w:val="24"/>
                <w:szCs w:val="24"/>
              </w:rPr>
            </w:pPr>
          </w:p>
        </w:tc>
      </w:tr>
    </w:tbl>
    <w:p w:rsidR="00A40D1E" w:rsidRPr="00E673F2" w:rsidRDefault="00A40D1E" w:rsidP="00A40D1E">
      <w:pPr>
        <w:rPr>
          <w:sz w:val="24"/>
          <w:szCs w:val="24"/>
        </w:rPr>
      </w:pPr>
    </w:p>
    <w:tbl>
      <w:tblPr>
        <w:tblStyle w:val="a9"/>
        <w:tblW w:w="0" w:type="auto"/>
        <w:tblInd w:w="-431" w:type="dxa"/>
        <w:tblLook w:val="04A0" w:firstRow="1" w:lastRow="0" w:firstColumn="1" w:lastColumn="0" w:noHBand="0" w:noVBand="1"/>
      </w:tblPr>
      <w:tblGrid>
        <w:gridCol w:w="9776"/>
      </w:tblGrid>
      <w:tr w:rsidR="00A40D1E" w:rsidRPr="00E673F2" w:rsidTr="00B6250A">
        <w:tc>
          <w:tcPr>
            <w:tcW w:w="9776" w:type="dxa"/>
            <w:shd w:val="clear" w:color="auto" w:fill="D9D9D9" w:themeFill="background1" w:themeFillShade="D9"/>
          </w:tcPr>
          <w:p w:rsidR="00A40D1E" w:rsidRPr="00E673F2" w:rsidRDefault="00A40D1E" w:rsidP="0087056B">
            <w:pPr>
              <w:spacing w:before="120" w:after="120"/>
              <w:rPr>
                <w:bCs/>
                <w:color w:val="000000" w:themeColor="text1"/>
                <w:sz w:val="24"/>
                <w:szCs w:val="24"/>
              </w:rPr>
            </w:pPr>
            <w:r>
              <w:rPr>
                <w:b/>
                <w:bCs/>
                <w:color w:val="000000" w:themeColor="text1"/>
                <w:sz w:val="24"/>
                <w:szCs w:val="24"/>
              </w:rPr>
              <w:t>Cadrul juridic</w:t>
            </w:r>
            <w:r w:rsidRPr="006C35D6">
              <w:rPr>
                <w:b/>
                <w:bCs/>
                <w:color w:val="000000" w:themeColor="text1"/>
                <w:sz w:val="24"/>
                <w:szCs w:val="24"/>
              </w:rPr>
              <w:t xml:space="preserve"> </w:t>
            </w:r>
          </w:p>
        </w:tc>
      </w:tr>
      <w:tr w:rsidR="00A40D1E" w:rsidRPr="00DD1701" w:rsidTr="00B6250A">
        <w:tc>
          <w:tcPr>
            <w:tcW w:w="9776" w:type="dxa"/>
          </w:tcPr>
          <w:p w:rsidR="0087056B" w:rsidRDefault="0087056B" w:rsidP="0087056B">
            <w:pPr>
              <w:spacing w:before="120"/>
              <w:jc w:val="both"/>
              <w:rPr>
                <w:bCs/>
                <w:noProof/>
                <w:sz w:val="24"/>
                <w:szCs w:val="24"/>
                <w:lang w:val="ro-RO"/>
              </w:rPr>
            </w:pPr>
            <w:r w:rsidRPr="0080065D">
              <w:rPr>
                <w:noProof/>
                <w:sz w:val="24"/>
                <w:szCs w:val="24"/>
                <w:lang w:val="en-US"/>
              </w:rPr>
              <w:t xml:space="preserve">Pînă la momentul actual între Republica Moldova şi </w:t>
            </w:r>
            <w:r>
              <w:rPr>
                <w:noProof/>
                <w:sz w:val="24"/>
                <w:szCs w:val="24"/>
                <w:lang w:val="en-US"/>
              </w:rPr>
              <w:t xml:space="preserve">Bosnia </w:t>
            </w:r>
            <w:r>
              <w:rPr>
                <w:noProof/>
                <w:sz w:val="24"/>
                <w:szCs w:val="24"/>
                <w:lang w:val="ro-RO"/>
              </w:rPr>
              <w:t>şi Herţegovina</w:t>
            </w:r>
            <w:r w:rsidRPr="0080065D">
              <w:rPr>
                <w:noProof/>
                <w:sz w:val="24"/>
                <w:szCs w:val="24"/>
                <w:lang w:val="en-US"/>
              </w:rPr>
              <w:t xml:space="preserve"> au fost semnate </w:t>
            </w:r>
            <w:r w:rsidRPr="0087056B">
              <w:rPr>
                <w:b/>
                <w:noProof/>
                <w:sz w:val="24"/>
                <w:szCs w:val="24"/>
                <w:lang w:val="en-US"/>
              </w:rPr>
              <w:t>10 acorduri bilaterale</w:t>
            </w:r>
            <w:r>
              <w:rPr>
                <w:noProof/>
                <w:sz w:val="24"/>
                <w:szCs w:val="24"/>
                <w:lang w:val="en-US"/>
              </w:rPr>
              <w:t xml:space="preserve">. Cele mai importante </w:t>
            </w:r>
            <w:r w:rsidRPr="00A13B88">
              <w:rPr>
                <w:bCs/>
                <w:noProof/>
                <w:sz w:val="24"/>
                <w:szCs w:val="24"/>
                <w:lang w:val="ro-RO"/>
              </w:rPr>
              <w:t xml:space="preserve">Acorduri cu caracter economic la nivel </w:t>
            </w:r>
            <w:r>
              <w:rPr>
                <w:bCs/>
                <w:noProof/>
                <w:sz w:val="24"/>
                <w:szCs w:val="24"/>
                <w:lang w:val="ro-RO"/>
              </w:rPr>
              <w:t>i</w:t>
            </w:r>
            <w:r w:rsidRPr="00A13B88">
              <w:rPr>
                <w:bCs/>
                <w:noProof/>
                <w:sz w:val="24"/>
                <w:szCs w:val="24"/>
                <w:lang w:val="ro-RO"/>
              </w:rPr>
              <w:t>nterguvernamental fiind:</w:t>
            </w:r>
          </w:p>
          <w:p w:rsidR="00A40D1E" w:rsidRPr="0087056B" w:rsidRDefault="0087056B" w:rsidP="0087056B">
            <w:pPr>
              <w:pStyle w:val="aa"/>
              <w:numPr>
                <w:ilvl w:val="0"/>
                <w:numId w:val="5"/>
              </w:numPr>
              <w:autoSpaceDE w:val="0"/>
              <w:autoSpaceDN w:val="0"/>
              <w:adjustRightInd w:val="0"/>
              <w:jc w:val="both"/>
              <w:rPr>
                <w:rFonts w:eastAsia="Times New Roman"/>
                <w:bCs/>
                <w:noProof/>
                <w:kern w:val="32"/>
                <w:sz w:val="24"/>
                <w:szCs w:val="24"/>
              </w:rPr>
            </w:pPr>
            <w:r w:rsidRPr="00F16B21">
              <w:rPr>
                <w:rFonts w:ascii="Times New Roman" w:eastAsia="Times New Roman" w:hAnsi="Times New Roman" w:cs="Times New Roman"/>
                <w:sz w:val="24"/>
                <w:szCs w:val="24"/>
                <w:lang w:val="en-US" w:eastAsia="ru-RU"/>
              </w:rPr>
              <w:t>Acord între Republica Moldova şi Bosnia şi Herţegovina privind promovarea şi protejarea reciprocă a investiţiilor</w:t>
            </w:r>
            <w:r>
              <w:rPr>
                <w:rFonts w:ascii="Times New Roman" w:eastAsia="Times New Roman" w:hAnsi="Times New Roman" w:cs="Times New Roman"/>
                <w:sz w:val="24"/>
                <w:szCs w:val="24"/>
                <w:lang w:val="en-US" w:eastAsia="ru-RU"/>
              </w:rPr>
              <w:t xml:space="preserve"> (semnat la 19.03.1996, la Londra, în vigoare din 30.07.1998);</w:t>
            </w:r>
          </w:p>
          <w:p w:rsidR="0087056B" w:rsidRPr="0087056B" w:rsidRDefault="0087056B" w:rsidP="0087056B">
            <w:pPr>
              <w:pStyle w:val="aa"/>
              <w:numPr>
                <w:ilvl w:val="0"/>
                <w:numId w:val="5"/>
              </w:numPr>
              <w:autoSpaceDE w:val="0"/>
              <w:autoSpaceDN w:val="0"/>
              <w:adjustRightInd w:val="0"/>
              <w:jc w:val="both"/>
              <w:rPr>
                <w:rFonts w:eastAsia="Times New Roman"/>
                <w:bCs/>
                <w:noProof/>
                <w:kern w:val="32"/>
                <w:sz w:val="24"/>
                <w:szCs w:val="24"/>
              </w:rPr>
            </w:pPr>
            <w:r w:rsidRPr="00F16B21">
              <w:rPr>
                <w:rFonts w:ascii="Times New Roman" w:eastAsia="Times New Roman" w:hAnsi="Times New Roman" w:cs="Times New Roman"/>
                <w:bCs/>
                <w:sz w:val="24"/>
                <w:szCs w:val="24"/>
                <w:lang w:eastAsia="ru-RU"/>
              </w:rPr>
              <w:t>Convenţi</w:t>
            </w:r>
            <w:r>
              <w:rPr>
                <w:rFonts w:ascii="Times New Roman" w:eastAsia="Times New Roman" w:hAnsi="Times New Roman" w:cs="Times New Roman"/>
                <w:bCs/>
                <w:sz w:val="24"/>
                <w:szCs w:val="24"/>
                <w:lang w:eastAsia="ru-RU"/>
              </w:rPr>
              <w:t>a</w:t>
            </w:r>
            <w:r w:rsidRPr="00F16B21">
              <w:rPr>
                <w:rFonts w:ascii="Times New Roman" w:eastAsia="Times New Roman" w:hAnsi="Times New Roman" w:cs="Times New Roman"/>
                <w:bCs/>
                <w:sz w:val="24"/>
                <w:szCs w:val="24"/>
                <w:lang w:eastAsia="ru-RU"/>
              </w:rPr>
              <w:t xml:space="preserve"> dintre Republica Moldova şi Bosnia şi Herţegovina pentru evitarea dublei impuneri şi prevenirea evaziunii fiscale cu privire la impozitele pe venit şi pe proprietate</w:t>
            </w:r>
            <w:r>
              <w:rPr>
                <w:rFonts w:ascii="Times New Roman" w:eastAsia="Times New Roman" w:hAnsi="Times New Roman" w:cs="Times New Roman"/>
                <w:bCs/>
                <w:sz w:val="24"/>
                <w:szCs w:val="24"/>
                <w:lang w:eastAsia="ru-RU"/>
              </w:rPr>
              <w:t xml:space="preserve"> </w:t>
            </w:r>
            <w:r w:rsidR="00DD1701">
              <w:rPr>
                <w:rFonts w:ascii="Times New Roman" w:eastAsia="Times New Roman" w:hAnsi="Times New Roman" w:cs="Times New Roman"/>
                <w:bCs/>
                <w:sz w:val="24"/>
                <w:szCs w:val="24"/>
                <w:lang w:eastAsia="ru-RU"/>
              </w:rPr>
              <w:t>(semnat la 08.12.2003, la Sarajevi, intrat în vigoare din 01.04.2004).</w:t>
            </w:r>
          </w:p>
        </w:tc>
      </w:tr>
    </w:tbl>
    <w:p w:rsidR="00A40D1E" w:rsidRPr="00DD1701" w:rsidRDefault="00A40D1E" w:rsidP="00A40D1E">
      <w:pPr>
        <w:rPr>
          <w:sz w:val="24"/>
          <w:szCs w:val="24"/>
          <w:lang w:val="ro-RO"/>
        </w:rPr>
      </w:pPr>
    </w:p>
    <w:p w:rsidR="00A40D1E" w:rsidRPr="00DD1701" w:rsidRDefault="00A40D1E" w:rsidP="00A40D1E">
      <w:pPr>
        <w:rPr>
          <w:sz w:val="24"/>
          <w:szCs w:val="24"/>
          <w:lang w:val="ro-RO"/>
        </w:rPr>
      </w:pPr>
    </w:p>
    <w:tbl>
      <w:tblPr>
        <w:tblStyle w:val="a9"/>
        <w:tblW w:w="0" w:type="auto"/>
        <w:tblInd w:w="-431" w:type="dxa"/>
        <w:tblLook w:val="04A0" w:firstRow="1" w:lastRow="0" w:firstColumn="1" w:lastColumn="0" w:noHBand="0" w:noVBand="1"/>
      </w:tblPr>
      <w:tblGrid>
        <w:gridCol w:w="9776"/>
      </w:tblGrid>
      <w:tr w:rsidR="00A40D1E" w:rsidRPr="00E673F2" w:rsidTr="00B6250A">
        <w:tc>
          <w:tcPr>
            <w:tcW w:w="9776" w:type="dxa"/>
            <w:shd w:val="clear" w:color="auto" w:fill="D9D9D9" w:themeFill="background1" w:themeFillShade="D9"/>
          </w:tcPr>
          <w:p w:rsidR="00A40D1E" w:rsidRPr="00E673F2" w:rsidRDefault="00A40D1E" w:rsidP="00B6250A">
            <w:pPr>
              <w:spacing w:before="120" w:after="120"/>
              <w:rPr>
                <w:b/>
                <w:color w:val="000000" w:themeColor="text1"/>
                <w:sz w:val="24"/>
                <w:szCs w:val="24"/>
              </w:rPr>
            </w:pPr>
            <w:r>
              <w:rPr>
                <w:b/>
                <w:color w:val="000000" w:themeColor="text1"/>
                <w:sz w:val="24"/>
                <w:szCs w:val="24"/>
              </w:rPr>
              <w:t>Comisii interguvernamentale</w:t>
            </w:r>
          </w:p>
        </w:tc>
      </w:tr>
      <w:tr w:rsidR="00A40D1E" w:rsidRPr="00E673F2" w:rsidTr="00B6250A">
        <w:tc>
          <w:tcPr>
            <w:tcW w:w="9776" w:type="dxa"/>
          </w:tcPr>
          <w:p w:rsidR="00A40D1E" w:rsidRPr="00B7787A" w:rsidRDefault="00ED7065" w:rsidP="00B6250A">
            <w:pPr>
              <w:jc w:val="both"/>
              <w:rPr>
                <w:bCs/>
                <w:iCs/>
                <w:color w:val="000000" w:themeColor="text1"/>
                <w:sz w:val="24"/>
                <w:szCs w:val="24"/>
                <w:lang w:val="en-US"/>
              </w:rPr>
            </w:pPr>
            <w:r>
              <w:rPr>
                <w:bCs/>
                <w:noProof/>
                <w:kern w:val="32"/>
                <w:sz w:val="24"/>
                <w:szCs w:val="24"/>
              </w:rPr>
              <w:t>Comisia interguvernamentală nu a fost formată.</w:t>
            </w:r>
          </w:p>
        </w:tc>
      </w:tr>
    </w:tbl>
    <w:p w:rsidR="00A40D1E" w:rsidRPr="00E673F2" w:rsidRDefault="00A40D1E" w:rsidP="00A40D1E">
      <w:pPr>
        <w:rPr>
          <w:sz w:val="24"/>
          <w:szCs w:val="24"/>
        </w:rPr>
      </w:pPr>
    </w:p>
    <w:tbl>
      <w:tblPr>
        <w:tblStyle w:val="a9"/>
        <w:tblW w:w="0" w:type="auto"/>
        <w:tblInd w:w="-431" w:type="dxa"/>
        <w:tblLook w:val="04A0" w:firstRow="1" w:lastRow="0" w:firstColumn="1" w:lastColumn="0" w:noHBand="0" w:noVBand="1"/>
      </w:tblPr>
      <w:tblGrid>
        <w:gridCol w:w="9776"/>
      </w:tblGrid>
      <w:tr w:rsidR="00A40D1E" w:rsidRPr="00E673F2" w:rsidTr="00B6250A">
        <w:tc>
          <w:tcPr>
            <w:tcW w:w="9776" w:type="dxa"/>
            <w:shd w:val="clear" w:color="auto" w:fill="D9D9D9" w:themeFill="background1" w:themeFillShade="D9"/>
          </w:tcPr>
          <w:p w:rsidR="00A40D1E" w:rsidRPr="00E673F2" w:rsidRDefault="00A40D1E" w:rsidP="00ED7065">
            <w:pPr>
              <w:spacing w:before="120" w:after="120"/>
              <w:jc w:val="both"/>
              <w:rPr>
                <w:b/>
                <w:sz w:val="24"/>
                <w:szCs w:val="24"/>
              </w:rPr>
            </w:pPr>
            <w:r w:rsidRPr="00E673F2">
              <w:rPr>
                <w:b/>
                <w:sz w:val="24"/>
                <w:szCs w:val="24"/>
              </w:rPr>
              <w:t>Comerțul bilateral</w:t>
            </w:r>
            <w:r>
              <w:rPr>
                <w:b/>
                <w:sz w:val="24"/>
                <w:szCs w:val="24"/>
              </w:rPr>
              <w:t xml:space="preserve"> </w:t>
            </w:r>
            <w:r w:rsidR="00ED7065">
              <w:rPr>
                <w:b/>
                <w:sz w:val="24"/>
                <w:szCs w:val="24"/>
              </w:rPr>
              <w:t>(anexa 1)</w:t>
            </w:r>
          </w:p>
        </w:tc>
      </w:tr>
      <w:tr w:rsidR="00A40D1E" w:rsidRPr="00096632" w:rsidTr="00B6250A">
        <w:tc>
          <w:tcPr>
            <w:tcW w:w="9776" w:type="dxa"/>
          </w:tcPr>
          <w:p w:rsidR="00E85CAF" w:rsidRDefault="00E85CAF" w:rsidP="00E85CAF">
            <w:pPr>
              <w:spacing w:before="120"/>
              <w:jc w:val="both"/>
              <w:outlineLvl w:val="2"/>
              <w:rPr>
                <w:sz w:val="24"/>
                <w:szCs w:val="24"/>
              </w:rPr>
            </w:pPr>
            <w:r w:rsidRPr="003C62BA">
              <w:rPr>
                <w:b/>
                <w:sz w:val="24"/>
                <w:szCs w:val="24"/>
              </w:rPr>
              <w:t>Volumul comerţului exterior</w:t>
            </w:r>
            <w:r w:rsidRPr="003C62BA">
              <w:rPr>
                <w:sz w:val="24"/>
                <w:szCs w:val="24"/>
              </w:rPr>
              <w:t xml:space="preserve"> al Republicii Moldova cu </w:t>
            </w:r>
            <w:r>
              <w:rPr>
                <w:sz w:val="24"/>
                <w:szCs w:val="24"/>
              </w:rPr>
              <w:t>Bosnia și Herțegovina</w:t>
            </w:r>
            <w:r w:rsidRPr="003C62BA">
              <w:rPr>
                <w:sz w:val="24"/>
                <w:szCs w:val="24"/>
              </w:rPr>
              <w:t xml:space="preserve"> în anul 2016 a înregistrat suma de </w:t>
            </w:r>
            <w:r>
              <w:rPr>
                <w:b/>
                <w:sz w:val="24"/>
                <w:szCs w:val="24"/>
              </w:rPr>
              <w:t>3</w:t>
            </w:r>
            <w:proofErr w:type="gramStart"/>
            <w:r>
              <w:rPr>
                <w:b/>
                <w:sz w:val="24"/>
                <w:szCs w:val="24"/>
              </w:rPr>
              <w:t>,7</w:t>
            </w:r>
            <w:proofErr w:type="gramEnd"/>
            <w:r w:rsidRPr="003C62BA">
              <w:rPr>
                <w:b/>
                <w:sz w:val="24"/>
                <w:szCs w:val="24"/>
              </w:rPr>
              <w:t xml:space="preserve"> mil. USD</w:t>
            </w:r>
            <w:r>
              <w:rPr>
                <w:sz w:val="24"/>
                <w:szCs w:val="24"/>
              </w:rPr>
              <w:t xml:space="preserve"> (-36</w:t>
            </w:r>
            <w:proofErr w:type="gramStart"/>
            <w:r>
              <w:rPr>
                <w:sz w:val="24"/>
                <w:szCs w:val="24"/>
              </w:rPr>
              <w:t>,74</w:t>
            </w:r>
            <w:proofErr w:type="gramEnd"/>
            <w:r>
              <w:rPr>
                <w:sz w:val="24"/>
                <w:szCs w:val="24"/>
              </w:rPr>
              <w:t xml:space="preserve">% în comparaţie cu </w:t>
            </w:r>
            <w:r w:rsidRPr="003C62BA">
              <w:rPr>
                <w:sz w:val="24"/>
                <w:szCs w:val="24"/>
              </w:rPr>
              <w:t xml:space="preserve">anul 2015). </w:t>
            </w:r>
            <w:r w:rsidRPr="00E673F2">
              <w:rPr>
                <w:sz w:val="24"/>
                <w:szCs w:val="24"/>
              </w:rPr>
              <w:t xml:space="preserve">După valoarea volumului schimburilor comerciale, înregistrat în perioada analizată, </w:t>
            </w:r>
            <w:r>
              <w:rPr>
                <w:sz w:val="24"/>
                <w:szCs w:val="24"/>
              </w:rPr>
              <w:t>Bosnia și Herțegovina</w:t>
            </w:r>
            <w:r w:rsidRPr="003C62BA">
              <w:rPr>
                <w:sz w:val="24"/>
                <w:szCs w:val="24"/>
              </w:rPr>
              <w:t xml:space="preserve"> </w:t>
            </w:r>
            <w:r w:rsidRPr="00E673F2">
              <w:rPr>
                <w:sz w:val="24"/>
                <w:szCs w:val="24"/>
              </w:rPr>
              <w:t xml:space="preserve">se situează pe </w:t>
            </w:r>
            <w:r w:rsidRPr="00E673F2">
              <w:rPr>
                <w:b/>
                <w:sz w:val="24"/>
                <w:szCs w:val="24"/>
              </w:rPr>
              <w:t>locul</w:t>
            </w:r>
            <w:r w:rsidRPr="00E673F2">
              <w:rPr>
                <w:sz w:val="24"/>
                <w:szCs w:val="24"/>
              </w:rPr>
              <w:t xml:space="preserve"> </w:t>
            </w:r>
            <w:r>
              <w:rPr>
                <w:b/>
                <w:sz w:val="24"/>
                <w:szCs w:val="24"/>
              </w:rPr>
              <w:t>60</w:t>
            </w:r>
            <w:r w:rsidRPr="00E673F2">
              <w:rPr>
                <w:sz w:val="24"/>
                <w:szCs w:val="24"/>
              </w:rPr>
              <w:t xml:space="preserve"> </w:t>
            </w:r>
            <w:r>
              <w:rPr>
                <w:sz w:val="24"/>
                <w:szCs w:val="24"/>
              </w:rPr>
              <w:t xml:space="preserve">la nivel mondial </w:t>
            </w:r>
            <w:r w:rsidRPr="00E673F2">
              <w:rPr>
                <w:sz w:val="24"/>
                <w:szCs w:val="24"/>
              </w:rPr>
              <w:t xml:space="preserve">între țările partenere cu care Republica Moldova întreţine relaţii comerciale, deţinând o </w:t>
            </w:r>
            <w:r w:rsidRPr="00E673F2">
              <w:rPr>
                <w:b/>
                <w:sz w:val="24"/>
                <w:szCs w:val="24"/>
              </w:rPr>
              <w:t>pondere</w:t>
            </w:r>
            <w:r w:rsidRPr="00E673F2">
              <w:rPr>
                <w:sz w:val="24"/>
                <w:szCs w:val="24"/>
              </w:rPr>
              <w:t xml:space="preserve"> de </w:t>
            </w:r>
            <w:r>
              <w:rPr>
                <w:b/>
                <w:sz w:val="24"/>
                <w:szCs w:val="24"/>
              </w:rPr>
              <w:t>0</w:t>
            </w:r>
            <w:proofErr w:type="gramStart"/>
            <w:r>
              <w:rPr>
                <w:b/>
                <w:sz w:val="24"/>
                <w:szCs w:val="24"/>
              </w:rPr>
              <w:t>,06</w:t>
            </w:r>
            <w:proofErr w:type="gramEnd"/>
            <w:r>
              <w:rPr>
                <w:b/>
                <w:sz w:val="24"/>
                <w:szCs w:val="24"/>
              </w:rPr>
              <w:t xml:space="preserve">% </w:t>
            </w:r>
            <w:r w:rsidRPr="00E673F2">
              <w:rPr>
                <w:sz w:val="24"/>
                <w:szCs w:val="24"/>
              </w:rPr>
              <w:t>în comerțul total al R</w:t>
            </w:r>
            <w:r>
              <w:rPr>
                <w:sz w:val="24"/>
                <w:szCs w:val="24"/>
              </w:rPr>
              <w:t xml:space="preserve">epublicii </w:t>
            </w:r>
            <w:r w:rsidRPr="00E673F2">
              <w:rPr>
                <w:sz w:val="24"/>
                <w:szCs w:val="24"/>
              </w:rPr>
              <w:t>M</w:t>
            </w:r>
            <w:r>
              <w:rPr>
                <w:sz w:val="24"/>
                <w:szCs w:val="24"/>
              </w:rPr>
              <w:t>oldova</w:t>
            </w:r>
            <w:r w:rsidRPr="00E673F2">
              <w:rPr>
                <w:sz w:val="24"/>
                <w:szCs w:val="24"/>
              </w:rPr>
              <w:t>.</w:t>
            </w:r>
            <w:r>
              <w:rPr>
                <w:sz w:val="24"/>
                <w:szCs w:val="24"/>
              </w:rPr>
              <w:t xml:space="preserve"> </w:t>
            </w:r>
          </w:p>
          <w:p w:rsidR="00E85CAF" w:rsidRDefault="00E85CAF" w:rsidP="00E85CAF">
            <w:pPr>
              <w:spacing w:before="120"/>
              <w:jc w:val="both"/>
              <w:outlineLvl w:val="2"/>
              <w:rPr>
                <w:sz w:val="24"/>
                <w:szCs w:val="24"/>
              </w:rPr>
            </w:pPr>
          </w:p>
          <w:p w:rsidR="00E85CAF" w:rsidRDefault="00E85CAF" w:rsidP="00E85CAF">
            <w:pPr>
              <w:jc w:val="both"/>
              <w:rPr>
                <w:sz w:val="24"/>
                <w:szCs w:val="24"/>
              </w:rPr>
            </w:pPr>
            <w:r w:rsidRPr="003C62BA">
              <w:rPr>
                <w:b/>
                <w:sz w:val="24"/>
                <w:szCs w:val="24"/>
              </w:rPr>
              <w:t>Sold</w:t>
            </w:r>
            <w:r w:rsidRPr="003C62BA">
              <w:rPr>
                <w:sz w:val="24"/>
                <w:szCs w:val="24"/>
              </w:rPr>
              <w:t xml:space="preserve"> </w:t>
            </w:r>
            <w:r>
              <w:rPr>
                <w:sz w:val="24"/>
                <w:szCs w:val="24"/>
              </w:rPr>
              <w:t>–</w:t>
            </w:r>
            <w:r w:rsidRPr="003C62BA">
              <w:rPr>
                <w:sz w:val="24"/>
                <w:szCs w:val="24"/>
              </w:rPr>
              <w:t xml:space="preserve"> </w:t>
            </w:r>
            <w:r>
              <w:rPr>
                <w:b/>
                <w:color w:val="000000"/>
                <w:sz w:val="24"/>
                <w:szCs w:val="24"/>
              </w:rPr>
              <w:t>0</w:t>
            </w:r>
            <w:proofErr w:type="gramStart"/>
            <w:r>
              <w:rPr>
                <w:b/>
                <w:color w:val="000000"/>
                <w:sz w:val="24"/>
                <w:szCs w:val="24"/>
              </w:rPr>
              <w:t>,5</w:t>
            </w:r>
            <w:proofErr w:type="gramEnd"/>
            <w:r w:rsidRPr="003C62BA">
              <w:rPr>
                <w:b/>
                <w:color w:val="000000"/>
                <w:sz w:val="24"/>
                <w:szCs w:val="24"/>
              </w:rPr>
              <w:t xml:space="preserve"> </w:t>
            </w:r>
            <w:r w:rsidRPr="003C62BA">
              <w:rPr>
                <w:b/>
                <w:sz w:val="24"/>
                <w:szCs w:val="24"/>
              </w:rPr>
              <w:t xml:space="preserve">mil. USD </w:t>
            </w:r>
            <w:r w:rsidRPr="003C62BA">
              <w:rPr>
                <w:sz w:val="24"/>
                <w:szCs w:val="24"/>
              </w:rPr>
              <w:t xml:space="preserve">în favoarea </w:t>
            </w:r>
            <w:r>
              <w:rPr>
                <w:sz w:val="24"/>
                <w:szCs w:val="24"/>
              </w:rPr>
              <w:t>Bosniei și Herțegovinei</w:t>
            </w:r>
            <w:r w:rsidRPr="003C62BA">
              <w:rPr>
                <w:sz w:val="24"/>
                <w:szCs w:val="24"/>
              </w:rPr>
              <w:t>.</w:t>
            </w:r>
          </w:p>
          <w:p w:rsidR="00E85CAF" w:rsidRPr="003C62BA" w:rsidRDefault="00E85CAF" w:rsidP="00E85CAF">
            <w:pPr>
              <w:jc w:val="both"/>
              <w:rPr>
                <w:sz w:val="24"/>
                <w:szCs w:val="24"/>
              </w:rPr>
            </w:pPr>
          </w:p>
          <w:p w:rsidR="00E85CAF" w:rsidRDefault="00E85CAF" w:rsidP="00E85CAF">
            <w:pPr>
              <w:jc w:val="both"/>
              <w:rPr>
                <w:sz w:val="24"/>
                <w:szCs w:val="24"/>
              </w:rPr>
            </w:pPr>
            <w:r w:rsidRPr="003C62BA">
              <w:rPr>
                <w:b/>
                <w:sz w:val="24"/>
                <w:szCs w:val="24"/>
              </w:rPr>
              <w:t>Exportul</w:t>
            </w:r>
            <w:r w:rsidRPr="003C62BA">
              <w:rPr>
                <w:sz w:val="24"/>
                <w:szCs w:val="24"/>
              </w:rPr>
              <w:t xml:space="preserve"> </w:t>
            </w:r>
            <w:r>
              <w:rPr>
                <w:sz w:val="24"/>
                <w:szCs w:val="24"/>
              </w:rPr>
              <w:t>–</w:t>
            </w:r>
            <w:r w:rsidRPr="003C62BA">
              <w:rPr>
                <w:sz w:val="24"/>
                <w:szCs w:val="24"/>
              </w:rPr>
              <w:t xml:space="preserve"> </w:t>
            </w:r>
            <w:r>
              <w:rPr>
                <w:b/>
                <w:sz w:val="24"/>
                <w:szCs w:val="24"/>
              </w:rPr>
              <w:t>1</w:t>
            </w:r>
            <w:proofErr w:type="gramStart"/>
            <w:r>
              <w:rPr>
                <w:b/>
                <w:sz w:val="24"/>
                <w:szCs w:val="24"/>
              </w:rPr>
              <w:t>,6</w:t>
            </w:r>
            <w:proofErr w:type="gramEnd"/>
            <w:r>
              <w:rPr>
                <w:b/>
                <w:sz w:val="24"/>
                <w:szCs w:val="24"/>
              </w:rPr>
              <w:t xml:space="preserve"> mil. USD </w:t>
            </w:r>
            <w:r w:rsidRPr="00B6250A">
              <w:rPr>
                <w:sz w:val="24"/>
                <w:szCs w:val="24"/>
              </w:rPr>
              <w:t>(+</w:t>
            </w:r>
            <w:r>
              <w:rPr>
                <w:sz w:val="24"/>
                <w:szCs w:val="24"/>
              </w:rPr>
              <w:t>2</w:t>
            </w:r>
            <w:proofErr w:type="gramStart"/>
            <w:r>
              <w:rPr>
                <w:sz w:val="24"/>
                <w:szCs w:val="24"/>
              </w:rPr>
              <w:t>,1</w:t>
            </w:r>
            <w:proofErr w:type="gramEnd"/>
            <w:r>
              <w:rPr>
                <w:sz w:val="24"/>
                <w:szCs w:val="24"/>
              </w:rPr>
              <w:t xml:space="preserve"> ori</w:t>
            </w:r>
            <w:r w:rsidRPr="00B6250A">
              <w:rPr>
                <w:sz w:val="24"/>
                <w:szCs w:val="24"/>
              </w:rPr>
              <w:t xml:space="preserve"> </w:t>
            </w:r>
            <w:r w:rsidRPr="003C62BA">
              <w:rPr>
                <w:sz w:val="24"/>
                <w:szCs w:val="24"/>
              </w:rPr>
              <w:t xml:space="preserve">în comparație cu anul 2015). </w:t>
            </w:r>
          </w:p>
          <w:p w:rsidR="00E85CAF" w:rsidRPr="0076190E" w:rsidRDefault="00E85CAF" w:rsidP="00E85CAF">
            <w:pPr>
              <w:jc w:val="both"/>
              <w:rPr>
                <w:sz w:val="24"/>
                <w:szCs w:val="24"/>
              </w:rPr>
            </w:pPr>
          </w:p>
          <w:p w:rsidR="00A40D1E" w:rsidRPr="00303AFF" w:rsidRDefault="00E85CAF" w:rsidP="00B6250A">
            <w:pPr>
              <w:jc w:val="both"/>
              <w:rPr>
                <w:sz w:val="24"/>
                <w:szCs w:val="24"/>
              </w:rPr>
            </w:pPr>
            <w:r w:rsidRPr="003C62BA">
              <w:rPr>
                <w:b/>
                <w:sz w:val="24"/>
                <w:szCs w:val="24"/>
              </w:rPr>
              <w:t>Importul</w:t>
            </w:r>
            <w:r w:rsidRPr="003C62BA">
              <w:rPr>
                <w:sz w:val="24"/>
                <w:szCs w:val="24"/>
              </w:rPr>
              <w:t xml:space="preserve"> </w:t>
            </w:r>
            <w:r>
              <w:rPr>
                <w:sz w:val="24"/>
                <w:szCs w:val="24"/>
              </w:rPr>
              <w:t>–</w:t>
            </w:r>
            <w:r w:rsidRPr="003C62BA">
              <w:rPr>
                <w:sz w:val="24"/>
                <w:szCs w:val="24"/>
              </w:rPr>
              <w:t xml:space="preserve"> </w:t>
            </w:r>
            <w:r>
              <w:rPr>
                <w:b/>
                <w:sz w:val="24"/>
                <w:szCs w:val="24"/>
              </w:rPr>
              <w:t>2</w:t>
            </w:r>
            <w:proofErr w:type="gramStart"/>
            <w:r>
              <w:rPr>
                <w:b/>
                <w:sz w:val="24"/>
                <w:szCs w:val="24"/>
              </w:rPr>
              <w:t>,1</w:t>
            </w:r>
            <w:proofErr w:type="gramEnd"/>
            <w:r w:rsidRPr="003C62BA">
              <w:rPr>
                <w:b/>
                <w:sz w:val="24"/>
                <w:szCs w:val="24"/>
              </w:rPr>
              <w:t xml:space="preserve"> mil. USD </w:t>
            </w:r>
            <w:r>
              <w:rPr>
                <w:sz w:val="24"/>
                <w:szCs w:val="24"/>
              </w:rPr>
              <w:t>(-8</w:t>
            </w:r>
            <w:proofErr w:type="gramStart"/>
            <w:r>
              <w:rPr>
                <w:sz w:val="24"/>
                <w:szCs w:val="24"/>
              </w:rPr>
              <w:t>,55</w:t>
            </w:r>
            <w:proofErr w:type="gramEnd"/>
            <w:r w:rsidRPr="003C62BA">
              <w:rPr>
                <w:sz w:val="24"/>
                <w:szCs w:val="24"/>
              </w:rPr>
              <w:t xml:space="preserve">% în comparație cu anul 2015). </w:t>
            </w:r>
          </w:p>
        </w:tc>
      </w:tr>
    </w:tbl>
    <w:p w:rsidR="00A40D1E" w:rsidRPr="00096632" w:rsidRDefault="00A40D1E" w:rsidP="00A40D1E">
      <w:pPr>
        <w:jc w:val="right"/>
        <w:rPr>
          <w:sz w:val="24"/>
          <w:szCs w:val="24"/>
          <w:lang w:val="en-US"/>
        </w:rPr>
      </w:pPr>
    </w:p>
    <w:p w:rsidR="00A40D1E" w:rsidRDefault="00A40D1E" w:rsidP="00476C63">
      <w:pPr>
        <w:rPr>
          <w:sz w:val="24"/>
          <w:szCs w:val="24"/>
          <w:lang w:val="en-US"/>
        </w:rPr>
      </w:pPr>
    </w:p>
    <w:p w:rsidR="00476C63" w:rsidRDefault="00476C63" w:rsidP="00476C63">
      <w:pPr>
        <w:rPr>
          <w:sz w:val="24"/>
          <w:szCs w:val="24"/>
          <w:lang w:val="en-US"/>
        </w:rPr>
      </w:pPr>
    </w:p>
    <w:p w:rsidR="00A40D1E" w:rsidRDefault="00A40D1E" w:rsidP="00A40D1E">
      <w:pPr>
        <w:jc w:val="right"/>
        <w:rPr>
          <w:sz w:val="24"/>
          <w:szCs w:val="24"/>
          <w:lang w:val="en-US"/>
        </w:rPr>
      </w:pPr>
    </w:p>
    <w:p w:rsidR="00A40D1E" w:rsidRPr="00096632" w:rsidRDefault="00A40D1E" w:rsidP="00A40D1E">
      <w:pPr>
        <w:jc w:val="right"/>
        <w:rPr>
          <w:sz w:val="24"/>
          <w:szCs w:val="24"/>
          <w:lang w:val="en-US"/>
        </w:rPr>
      </w:pPr>
    </w:p>
    <w:p w:rsidR="00A40D1E" w:rsidRDefault="00A40D1E" w:rsidP="00A40D1E">
      <w:pPr>
        <w:jc w:val="right"/>
        <w:rPr>
          <w:sz w:val="24"/>
          <w:szCs w:val="24"/>
          <w:lang w:val="en-US"/>
        </w:rPr>
      </w:pPr>
    </w:p>
    <w:p w:rsidR="00E85CAF" w:rsidRDefault="00E85CAF" w:rsidP="00A40D1E">
      <w:pPr>
        <w:jc w:val="right"/>
        <w:rPr>
          <w:sz w:val="24"/>
          <w:szCs w:val="24"/>
          <w:lang w:val="en-US"/>
        </w:rPr>
      </w:pPr>
    </w:p>
    <w:p w:rsidR="00E85CAF" w:rsidRDefault="00E85CAF" w:rsidP="00A40D1E">
      <w:pPr>
        <w:jc w:val="right"/>
        <w:rPr>
          <w:sz w:val="24"/>
          <w:szCs w:val="24"/>
          <w:lang w:val="en-US"/>
        </w:rPr>
      </w:pPr>
    </w:p>
    <w:p w:rsidR="00E85CAF" w:rsidRDefault="00E85CAF" w:rsidP="00A40D1E">
      <w:pPr>
        <w:jc w:val="right"/>
        <w:rPr>
          <w:sz w:val="24"/>
          <w:szCs w:val="24"/>
          <w:lang w:val="en-US"/>
        </w:rPr>
      </w:pPr>
    </w:p>
    <w:p w:rsidR="00E85CAF" w:rsidRDefault="00E85CAF" w:rsidP="00A40D1E">
      <w:pPr>
        <w:jc w:val="right"/>
        <w:rPr>
          <w:sz w:val="24"/>
          <w:szCs w:val="24"/>
          <w:lang w:val="en-US"/>
        </w:rPr>
      </w:pPr>
    </w:p>
    <w:p w:rsidR="00E85CAF" w:rsidRDefault="00E85CAF" w:rsidP="00A40D1E">
      <w:pPr>
        <w:jc w:val="right"/>
        <w:rPr>
          <w:sz w:val="24"/>
          <w:szCs w:val="24"/>
          <w:lang w:val="en-US"/>
        </w:rPr>
      </w:pPr>
    </w:p>
    <w:p w:rsidR="00E85CAF" w:rsidRPr="00096632" w:rsidRDefault="00E85CAF" w:rsidP="00A40D1E">
      <w:pPr>
        <w:jc w:val="right"/>
        <w:rPr>
          <w:sz w:val="24"/>
          <w:szCs w:val="24"/>
          <w:lang w:val="en-US"/>
        </w:rPr>
      </w:pPr>
      <w:bookmarkStart w:id="0" w:name="_GoBack"/>
      <w:bookmarkEnd w:id="0"/>
    </w:p>
    <w:p w:rsidR="00A40D1E" w:rsidRPr="00E673F2" w:rsidRDefault="00A40D1E" w:rsidP="00A40D1E">
      <w:pPr>
        <w:jc w:val="right"/>
        <w:rPr>
          <w:sz w:val="24"/>
          <w:szCs w:val="24"/>
        </w:rPr>
      </w:pPr>
      <w:r w:rsidRPr="00E673F2">
        <w:rPr>
          <w:sz w:val="24"/>
          <w:szCs w:val="24"/>
        </w:rPr>
        <w:lastRenderedPageBreak/>
        <w:t>Anexa 1</w:t>
      </w:r>
    </w:p>
    <w:p w:rsidR="00A40D1E" w:rsidRDefault="00A40D1E" w:rsidP="00A40D1E">
      <w:pPr>
        <w:jc w:val="center"/>
        <w:rPr>
          <w:b/>
          <w:sz w:val="24"/>
          <w:szCs w:val="24"/>
        </w:rPr>
      </w:pPr>
      <w:r w:rsidRPr="00E673F2">
        <w:rPr>
          <w:b/>
          <w:sz w:val="24"/>
          <w:szCs w:val="24"/>
        </w:rPr>
        <w:t>Evoluţia schimburilor comerciale</w:t>
      </w:r>
    </w:p>
    <w:p w:rsidR="00A40D1E" w:rsidRPr="00431CBD" w:rsidRDefault="00A40D1E" w:rsidP="00A40D1E">
      <w:pPr>
        <w:jc w:val="center"/>
        <w:rPr>
          <w:b/>
          <w:sz w:val="24"/>
          <w:szCs w:val="24"/>
        </w:rPr>
      </w:pPr>
      <w:r w:rsidRPr="00E673F2">
        <w:rPr>
          <w:b/>
          <w:sz w:val="24"/>
          <w:szCs w:val="24"/>
        </w:rPr>
        <w:t xml:space="preserve"> </w:t>
      </w:r>
      <w:proofErr w:type="gramStart"/>
      <w:r w:rsidRPr="00E673F2">
        <w:rPr>
          <w:b/>
          <w:sz w:val="24"/>
          <w:szCs w:val="24"/>
        </w:rPr>
        <w:t>între</w:t>
      </w:r>
      <w:proofErr w:type="gramEnd"/>
      <w:r w:rsidRPr="00E673F2">
        <w:rPr>
          <w:b/>
          <w:sz w:val="24"/>
          <w:szCs w:val="24"/>
        </w:rPr>
        <w:t xml:space="preserve"> </w:t>
      </w:r>
      <w:r>
        <w:rPr>
          <w:b/>
          <w:sz w:val="24"/>
          <w:szCs w:val="24"/>
        </w:rPr>
        <w:t xml:space="preserve">Republica </w:t>
      </w:r>
      <w:r w:rsidRPr="00E673F2">
        <w:rPr>
          <w:b/>
          <w:sz w:val="24"/>
          <w:szCs w:val="24"/>
        </w:rPr>
        <w:t xml:space="preserve">Moldova şi </w:t>
      </w:r>
      <w:r w:rsidR="00B6250A">
        <w:rPr>
          <w:b/>
          <w:sz w:val="24"/>
          <w:szCs w:val="24"/>
        </w:rPr>
        <w:t>Bosnia și Hețegovina</w:t>
      </w:r>
      <w:r>
        <w:rPr>
          <w:b/>
          <w:sz w:val="24"/>
          <w:szCs w:val="24"/>
        </w:rPr>
        <w:t xml:space="preserve"> pentru anul 2016</w:t>
      </w:r>
    </w:p>
    <w:p w:rsidR="00A40D1E" w:rsidRPr="00431CBD" w:rsidRDefault="00A40D1E" w:rsidP="00A40D1E">
      <w:pPr>
        <w:rPr>
          <w:b/>
          <w:sz w:val="24"/>
          <w:szCs w:val="24"/>
          <w:u w:val="single"/>
          <w:lang w:val="en-US"/>
        </w:rPr>
      </w:pPr>
    </w:p>
    <w:p w:rsidR="00A40D1E" w:rsidRPr="003C62BA" w:rsidRDefault="00A40D1E" w:rsidP="00A40D1E">
      <w:pPr>
        <w:rPr>
          <w:b/>
          <w:sz w:val="24"/>
          <w:szCs w:val="24"/>
          <w:u w:val="single"/>
        </w:rPr>
      </w:pPr>
      <w:r w:rsidRPr="003C62BA">
        <w:rPr>
          <w:b/>
          <w:sz w:val="24"/>
          <w:szCs w:val="24"/>
          <w:u w:val="single"/>
        </w:rPr>
        <w:t>Comerțul bilateral în anul 2016</w:t>
      </w:r>
    </w:p>
    <w:p w:rsidR="00A40D1E" w:rsidRDefault="00A40D1E" w:rsidP="00A40D1E">
      <w:pPr>
        <w:spacing w:before="120"/>
        <w:jc w:val="both"/>
        <w:outlineLvl w:val="2"/>
        <w:rPr>
          <w:sz w:val="24"/>
          <w:szCs w:val="24"/>
        </w:rPr>
      </w:pPr>
      <w:r w:rsidRPr="003C62BA">
        <w:rPr>
          <w:b/>
          <w:sz w:val="24"/>
          <w:szCs w:val="24"/>
        </w:rPr>
        <w:t>Volumul comerţului exterior</w:t>
      </w:r>
      <w:r w:rsidRPr="003C62BA">
        <w:rPr>
          <w:sz w:val="24"/>
          <w:szCs w:val="24"/>
        </w:rPr>
        <w:t xml:space="preserve"> al Republicii Moldova cu </w:t>
      </w:r>
      <w:r w:rsidR="00B6250A">
        <w:rPr>
          <w:sz w:val="24"/>
          <w:szCs w:val="24"/>
        </w:rPr>
        <w:t>Bosnia și Herțegovina</w:t>
      </w:r>
      <w:r w:rsidRPr="003C62BA">
        <w:rPr>
          <w:sz w:val="24"/>
          <w:szCs w:val="24"/>
        </w:rPr>
        <w:t xml:space="preserve"> în anul 2016 a înregistrat suma de </w:t>
      </w:r>
      <w:r w:rsidR="00B6250A">
        <w:rPr>
          <w:b/>
          <w:sz w:val="24"/>
          <w:szCs w:val="24"/>
        </w:rPr>
        <w:t>3</w:t>
      </w:r>
      <w:proofErr w:type="gramStart"/>
      <w:r w:rsidR="00B6250A">
        <w:rPr>
          <w:b/>
          <w:sz w:val="24"/>
          <w:szCs w:val="24"/>
        </w:rPr>
        <w:t>,7</w:t>
      </w:r>
      <w:proofErr w:type="gramEnd"/>
      <w:r w:rsidRPr="003C62BA">
        <w:rPr>
          <w:b/>
          <w:sz w:val="24"/>
          <w:szCs w:val="24"/>
        </w:rPr>
        <w:t xml:space="preserve"> mil. USD</w:t>
      </w:r>
      <w:r>
        <w:rPr>
          <w:sz w:val="24"/>
          <w:szCs w:val="24"/>
        </w:rPr>
        <w:t xml:space="preserve"> (-</w:t>
      </w:r>
      <w:r w:rsidR="00B6250A">
        <w:rPr>
          <w:sz w:val="24"/>
          <w:szCs w:val="24"/>
        </w:rPr>
        <w:t>36</w:t>
      </w:r>
      <w:proofErr w:type="gramStart"/>
      <w:r w:rsidR="00B6250A">
        <w:rPr>
          <w:sz w:val="24"/>
          <w:szCs w:val="24"/>
        </w:rPr>
        <w:t>,74</w:t>
      </w:r>
      <w:proofErr w:type="gramEnd"/>
      <w:r>
        <w:rPr>
          <w:sz w:val="24"/>
          <w:szCs w:val="24"/>
        </w:rPr>
        <w:t xml:space="preserve">% în comparaţie cu </w:t>
      </w:r>
      <w:r w:rsidRPr="003C62BA">
        <w:rPr>
          <w:sz w:val="24"/>
          <w:szCs w:val="24"/>
        </w:rPr>
        <w:t xml:space="preserve">anul 2015). </w:t>
      </w:r>
      <w:r w:rsidRPr="00E673F2">
        <w:rPr>
          <w:sz w:val="24"/>
          <w:szCs w:val="24"/>
        </w:rPr>
        <w:t xml:space="preserve">După valoarea volumului schimburilor comerciale, înregistrat în perioada analizată, </w:t>
      </w:r>
      <w:r w:rsidR="00B6250A">
        <w:rPr>
          <w:sz w:val="24"/>
          <w:szCs w:val="24"/>
        </w:rPr>
        <w:t>Bosnia și Herțegovina</w:t>
      </w:r>
      <w:r w:rsidR="00B6250A" w:rsidRPr="003C62BA">
        <w:rPr>
          <w:sz w:val="24"/>
          <w:szCs w:val="24"/>
        </w:rPr>
        <w:t xml:space="preserve"> </w:t>
      </w:r>
      <w:r w:rsidRPr="00E673F2">
        <w:rPr>
          <w:sz w:val="24"/>
          <w:szCs w:val="24"/>
        </w:rPr>
        <w:t xml:space="preserve">se situează pe </w:t>
      </w:r>
      <w:r w:rsidRPr="00E673F2">
        <w:rPr>
          <w:b/>
          <w:sz w:val="24"/>
          <w:szCs w:val="24"/>
        </w:rPr>
        <w:t>locul</w:t>
      </w:r>
      <w:r w:rsidRPr="00E673F2">
        <w:rPr>
          <w:sz w:val="24"/>
          <w:szCs w:val="24"/>
        </w:rPr>
        <w:t xml:space="preserve"> </w:t>
      </w:r>
      <w:r w:rsidR="00B6250A">
        <w:rPr>
          <w:b/>
          <w:sz w:val="24"/>
          <w:szCs w:val="24"/>
        </w:rPr>
        <w:t>60</w:t>
      </w:r>
      <w:r w:rsidRPr="00E673F2">
        <w:rPr>
          <w:sz w:val="24"/>
          <w:szCs w:val="24"/>
        </w:rPr>
        <w:t xml:space="preserve"> </w:t>
      </w:r>
      <w:r>
        <w:rPr>
          <w:sz w:val="24"/>
          <w:szCs w:val="24"/>
        </w:rPr>
        <w:t xml:space="preserve">la nivel mondial </w:t>
      </w:r>
      <w:r w:rsidRPr="00E673F2">
        <w:rPr>
          <w:sz w:val="24"/>
          <w:szCs w:val="24"/>
        </w:rPr>
        <w:t xml:space="preserve">între țările partenere cu care Republica Moldova întreţine relaţii comerciale, deţinând o </w:t>
      </w:r>
      <w:r w:rsidRPr="00E673F2">
        <w:rPr>
          <w:b/>
          <w:sz w:val="24"/>
          <w:szCs w:val="24"/>
        </w:rPr>
        <w:t>pondere</w:t>
      </w:r>
      <w:r w:rsidRPr="00E673F2">
        <w:rPr>
          <w:sz w:val="24"/>
          <w:szCs w:val="24"/>
        </w:rPr>
        <w:t xml:space="preserve"> de </w:t>
      </w:r>
      <w:r>
        <w:rPr>
          <w:b/>
          <w:sz w:val="24"/>
          <w:szCs w:val="24"/>
        </w:rPr>
        <w:t>0</w:t>
      </w:r>
      <w:proofErr w:type="gramStart"/>
      <w:r>
        <w:rPr>
          <w:b/>
          <w:sz w:val="24"/>
          <w:szCs w:val="24"/>
        </w:rPr>
        <w:t>,</w:t>
      </w:r>
      <w:r w:rsidR="00B6250A">
        <w:rPr>
          <w:b/>
          <w:sz w:val="24"/>
          <w:szCs w:val="24"/>
        </w:rPr>
        <w:t>0</w:t>
      </w:r>
      <w:r>
        <w:rPr>
          <w:b/>
          <w:sz w:val="24"/>
          <w:szCs w:val="24"/>
        </w:rPr>
        <w:t>6</w:t>
      </w:r>
      <w:proofErr w:type="gramEnd"/>
      <w:r>
        <w:rPr>
          <w:b/>
          <w:sz w:val="24"/>
          <w:szCs w:val="24"/>
        </w:rPr>
        <w:t xml:space="preserve">% </w:t>
      </w:r>
      <w:r w:rsidRPr="00E673F2">
        <w:rPr>
          <w:sz w:val="24"/>
          <w:szCs w:val="24"/>
        </w:rPr>
        <w:t>în comerțul total al R</w:t>
      </w:r>
      <w:r>
        <w:rPr>
          <w:sz w:val="24"/>
          <w:szCs w:val="24"/>
        </w:rPr>
        <w:t xml:space="preserve">epublicii </w:t>
      </w:r>
      <w:r w:rsidRPr="00E673F2">
        <w:rPr>
          <w:sz w:val="24"/>
          <w:szCs w:val="24"/>
        </w:rPr>
        <w:t>M</w:t>
      </w:r>
      <w:r>
        <w:rPr>
          <w:sz w:val="24"/>
          <w:szCs w:val="24"/>
        </w:rPr>
        <w:t>oldova</w:t>
      </w:r>
      <w:r w:rsidRPr="00E673F2">
        <w:rPr>
          <w:sz w:val="24"/>
          <w:szCs w:val="24"/>
        </w:rPr>
        <w:t>.</w:t>
      </w:r>
      <w:r w:rsidR="00B6250A">
        <w:rPr>
          <w:sz w:val="24"/>
          <w:szCs w:val="24"/>
        </w:rPr>
        <w:t xml:space="preserve"> </w:t>
      </w:r>
    </w:p>
    <w:p w:rsidR="00E85CAF" w:rsidRDefault="00E85CAF" w:rsidP="00A40D1E">
      <w:pPr>
        <w:spacing w:before="120"/>
        <w:jc w:val="both"/>
        <w:outlineLvl w:val="2"/>
        <w:rPr>
          <w:sz w:val="24"/>
          <w:szCs w:val="24"/>
        </w:rPr>
      </w:pPr>
    </w:p>
    <w:p w:rsidR="00A40D1E" w:rsidRDefault="00A40D1E" w:rsidP="00A40D1E">
      <w:pPr>
        <w:jc w:val="both"/>
        <w:rPr>
          <w:sz w:val="24"/>
          <w:szCs w:val="24"/>
        </w:rPr>
      </w:pPr>
      <w:r w:rsidRPr="003C62BA">
        <w:rPr>
          <w:b/>
          <w:sz w:val="24"/>
          <w:szCs w:val="24"/>
        </w:rPr>
        <w:t>Sold</w:t>
      </w:r>
      <w:r w:rsidRPr="003C62BA">
        <w:rPr>
          <w:sz w:val="24"/>
          <w:szCs w:val="24"/>
        </w:rPr>
        <w:t xml:space="preserve"> </w:t>
      </w:r>
      <w:r>
        <w:rPr>
          <w:sz w:val="24"/>
          <w:szCs w:val="24"/>
        </w:rPr>
        <w:t>–</w:t>
      </w:r>
      <w:r w:rsidRPr="003C62BA">
        <w:rPr>
          <w:sz w:val="24"/>
          <w:szCs w:val="24"/>
        </w:rPr>
        <w:t xml:space="preserve"> </w:t>
      </w:r>
      <w:r w:rsidR="00B6250A">
        <w:rPr>
          <w:b/>
          <w:color w:val="000000"/>
          <w:sz w:val="24"/>
          <w:szCs w:val="24"/>
        </w:rPr>
        <w:t>0</w:t>
      </w:r>
      <w:proofErr w:type="gramStart"/>
      <w:r w:rsidR="00B6250A">
        <w:rPr>
          <w:b/>
          <w:color w:val="000000"/>
          <w:sz w:val="24"/>
          <w:szCs w:val="24"/>
        </w:rPr>
        <w:t>,5</w:t>
      </w:r>
      <w:proofErr w:type="gramEnd"/>
      <w:r w:rsidRPr="003C62BA">
        <w:rPr>
          <w:b/>
          <w:color w:val="000000"/>
          <w:sz w:val="24"/>
          <w:szCs w:val="24"/>
        </w:rPr>
        <w:t xml:space="preserve"> </w:t>
      </w:r>
      <w:r w:rsidRPr="003C62BA">
        <w:rPr>
          <w:b/>
          <w:sz w:val="24"/>
          <w:szCs w:val="24"/>
        </w:rPr>
        <w:t xml:space="preserve">mil. </w:t>
      </w:r>
      <w:proofErr w:type="gramStart"/>
      <w:r w:rsidRPr="003C62BA">
        <w:rPr>
          <w:b/>
          <w:sz w:val="24"/>
          <w:szCs w:val="24"/>
        </w:rPr>
        <w:t xml:space="preserve">USD </w:t>
      </w:r>
      <w:r w:rsidRPr="003C62BA">
        <w:rPr>
          <w:sz w:val="24"/>
          <w:szCs w:val="24"/>
        </w:rPr>
        <w:t xml:space="preserve">în favoarea </w:t>
      </w:r>
      <w:r w:rsidR="00B6250A">
        <w:rPr>
          <w:sz w:val="24"/>
          <w:szCs w:val="24"/>
        </w:rPr>
        <w:t>Bosniei și Herțegovinei</w:t>
      </w:r>
      <w:r w:rsidRPr="003C62BA">
        <w:rPr>
          <w:sz w:val="24"/>
          <w:szCs w:val="24"/>
        </w:rPr>
        <w:t>.</w:t>
      </w:r>
      <w:proofErr w:type="gramEnd"/>
    </w:p>
    <w:p w:rsidR="00B6250A" w:rsidRPr="003C62BA" w:rsidRDefault="00B6250A" w:rsidP="00A40D1E">
      <w:pPr>
        <w:jc w:val="both"/>
        <w:rPr>
          <w:sz w:val="24"/>
          <w:szCs w:val="24"/>
        </w:rPr>
      </w:pPr>
    </w:p>
    <w:p w:rsidR="00A40D1E" w:rsidRDefault="00A40D1E" w:rsidP="00A40D1E">
      <w:pPr>
        <w:jc w:val="both"/>
        <w:rPr>
          <w:sz w:val="24"/>
          <w:szCs w:val="24"/>
        </w:rPr>
      </w:pPr>
      <w:r w:rsidRPr="003C62BA">
        <w:rPr>
          <w:b/>
          <w:sz w:val="24"/>
          <w:szCs w:val="24"/>
        </w:rPr>
        <w:t>Exportul</w:t>
      </w:r>
      <w:r w:rsidRPr="003C62BA">
        <w:rPr>
          <w:sz w:val="24"/>
          <w:szCs w:val="24"/>
        </w:rPr>
        <w:t xml:space="preserve"> </w:t>
      </w:r>
      <w:r>
        <w:rPr>
          <w:sz w:val="24"/>
          <w:szCs w:val="24"/>
        </w:rPr>
        <w:t>–</w:t>
      </w:r>
      <w:r w:rsidRPr="003C62BA">
        <w:rPr>
          <w:sz w:val="24"/>
          <w:szCs w:val="24"/>
        </w:rPr>
        <w:t xml:space="preserve"> </w:t>
      </w:r>
      <w:r w:rsidR="00B6250A">
        <w:rPr>
          <w:b/>
          <w:sz w:val="24"/>
          <w:szCs w:val="24"/>
        </w:rPr>
        <w:t>1</w:t>
      </w:r>
      <w:proofErr w:type="gramStart"/>
      <w:r w:rsidR="00B6250A">
        <w:rPr>
          <w:b/>
          <w:sz w:val="24"/>
          <w:szCs w:val="24"/>
        </w:rPr>
        <w:t>,6</w:t>
      </w:r>
      <w:proofErr w:type="gramEnd"/>
      <w:r>
        <w:rPr>
          <w:b/>
          <w:sz w:val="24"/>
          <w:szCs w:val="24"/>
        </w:rPr>
        <w:t xml:space="preserve"> mil. USD </w:t>
      </w:r>
      <w:r w:rsidRPr="00B6250A">
        <w:rPr>
          <w:sz w:val="24"/>
          <w:szCs w:val="24"/>
        </w:rPr>
        <w:t>(+</w:t>
      </w:r>
      <w:r w:rsidR="00B6250A">
        <w:rPr>
          <w:sz w:val="24"/>
          <w:szCs w:val="24"/>
        </w:rPr>
        <w:t>2</w:t>
      </w:r>
      <w:proofErr w:type="gramStart"/>
      <w:r w:rsidR="00B6250A">
        <w:rPr>
          <w:sz w:val="24"/>
          <w:szCs w:val="24"/>
        </w:rPr>
        <w:t>,1</w:t>
      </w:r>
      <w:proofErr w:type="gramEnd"/>
      <w:r w:rsidR="00B6250A">
        <w:rPr>
          <w:sz w:val="24"/>
          <w:szCs w:val="24"/>
        </w:rPr>
        <w:t xml:space="preserve"> ori</w:t>
      </w:r>
      <w:r w:rsidRPr="00B6250A">
        <w:rPr>
          <w:sz w:val="24"/>
          <w:szCs w:val="24"/>
        </w:rPr>
        <w:t xml:space="preserve"> </w:t>
      </w:r>
      <w:r w:rsidRPr="003C62BA">
        <w:rPr>
          <w:sz w:val="24"/>
          <w:szCs w:val="24"/>
        </w:rPr>
        <w:t xml:space="preserve">în comparație cu anul 2015). </w:t>
      </w:r>
    </w:p>
    <w:p w:rsidR="00B6250A" w:rsidRPr="0076190E" w:rsidRDefault="00B6250A" w:rsidP="00A40D1E">
      <w:pPr>
        <w:jc w:val="both"/>
        <w:rPr>
          <w:sz w:val="24"/>
          <w:szCs w:val="24"/>
        </w:rPr>
      </w:pPr>
    </w:p>
    <w:p w:rsidR="00A40D1E" w:rsidRDefault="00A40D1E" w:rsidP="00A40D1E">
      <w:pPr>
        <w:jc w:val="both"/>
        <w:rPr>
          <w:sz w:val="24"/>
          <w:szCs w:val="24"/>
        </w:rPr>
      </w:pPr>
      <w:r w:rsidRPr="003C62BA">
        <w:rPr>
          <w:b/>
          <w:sz w:val="24"/>
          <w:szCs w:val="24"/>
        </w:rPr>
        <w:t>Importul</w:t>
      </w:r>
      <w:r w:rsidRPr="003C62BA">
        <w:rPr>
          <w:sz w:val="24"/>
          <w:szCs w:val="24"/>
        </w:rPr>
        <w:t xml:space="preserve"> </w:t>
      </w:r>
      <w:r>
        <w:rPr>
          <w:sz w:val="24"/>
          <w:szCs w:val="24"/>
        </w:rPr>
        <w:t>–</w:t>
      </w:r>
      <w:r w:rsidRPr="003C62BA">
        <w:rPr>
          <w:sz w:val="24"/>
          <w:szCs w:val="24"/>
        </w:rPr>
        <w:t xml:space="preserve"> </w:t>
      </w:r>
      <w:r w:rsidR="00B6250A">
        <w:rPr>
          <w:b/>
          <w:sz w:val="24"/>
          <w:szCs w:val="24"/>
        </w:rPr>
        <w:t>2</w:t>
      </w:r>
      <w:proofErr w:type="gramStart"/>
      <w:r w:rsidR="00B6250A">
        <w:rPr>
          <w:b/>
          <w:sz w:val="24"/>
          <w:szCs w:val="24"/>
        </w:rPr>
        <w:t>,1</w:t>
      </w:r>
      <w:proofErr w:type="gramEnd"/>
      <w:r w:rsidRPr="003C62BA">
        <w:rPr>
          <w:b/>
          <w:sz w:val="24"/>
          <w:szCs w:val="24"/>
        </w:rPr>
        <w:t xml:space="preserve"> mil. USD </w:t>
      </w:r>
      <w:r>
        <w:rPr>
          <w:sz w:val="24"/>
          <w:szCs w:val="24"/>
        </w:rPr>
        <w:t>(-</w:t>
      </w:r>
      <w:r w:rsidR="00B6250A">
        <w:rPr>
          <w:sz w:val="24"/>
          <w:szCs w:val="24"/>
        </w:rPr>
        <w:t>8</w:t>
      </w:r>
      <w:proofErr w:type="gramStart"/>
      <w:r w:rsidR="00B6250A">
        <w:rPr>
          <w:sz w:val="24"/>
          <w:szCs w:val="24"/>
        </w:rPr>
        <w:t>,55</w:t>
      </w:r>
      <w:proofErr w:type="gramEnd"/>
      <w:r w:rsidRPr="003C62BA">
        <w:rPr>
          <w:sz w:val="24"/>
          <w:szCs w:val="24"/>
        </w:rPr>
        <w:t xml:space="preserve">% în comparație cu anul 2015). </w:t>
      </w:r>
    </w:p>
    <w:p w:rsidR="00A40D1E" w:rsidRDefault="00A40D1E" w:rsidP="00A40D1E">
      <w:pPr>
        <w:jc w:val="center"/>
        <w:rPr>
          <w:b/>
          <w:sz w:val="24"/>
          <w:szCs w:val="24"/>
          <w:lang w:val="en-US"/>
        </w:rPr>
      </w:pPr>
    </w:p>
    <w:p w:rsidR="00E85CAF" w:rsidRPr="0076190E" w:rsidRDefault="00E85CAF" w:rsidP="00A40D1E">
      <w:pPr>
        <w:jc w:val="center"/>
        <w:rPr>
          <w:b/>
          <w:sz w:val="24"/>
          <w:szCs w:val="24"/>
          <w:lang w:val="en-US"/>
        </w:rPr>
      </w:pPr>
    </w:p>
    <w:p w:rsidR="00A40D1E" w:rsidRPr="00CA3492" w:rsidRDefault="00A40D1E" w:rsidP="00A40D1E">
      <w:pPr>
        <w:jc w:val="center"/>
        <w:rPr>
          <w:b/>
          <w:sz w:val="24"/>
          <w:szCs w:val="24"/>
        </w:rPr>
      </w:pPr>
      <w:r w:rsidRPr="00CA3492">
        <w:rPr>
          <w:b/>
          <w:sz w:val="24"/>
          <w:szCs w:val="24"/>
        </w:rPr>
        <w:t xml:space="preserve">Evoluția schimburilor comerciale bilaterale între Republica Moldova și </w:t>
      </w:r>
      <w:r w:rsidR="00476C63">
        <w:rPr>
          <w:b/>
          <w:sz w:val="24"/>
          <w:szCs w:val="24"/>
        </w:rPr>
        <w:t>Bosnia și Herțegovina</w:t>
      </w:r>
      <w:r w:rsidRPr="00CA3492">
        <w:rPr>
          <w:b/>
          <w:sz w:val="24"/>
          <w:szCs w:val="24"/>
        </w:rPr>
        <w:t xml:space="preserve"> în perioada 2015-2016</w:t>
      </w:r>
      <w:r>
        <w:rPr>
          <w:b/>
          <w:sz w:val="24"/>
          <w:szCs w:val="24"/>
        </w:rPr>
        <w:br/>
      </w:r>
      <w:r w:rsidRPr="00CA3492">
        <w:rPr>
          <w:b/>
          <w:sz w:val="24"/>
          <w:szCs w:val="24"/>
        </w:rPr>
        <w:t xml:space="preserve">                                                                                                           (mi</w:t>
      </w:r>
      <w:r w:rsidR="00B6250A">
        <w:rPr>
          <w:b/>
          <w:sz w:val="24"/>
          <w:szCs w:val="24"/>
        </w:rPr>
        <w:t>i</w:t>
      </w:r>
      <w:r w:rsidRPr="00CA3492">
        <w:rPr>
          <w:b/>
          <w:sz w:val="24"/>
          <w:szCs w:val="24"/>
        </w:rPr>
        <w:t xml:space="preserve">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A40D1E" w:rsidRPr="00B6250A" w:rsidTr="00B6250A">
        <w:trPr>
          <w:trHeight w:val="649"/>
          <w:jc w:val="center"/>
        </w:trPr>
        <w:tc>
          <w:tcPr>
            <w:tcW w:w="1275" w:type="dxa"/>
            <w:tcBorders>
              <w:top w:val="single" w:sz="6" w:space="0" w:color="auto"/>
            </w:tcBorders>
            <w:vAlign w:val="center"/>
          </w:tcPr>
          <w:p w:rsidR="00A40D1E" w:rsidRPr="00B6250A" w:rsidRDefault="00A40D1E" w:rsidP="00B6250A">
            <w:pPr>
              <w:jc w:val="center"/>
              <w:rPr>
                <w:b/>
                <w:i/>
                <w:color w:val="000000"/>
                <w:sz w:val="24"/>
                <w:szCs w:val="24"/>
              </w:rPr>
            </w:pPr>
          </w:p>
        </w:tc>
        <w:tc>
          <w:tcPr>
            <w:tcW w:w="2552" w:type="dxa"/>
            <w:tcBorders>
              <w:top w:val="single" w:sz="6" w:space="0" w:color="auto"/>
            </w:tcBorders>
            <w:vAlign w:val="center"/>
          </w:tcPr>
          <w:p w:rsidR="00A40D1E" w:rsidRPr="00B6250A" w:rsidRDefault="00A40D1E" w:rsidP="00B6250A">
            <w:pPr>
              <w:jc w:val="center"/>
              <w:rPr>
                <w:b/>
                <w:i/>
                <w:color w:val="000000"/>
                <w:sz w:val="24"/>
                <w:szCs w:val="24"/>
              </w:rPr>
            </w:pPr>
            <w:r w:rsidRPr="00B6250A">
              <w:rPr>
                <w:b/>
                <w:i/>
                <w:sz w:val="24"/>
                <w:szCs w:val="24"/>
              </w:rPr>
              <w:t>2015</w:t>
            </w:r>
          </w:p>
        </w:tc>
        <w:tc>
          <w:tcPr>
            <w:tcW w:w="2381" w:type="dxa"/>
            <w:tcBorders>
              <w:top w:val="single" w:sz="6" w:space="0" w:color="auto"/>
            </w:tcBorders>
            <w:shd w:val="clear" w:color="auto" w:fill="D9D9D9"/>
            <w:vAlign w:val="center"/>
          </w:tcPr>
          <w:p w:rsidR="00A40D1E" w:rsidRPr="00B6250A" w:rsidRDefault="00A40D1E" w:rsidP="00B6250A">
            <w:pPr>
              <w:jc w:val="center"/>
              <w:rPr>
                <w:b/>
                <w:i/>
                <w:color w:val="000000"/>
                <w:sz w:val="24"/>
                <w:szCs w:val="24"/>
              </w:rPr>
            </w:pPr>
            <w:r w:rsidRPr="00B6250A">
              <w:rPr>
                <w:b/>
                <w:i/>
                <w:sz w:val="24"/>
                <w:szCs w:val="24"/>
              </w:rPr>
              <w:t>2016</w:t>
            </w:r>
          </w:p>
        </w:tc>
        <w:tc>
          <w:tcPr>
            <w:tcW w:w="2010" w:type="dxa"/>
            <w:tcBorders>
              <w:top w:val="single" w:sz="6" w:space="0" w:color="auto"/>
            </w:tcBorders>
            <w:vAlign w:val="center"/>
          </w:tcPr>
          <w:p w:rsidR="00A40D1E" w:rsidRPr="00B6250A" w:rsidRDefault="00B6250A" w:rsidP="00B6250A">
            <w:pPr>
              <w:jc w:val="center"/>
              <w:rPr>
                <w:b/>
                <w:i/>
                <w:color w:val="000000"/>
                <w:sz w:val="24"/>
                <w:szCs w:val="24"/>
              </w:rPr>
            </w:pPr>
            <w:r w:rsidRPr="00B6250A">
              <w:rPr>
                <w:b/>
                <w:i/>
                <w:color w:val="000000"/>
                <w:sz w:val="24"/>
                <w:szCs w:val="24"/>
              </w:rPr>
              <w:t>Dinamica 2016/2015</w:t>
            </w:r>
            <w:r w:rsidR="00A40D1E" w:rsidRPr="00B6250A">
              <w:rPr>
                <w:b/>
                <w:i/>
                <w:color w:val="000000"/>
                <w:sz w:val="24"/>
                <w:szCs w:val="24"/>
              </w:rPr>
              <w:t>(%)</w:t>
            </w:r>
          </w:p>
        </w:tc>
      </w:tr>
      <w:tr w:rsidR="00A40D1E" w:rsidRPr="00B6250A" w:rsidTr="00B6250A">
        <w:trPr>
          <w:trHeight w:hRule="exact" w:val="340"/>
          <w:jc w:val="center"/>
        </w:trPr>
        <w:tc>
          <w:tcPr>
            <w:tcW w:w="1275" w:type="dxa"/>
          </w:tcPr>
          <w:p w:rsidR="00A40D1E" w:rsidRPr="00B6250A" w:rsidRDefault="00A40D1E" w:rsidP="00B6250A">
            <w:pPr>
              <w:rPr>
                <w:b/>
                <w:i/>
                <w:color w:val="000000"/>
                <w:sz w:val="24"/>
                <w:szCs w:val="24"/>
              </w:rPr>
            </w:pPr>
            <w:r w:rsidRPr="00B6250A">
              <w:rPr>
                <w:b/>
                <w:i/>
                <w:color w:val="000000"/>
                <w:sz w:val="24"/>
                <w:szCs w:val="24"/>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B6250A" w:rsidRPr="00B6250A" w:rsidRDefault="00B6250A" w:rsidP="00B6250A">
            <w:pPr>
              <w:jc w:val="center"/>
              <w:rPr>
                <w:b/>
                <w:sz w:val="24"/>
                <w:szCs w:val="24"/>
              </w:rPr>
            </w:pPr>
            <w:r w:rsidRPr="00B6250A">
              <w:rPr>
                <w:b/>
                <w:sz w:val="24"/>
                <w:szCs w:val="24"/>
              </w:rPr>
              <w:t>2 714,24</w:t>
            </w:r>
          </w:p>
          <w:p w:rsidR="00A40D1E" w:rsidRPr="00B6250A" w:rsidRDefault="00A40D1E" w:rsidP="00B6250A">
            <w:pPr>
              <w:jc w:val="center"/>
              <w:rPr>
                <w:b/>
                <w:color w:val="000000"/>
                <w:sz w:val="24"/>
                <w:szCs w:val="24"/>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B6250A" w:rsidRPr="00B6250A" w:rsidRDefault="00B6250A" w:rsidP="00B6250A">
            <w:pPr>
              <w:jc w:val="center"/>
              <w:rPr>
                <w:b/>
                <w:sz w:val="24"/>
                <w:szCs w:val="24"/>
              </w:rPr>
            </w:pPr>
            <w:r w:rsidRPr="00B6250A">
              <w:rPr>
                <w:b/>
                <w:sz w:val="24"/>
                <w:szCs w:val="24"/>
              </w:rPr>
              <w:t>3 711,46</w:t>
            </w:r>
          </w:p>
          <w:p w:rsidR="00A40D1E" w:rsidRPr="00B6250A" w:rsidRDefault="00A40D1E" w:rsidP="00B6250A">
            <w:pPr>
              <w:jc w:val="center"/>
              <w:rPr>
                <w:b/>
                <w:color w:val="000000"/>
                <w:sz w:val="24"/>
                <w:szCs w:val="24"/>
              </w:rPr>
            </w:pPr>
          </w:p>
        </w:tc>
        <w:tc>
          <w:tcPr>
            <w:tcW w:w="2010" w:type="dxa"/>
            <w:tcBorders>
              <w:top w:val="single" w:sz="4" w:space="0" w:color="auto"/>
              <w:left w:val="nil"/>
              <w:bottom w:val="single" w:sz="4" w:space="0" w:color="auto"/>
              <w:right w:val="single" w:sz="4" w:space="0" w:color="auto"/>
            </w:tcBorders>
            <w:shd w:val="clear" w:color="auto" w:fill="auto"/>
            <w:vAlign w:val="bottom"/>
          </w:tcPr>
          <w:p w:rsidR="00A40D1E" w:rsidRPr="00B6250A" w:rsidRDefault="00B6250A" w:rsidP="00B6250A">
            <w:pPr>
              <w:jc w:val="center"/>
              <w:rPr>
                <w:b/>
                <w:color w:val="000000"/>
                <w:sz w:val="24"/>
                <w:szCs w:val="24"/>
              </w:rPr>
            </w:pPr>
            <w:r>
              <w:rPr>
                <w:b/>
                <w:color w:val="000000"/>
                <w:sz w:val="24"/>
                <w:szCs w:val="24"/>
              </w:rPr>
              <w:t>+36,74%</w:t>
            </w:r>
          </w:p>
        </w:tc>
      </w:tr>
      <w:tr w:rsidR="00A40D1E" w:rsidRPr="00B6250A" w:rsidTr="00B6250A">
        <w:trPr>
          <w:trHeight w:hRule="exact" w:val="340"/>
          <w:jc w:val="center"/>
        </w:trPr>
        <w:tc>
          <w:tcPr>
            <w:tcW w:w="1275" w:type="dxa"/>
          </w:tcPr>
          <w:p w:rsidR="00A40D1E" w:rsidRPr="00B6250A" w:rsidRDefault="00A40D1E" w:rsidP="00B6250A">
            <w:pPr>
              <w:rPr>
                <w:b/>
                <w:i/>
                <w:color w:val="000000"/>
                <w:sz w:val="24"/>
                <w:szCs w:val="24"/>
              </w:rPr>
            </w:pPr>
            <w:r w:rsidRPr="00B6250A">
              <w:rPr>
                <w:b/>
                <w:i/>
                <w:color w:val="000000"/>
                <w:sz w:val="24"/>
                <w:szCs w:val="24"/>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B6250A" w:rsidRPr="00B6250A" w:rsidRDefault="00B6250A" w:rsidP="00B6250A">
            <w:pPr>
              <w:jc w:val="center"/>
              <w:rPr>
                <w:sz w:val="24"/>
                <w:szCs w:val="24"/>
              </w:rPr>
            </w:pPr>
            <w:r w:rsidRPr="00B6250A">
              <w:rPr>
                <w:sz w:val="24"/>
                <w:szCs w:val="24"/>
              </w:rPr>
              <w:t>772,16</w:t>
            </w:r>
          </w:p>
          <w:p w:rsidR="00A40D1E" w:rsidRPr="00B6250A" w:rsidRDefault="00A40D1E" w:rsidP="00B6250A">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B6250A" w:rsidRPr="00B6250A" w:rsidRDefault="00B6250A" w:rsidP="00B6250A">
            <w:pPr>
              <w:jc w:val="center"/>
              <w:rPr>
                <w:sz w:val="24"/>
                <w:szCs w:val="24"/>
              </w:rPr>
            </w:pPr>
            <w:r w:rsidRPr="00B6250A">
              <w:rPr>
                <w:sz w:val="24"/>
                <w:szCs w:val="24"/>
              </w:rPr>
              <w:t>1 603,24</w:t>
            </w:r>
          </w:p>
          <w:p w:rsidR="00A40D1E" w:rsidRPr="00B6250A" w:rsidRDefault="00A40D1E" w:rsidP="00B6250A">
            <w:pPr>
              <w:jc w:val="center"/>
              <w:rPr>
                <w:bCs/>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A40D1E" w:rsidRPr="00B6250A" w:rsidRDefault="00B6250A" w:rsidP="00B6250A">
            <w:pPr>
              <w:jc w:val="center"/>
              <w:rPr>
                <w:color w:val="000000"/>
                <w:sz w:val="24"/>
                <w:szCs w:val="24"/>
              </w:rPr>
            </w:pPr>
            <w:r>
              <w:rPr>
                <w:color w:val="000000"/>
                <w:sz w:val="24"/>
                <w:szCs w:val="24"/>
              </w:rPr>
              <w:t>+2,1 ori</w:t>
            </w:r>
          </w:p>
        </w:tc>
      </w:tr>
      <w:tr w:rsidR="00A40D1E" w:rsidRPr="00B6250A" w:rsidTr="00B6250A">
        <w:trPr>
          <w:trHeight w:hRule="exact" w:val="340"/>
          <w:jc w:val="center"/>
        </w:trPr>
        <w:tc>
          <w:tcPr>
            <w:tcW w:w="1275" w:type="dxa"/>
          </w:tcPr>
          <w:p w:rsidR="00A40D1E" w:rsidRPr="00B6250A" w:rsidRDefault="00A40D1E" w:rsidP="00B6250A">
            <w:pPr>
              <w:rPr>
                <w:b/>
                <w:i/>
                <w:color w:val="000000"/>
                <w:sz w:val="24"/>
                <w:szCs w:val="24"/>
              </w:rPr>
            </w:pPr>
            <w:r w:rsidRPr="00B6250A">
              <w:rPr>
                <w:b/>
                <w:i/>
                <w:color w:val="000000"/>
                <w:sz w:val="24"/>
                <w:szCs w:val="24"/>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B6250A" w:rsidRPr="00B6250A" w:rsidRDefault="00B6250A" w:rsidP="00B6250A">
            <w:pPr>
              <w:jc w:val="center"/>
              <w:rPr>
                <w:sz w:val="24"/>
                <w:szCs w:val="24"/>
              </w:rPr>
            </w:pPr>
            <w:r w:rsidRPr="00B6250A">
              <w:rPr>
                <w:sz w:val="24"/>
                <w:szCs w:val="24"/>
              </w:rPr>
              <w:t>1 942,07</w:t>
            </w:r>
          </w:p>
          <w:p w:rsidR="00A40D1E" w:rsidRPr="00B6250A" w:rsidRDefault="00A40D1E" w:rsidP="00B6250A">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B6250A" w:rsidRPr="00B6250A" w:rsidRDefault="00B6250A" w:rsidP="00B6250A">
            <w:pPr>
              <w:jc w:val="center"/>
              <w:rPr>
                <w:sz w:val="24"/>
                <w:szCs w:val="24"/>
              </w:rPr>
            </w:pPr>
            <w:r w:rsidRPr="00B6250A">
              <w:rPr>
                <w:sz w:val="24"/>
                <w:szCs w:val="24"/>
              </w:rPr>
              <w:t>2 108,22</w:t>
            </w:r>
          </w:p>
          <w:p w:rsidR="00A40D1E" w:rsidRPr="00B6250A" w:rsidRDefault="00A40D1E" w:rsidP="00B6250A">
            <w:pPr>
              <w:jc w:val="center"/>
              <w:rPr>
                <w:bCs/>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A40D1E" w:rsidRPr="00B6250A" w:rsidRDefault="00B6250A" w:rsidP="00B6250A">
            <w:pPr>
              <w:jc w:val="center"/>
              <w:rPr>
                <w:color w:val="000000"/>
                <w:sz w:val="24"/>
                <w:szCs w:val="24"/>
              </w:rPr>
            </w:pPr>
            <w:r>
              <w:rPr>
                <w:color w:val="000000"/>
                <w:sz w:val="24"/>
                <w:szCs w:val="24"/>
              </w:rPr>
              <w:t>+8,55%</w:t>
            </w:r>
          </w:p>
        </w:tc>
      </w:tr>
      <w:tr w:rsidR="00A40D1E" w:rsidRPr="00B6250A" w:rsidTr="00B6250A">
        <w:trPr>
          <w:trHeight w:hRule="exact" w:val="340"/>
          <w:jc w:val="center"/>
        </w:trPr>
        <w:tc>
          <w:tcPr>
            <w:tcW w:w="1275" w:type="dxa"/>
            <w:tcBorders>
              <w:bottom w:val="single" w:sz="6" w:space="0" w:color="auto"/>
            </w:tcBorders>
          </w:tcPr>
          <w:p w:rsidR="00A40D1E" w:rsidRPr="00B6250A" w:rsidRDefault="00A40D1E" w:rsidP="00B6250A">
            <w:pPr>
              <w:rPr>
                <w:b/>
                <w:i/>
                <w:color w:val="000000"/>
                <w:sz w:val="24"/>
                <w:szCs w:val="24"/>
              </w:rPr>
            </w:pPr>
            <w:r w:rsidRPr="00B6250A">
              <w:rPr>
                <w:b/>
                <w:i/>
                <w:color w:val="000000"/>
                <w:sz w:val="24"/>
                <w:szCs w:val="24"/>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B6250A" w:rsidRPr="00B6250A" w:rsidRDefault="00B6250A" w:rsidP="00B6250A">
            <w:pPr>
              <w:jc w:val="center"/>
              <w:rPr>
                <w:sz w:val="24"/>
                <w:szCs w:val="24"/>
              </w:rPr>
            </w:pPr>
            <w:r w:rsidRPr="00B6250A">
              <w:rPr>
                <w:sz w:val="24"/>
                <w:szCs w:val="24"/>
              </w:rPr>
              <w:t>-1 169,91</w:t>
            </w:r>
          </w:p>
          <w:p w:rsidR="00A40D1E" w:rsidRPr="00B6250A" w:rsidRDefault="00A40D1E" w:rsidP="00B6250A">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B6250A" w:rsidRPr="00B6250A" w:rsidRDefault="00B6250A" w:rsidP="00B6250A">
            <w:pPr>
              <w:jc w:val="center"/>
              <w:rPr>
                <w:sz w:val="24"/>
                <w:szCs w:val="24"/>
              </w:rPr>
            </w:pPr>
            <w:r w:rsidRPr="00B6250A">
              <w:rPr>
                <w:sz w:val="24"/>
                <w:szCs w:val="24"/>
              </w:rPr>
              <w:t>-504,98</w:t>
            </w:r>
          </w:p>
          <w:p w:rsidR="00A40D1E" w:rsidRPr="00B6250A" w:rsidRDefault="00A40D1E" w:rsidP="00B6250A">
            <w:pPr>
              <w:jc w:val="center"/>
              <w:rPr>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A40D1E" w:rsidRPr="00B6250A" w:rsidRDefault="00A40D1E" w:rsidP="00B6250A">
            <w:pPr>
              <w:jc w:val="center"/>
              <w:rPr>
                <w:color w:val="000000"/>
                <w:sz w:val="24"/>
                <w:szCs w:val="24"/>
              </w:rPr>
            </w:pPr>
          </w:p>
        </w:tc>
      </w:tr>
    </w:tbl>
    <w:p w:rsidR="00B6250A" w:rsidRDefault="00B6250A" w:rsidP="00E85CAF">
      <w:pPr>
        <w:spacing w:before="100" w:beforeAutospacing="1" w:after="100" w:afterAutospacing="1"/>
        <w:ind w:right="-426"/>
        <w:rPr>
          <w:b/>
          <w:sz w:val="24"/>
          <w:szCs w:val="24"/>
        </w:rPr>
      </w:pPr>
    </w:p>
    <w:p w:rsidR="00A40D1E" w:rsidRPr="00E673F2" w:rsidRDefault="00A40D1E" w:rsidP="00A40D1E">
      <w:pPr>
        <w:spacing w:before="100" w:beforeAutospacing="1" w:after="100" w:afterAutospacing="1"/>
        <w:ind w:right="-426"/>
        <w:jc w:val="center"/>
        <w:rPr>
          <w:sz w:val="24"/>
          <w:szCs w:val="24"/>
        </w:rPr>
      </w:pPr>
      <w:r w:rsidRPr="00E673F2">
        <w:rPr>
          <w:b/>
          <w:sz w:val="24"/>
          <w:szCs w:val="24"/>
        </w:rPr>
        <w:t>Principale mărfuri exportate (mi</w:t>
      </w:r>
      <w:r>
        <w:rPr>
          <w:b/>
          <w:sz w:val="24"/>
          <w:szCs w:val="24"/>
        </w:rPr>
        <w:t>i</w:t>
      </w:r>
      <w:r w:rsidRPr="00E673F2">
        <w:rPr>
          <w:b/>
          <w:sz w:val="24"/>
          <w:szCs w:val="24"/>
        </w:rPr>
        <w:t xml:space="preserve"> USD)</w:t>
      </w:r>
    </w:p>
    <w:tbl>
      <w:tblPr>
        <w:tblW w:w="9762" w:type="dxa"/>
        <w:jc w:val="center"/>
        <w:tblLook w:val="00A0" w:firstRow="1" w:lastRow="0" w:firstColumn="1" w:lastColumn="0" w:noHBand="0" w:noVBand="0"/>
      </w:tblPr>
      <w:tblGrid>
        <w:gridCol w:w="656"/>
        <w:gridCol w:w="3624"/>
        <w:gridCol w:w="1452"/>
        <w:gridCol w:w="1440"/>
        <w:gridCol w:w="1158"/>
        <w:gridCol w:w="1432"/>
      </w:tblGrid>
      <w:tr w:rsidR="00A40D1E" w:rsidRPr="003B1609" w:rsidTr="00B6250A">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A40D1E" w:rsidRPr="003B1609" w:rsidRDefault="00A40D1E" w:rsidP="00B6250A">
            <w:pPr>
              <w:jc w:val="center"/>
              <w:rPr>
                <w:b/>
                <w:bCs/>
                <w:color w:val="000000"/>
                <w:sz w:val="22"/>
                <w:szCs w:val="22"/>
                <w:lang w:eastAsia="ro-RO"/>
              </w:rPr>
            </w:pPr>
            <w:r w:rsidRPr="003B1609">
              <w:rPr>
                <w:b/>
                <w:bCs/>
                <w:color w:val="000000"/>
                <w:sz w:val="22"/>
                <w:szCs w:val="22"/>
                <w:lang w:eastAsia="ro-RO"/>
              </w:rPr>
              <w:t>NM</w:t>
            </w:r>
          </w:p>
        </w:tc>
        <w:tc>
          <w:tcPr>
            <w:tcW w:w="3624" w:type="dxa"/>
            <w:tcBorders>
              <w:top w:val="single" w:sz="4" w:space="0" w:color="auto"/>
              <w:left w:val="nil"/>
              <w:bottom w:val="single" w:sz="4" w:space="0" w:color="auto"/>
              <w:right w:val="single" w:sz="4" w:space="0" w:color="auto"/>
            </w:tcBorders>
            <w:shd w:val="clear" w:color="000000" w:fill="FFFFFF"/>
          </w:tcPr>
          <w:p w:rsidR="00A40D1E" w:rsidRPr="003B1609" w:rsidRDefault="00A40D1E" w:rsidP="00B6250A">
            <w:pPr>
              <w:jc w:val="center"/>
              <w:rPr>
                <w:b/>
                <w:bCs/>
                <w:color w:val="000000"/>
                <w:sz w:val="22"/>
                <w:szCs w:val="22"/>
                <w:lang w:eastAsia="ro-RO"/>
              </w:rPr>
            </w:pPr>
            <w:r w:rsidRPr="003B1609">
              <w:rPr>
                <w:b/>
                <w:bCs/>
                <w:color w:val="000000"/>
                <w:sz w:val="22"/>
                <w:szCs w:val="22"/>
                <w:lang w:eastAsia="ro-RO"/>
              </w:rPr>
              <w:t>Mărfuri exportate</w:t>
            </w:r>
          </w:p>
        </w:tc>
        <w:tc>
          <w:tcPr>
            <w:tcW w:w="1452" w:type="dxa"/>
            <w:tcBorders>
              <w:top w:val="single" w:sz="4" w:space="0" w:color="auto"/>
              <w:left w:val="nil"/>
              <w:bottom w:val="single" w:sz="4" w:space="0" w:color="auto"/>
              <w:right w:val="single" w:sz="4" w:space="0" w:color="auto"/>
            </w:tcBorders>
            <w:shd w:val="clear" w:color="000000" w:fill="FFFFFF"/>
            <w:noWrap/>
            <w:vAlign w:val="center"/>
          </w:tcPr>
          <w:p w:rsidR="00A40D1E" w:rsidRPr="003B1609" w:rsidRDefault="00A40D1E" w:rsidP="00B6250A">
            <w:pPr>
              <w:jc w:val="center"/>
              <w:rPr>
                <w:b/>
                <w:i/>
                <w:color w:val="000000"/>
                <w:sz w:val="22"/>
                <w:szCs w:val="22"/>
              </w:rPr>
            </w:pPr>
            <w:r w:rsidRPr="003B1609">
              <w:rPr>
                <w:b/>
                <w:bCs/>
                <w:sz w:val="22"/>
                <w:szCs w:val="22"/>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A40D1E" w:rsidRPr="003B1609" w:rsidRDefault="00A40D1E" w:rsidP="00B6250A">
            <w:pPr>
              <w:jc w:val="center"/>
              <w:rPr>
                <w:b/>
                <w:bCs/>
                <w:sz w:val="22"/>
                <w:szCs w:val="22"/>
              </w:rPr>
            </w:pPr>
            <w:r w:rsidRPr="003B1609">
              <w:rPr>
                <w:b/>
                <w:bCs/>
                <w:sz w:val="22"/>
                <w:szCs w:val="22"/>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A40D1E" w:rsidRPr="003B1609" w:rsidRDefault="00A40D1E" w:rsidP="00B6250A">
            <w:pPr>
              <w:tabs>
                <w:tab w:val="left" w:pos="10080"/>
              </w:tabs>
              <w:autoSpaceDE w:val="0"/>
              <w:autoSpaceDN w:val="0"/>
              <w:adjustRightInd w:val="0"/>
              <w:jc w:val="center"/>
              <w:rPr>
                <w:b/>
                <w:bCs/>
                <w:sz w:val="22"/>
                <w:szCs w:val="22"/>
              </w:rPr>
            </w:pPr>
            <w:r w:rsidRPr="003B1609">
              <w:rPr>
                <w:b/>
                <w:bCs/>
                <w:sz w:val="22"/>
                <w:szCs w:val="22"/>
              </w:rPr>
              <w:t>Dinamica</w:t>
            </w:r>
          </w:p>
          <w:p w:rsidR="00A40D1E" w:rsidRPr="003B1609" w:rsidRDefault="00A40D1E" w:rsidP="00B6250A">
            <w:pPr>
              <w:tabs>
                <w:tab w:val="left" w:pos="10080"/>
              </w:tabs>
              <w:autoSpaceDE w:val="0"/>
              <w:autoSpaceDN w:val="0"/>
              <w:adjustRightInd w:val="0"/>
              <w:jc w:val="center"/>
              <w:rPr>
                <w:b/>
                <w:bCs/>
                <w:sz w:val="22"/>
                <w:szCs w:val="22"/>
              </w:rPr>
            </w:pPr>
            <w:r w:rsidRPr="003B1609">
              <w:rPr>
                <w:b/>
                <w:bCs/>
                <w:sz w:val="22"/>
                <w:szCs w:val="22"/>
              </w:rPr>
              <w:t>2016/2015 %</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A40D1E" w:rsidRPr="003B1609" w:rsidRDefault="00A40D1E" w:rsidP="00B6250A">
            <w:pPr>
              <w:tabs>
                <w:tab w:val="left" w:pos="10080"/>
              </w:tabs>
              <w:autoSpaceDE w:val="0"/>
              <w:autoSpaceDN w:val="0"/>
              <w:adjustRightInd w:val="0"/>
              <w:jc w:val="center"/>
              <w:rPr>
                <w:b/>
                <w:bCs/>
                <w:sz w:val="22"/>
                <w:szCs w:val="22"/>
              </w:rPr>
            </w:pPr>
            <w:r w:rsidRPr="003B1609">
              <w:rPr>
                <w:b/>
                <w:bCs/>
                <w:sz w:val="22"/>
                <w:szCs w:val="22"/>
              </w:rPr>
              <w:t>Cota din totalul exporturilor (%)</w:t>
            </w:r>
          </w:p>
        </w:tc>
      </w:tr>
      <w:tr w:rsidR="00A40D1E" w:rsidRPr="003B1609" w:rsidTr="00B6250A">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A40D1E" w:rsidRPr="003B1609" w:rsidRDefault="00A40D1E" w:rsidP="00B6250A">
            <w:pPr>
              <w:rPr>
                <w:bCs/>
                <w:color w:val="000000"/>
                <w:sz w:val="22"/>
                <w:szCs w:val="22"/>
                <w:lang w:eastAsia="ro-RO"/>
              </w:rPr>
            </w:pPr>
          </w:p>
        </w:tc>
        <w:tc>
          <w:tcPr>
            <w:tcW w:w="3624" w:type="dxa"/>
            <w:tcBorders>
              <w:top w:val="single" w:sz="4" w:space="0" w:color="auto"/>
              <w:left w:val="nil"/>
              <w:bottom w:val="single" w:sz="4" w:space="0" w:color="auto"/>
              <w:right w:val="single" w:sz="4" w:space="0" w:color="auto"/>
            </w:tcBorders>
            <w:shd w:val="clear" w:color="000000" w:fill="FFFFFF"/>
            <w:vAlign w:val="center"/>
          </w:tcPr>
          <w:p w:rsidR="00A40D1E" w:rsidRPr="003B1609" w:rsidRDefault="00A40D1E" w:rsidP="00B6250A">
            <w:pPr>
              <w:rPr>
                <w:b/>
                <w:bCs/>
                <w:color w:val="000000"/>
                <w:sz w:val="22"/>
                <w:szCs w:val="22"/>
                <w:lang w:eastAsia="ro-RO"/>
              </w:rPr>
            </w:pPr>
            <w:r w:rsidRPr="003B1609">
              <w:rPr>
                <w:b/>
                <w:bCs/>
                <w:color w:val="000000"/>
                <w:sz w:val="22"/>
                <w:szCs w:val="22"/>
                <w:lang w:eastAsia="ro-RO"/>
              </w:rPr>
              <w:t>Export total</w:t>
            </w:r>
          </w:p>
        </w:tc>
        <w:tc>
          <w:tcPr>
            <w:tcW w:w="1452" w:type="dxa"/>
            <w:tcBorders>
              <w:top w:val="nil"/>
              <w:left w:val="single" w:sz="4" w:space="0" w:color="auto"/>
              <w:bottom w:val="single" w:sz="4" w:space="0" w:color="auto"/>
              <w:right w:val="single" w:sz="4" w:space="0" w:color="auto"/>
            </w:tcBorders>
            <w:shd w:val="clear" w:color="auto" w:fill="auto"/>
            <w:noWrap/>
            <w:vAlign w:val="center"/>
          </w:tcPr>
          <w:p w:rsidR="00A40D1E" w:rsidRPr="003B1609" w:rsidRDefault="00B6250A" w:rsidP="00B6250A">
            <w:pPr>
              <w:jc w:val="center"/>
              <w:rPr>
                <w:b/>
                <w:sz w:val="22"/>
                <w:szCs w:val="22"/>
              </w:rPr>
            </w:pPr>
            <w:r w:rsidRPr="003B1609">
              <w:rPr>
                <w:b/>
                <w:sz w:val="22"/>
                <w:szCs w:val="22"/>
              </w:rPr>
              <w:t>772,16</w:t>
            </w:r>
          </w:p>
        </w:tc>
        <w:tc>
          <w:tcPr>
            <w:tcW w:w="1440" w:type="dxa"/>
            <w:tcBorders>
              <w:top w:val="nil"/>
              <w:left w:val="nil"/>
              <w:bottom w:val="single" w:sz="4" w:space="0" w:color="auto"/>
              <w:right w:val="single" w:sz="4" w:space="0" w:color="auto"/>
            </w:tcBorders>
            <w:shd w:val="clear" w:color="auto" w:fill="auto"/>
            <w:noWrap/>
            <w:vAlign w:val="center"/>
          </w:tcPr>
          <w:p w:rsidR="00A40D1E" w:rsidRPr="003B1609" w:rsidRDefault="00B6250A" w:rsidP="00B6250A">
            <w:pPr>
              <w:jc w:val="center"/>
              <w:rPr>
                <w:b/>
                <w:sz w:val="22"/>
                <w:szCs w:val="22"/>
              </w:rPr>
            </w:pPr>
            <w:r w:rsidRPr="003B1609">
              <w:rPr>
                <w:b/>
                <w:sz w:val="22"/>
                <w:szCs w:val="22"/>
              </w:rPr>
              <w:t>1 603,24</w:t>
            </w:r>
          </w:p>
        </w:tc>
        <w:tc>
          <w:tcPr>
            <w:tcW w:w="1158" w:type="dxa"/>
            <w:tcBorders>
              <w:top w:val="nil"/>
              <w:left w:val="nil"/>
              <w:bottom w:val="single" w:sz="4" w:space="0" w:color="auto"/>
              <w:right w:val="single" w:sz="4" w:space="0" w:color="auto"/>
            </w:tcBorders>
            <w:shd w:val="clear" w:color="auto" w:fill="auto"/>
            <w:noWrap/>
            <w:vAlign w:val="center"/>
          </w:tcPr>
          <w:p w:rsidR="00A40D1E" w:rsidRPr="003B1609" w:rsidRDefault="00F3736E" w:rsidP="00B6250A">
            <w:pPr>
              <w:jc w:val="center"/>
              <w:rPr>
                <w:b/>
                <w:color w:val="000000"/>
                <w:sz w:val="22"/>
                <w:szCs w:val="22"/>
              </w:rPr>
            </w:pPr>
            <w:r w:rsidRPr="003B1609">
              <w:rPr>
                <w:b/>
                <w:color w:val="000000"/>
                <w:sz w:val="22"/>
                <w:szCs w:val="22"/>
              </w:rPr>
              <w:t>+2,1 ori</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A40D1E" w:rsidRPr="003B1609" w:rsidRDefault="00A40D1E" w:rsidP="00B6250A">
            <w:pPr>
              <w:jc w:val="center"/>
              <w:rPr>
                <w:b/>
                <w:sz w:val="22"/>
                <w:szCs w:val="22"/>
              </w:rPr>
            </w:pPr>
            <w:r w:rsidRPr="003B1609">
              <w:rPr>
                <w:b/>
                <w:sz w:val="22"/>
                <w:szCs w:val="22"/>
              </w:rPr>
              <w:t>100</w:t>
            </w:r>
          </w:p>
        </w:tc>
      </w:tr>
      <w:tr w:rsidR="00F3736E" w:rsidRPr="003B1609" w:rsidTr="003B1609">
        <w:trPr>
          <w:trHeight w:val="347"/>
          <w:jc w:val="center"/>
        </w:trPr>
        <w:tc>
          <w:tcPr>
            <w:tcW w:w="656" w:type="dxa"/>
            <w:tcBorders>
              <w:top w:val="nil"/>
              <w:left w:val="single" w:sz="4" w:space="0" w:color="auto"/>
              <w:bottom w:val="single" w:sz="4" w:space="0" w:color="auto"/>
              <w:right w:val="single" w:sz="4" w:space="0" w:color="auto"/>
            </w:tcBorders>
            <w:shd w:val="clear" w:color="000000" w:fill="FFFFFF"/>
          </w:tcPr>
          <w:p w:rsidR="00F3736E" w:rsidRPr="003B1609" w:rsidRDefault="00F3736E">
            <w:pPr>
              <w:jc w:val="center"/>
              <w:rPr>
                <w:b/>
                <w:bCs/>
                <w:sz w:val="22"/>
                <w:szCs w:val="22"/>
              </w:rPr>
            </w:pPr>
            <w:r w:rsidRPr="003B1609">
              <w:rPr>
                <w:b/>
                <w:bCs/>
                <w:sz w:val="22"/>
                <w:szCs w:val="22"/>
              </w:rPr>
              <w:t>0802</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F3736E" w:rsidRPr="003B1609" w:rsidRDefault="00F3736E">
            <w:pPr>
              <w:rPr>
                <w:b/>
                <w:bCs/>
                <w:sz w:val="22"/>
                <w:szCs w:val="22"/>
              </w:rPr>
            </w:pPr>
            <w:r w:rsidRPr="003B1609">
              <w:rPr>
                <w:b/>
                <w:bCs/>
                <w:sz w:val="22"/>
                <w:szCs w:val="22"/>
              </w:rPr>
              <w:t>Alte fructe cu coaja, proaspete sau uscate, chiar decojite sau fara pielita:</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544</w:t>
            </w:r>
            <w:r w:rsidR="003B1609" w:rsidRPr="003B1609">
              <w:rPr>
                <w:sz w:val="22"/>
                <w:szCs w:val="22"/>
              </w:rPr>
              <w:t>,</w:t>
            </w:r>
            <w:r w:rsidRPr="003B1609">
              <w:rPr>
                <w:sz w:val="22"/>
                <w:szCs w:val="22"/>
              </w:rPr>
              <w:t>58</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36E" w:rsidRPr="003B1609" w:rsidRDefault="003B1609" w:rsidP="00B6250A">
            <w:pPr>
              <w:jc w:val="center"/>
              <w:rPr>
                <w:color w:val="000000"/>
                <w:sz w:val="22"/>
                <w:szCs w:val="22"/>
              </w:rPr>
            </w:pPr>
            <w:r>
              <w:rPr>
                <w:color w:val="000000"/>
                <w:sz w:val="22"/>
                <w:szCs w:val="22"/>
              </w:rPr>
              <w:t>+544,58 mii USD</w:t>
            </w:r>
          </w:p>
        </w:tc>
        <w:tc>
          <w:tcPr>
            <w:tcW w:w="1432" w:type="dxa"/>
            <w:tcBorders>
              <w:top w:val="single" w:sz="4" w:space="0" w:color="auto"/>
              <w:left w:val="nil"/>
              <w:bottom w:val="single" w:sz="4" w:space="0" w:color="auto"/>
              <w:right w:val="single" w:sz="4" w:space="0" w:color="auto"/>
            </w:tcBorders>
            <w:shd w:val="clear" w:color="auto" w:fill="auto"/>
            <w:vAlign w:val="center"/>
          </w:tcPr>
          <w:p w:rsidR="00F3736E" w:rsidRPr="003B1609" w:rsidRDefault="003B1609" w:rsidP="00B6250A">
            <w:pPr>
              <w:jc w:val="center"/>
              <w:rPr>
                <w:color w:val="000000"/>
                <w:sz w:val="22"/>
                <w:szCs w:val="22"/>
              </w:rPr>
            </w:pPr>
            <w:r>
              <w:rPr>
                <w:color w:val="000000"/>
                <w:sz w:val="22"/>
                <w:szCs w:val="22"/>
              </w:rPr>
              <w:t>33,97</w:t>
            </w:r>
          </w:p>
        </w:tc>
      </w:tr>
      <w:tr w:rsidR="00F3736E" w:rsidRPr="003B1609" w:rsidTr="003B1609">
        <w:trPr>
          <w:trHeight w:val="315"/>
          <w:jc w:val="center"/>
        </w:trPr>
        <w:tc>
          <w:tcPr>
            <w:tcW w:w="656" w:type="dxa"/>
            <w:tcBorders>
              <w:top w:val="nil"/>
              <w:left w:val="single" w:sz="4" w:space="0" w:color="auto"/>
              <w:bottom w:val="single" w:sz="4" w:space="0" w:color="auto"/>
              <w:right w:val="single" w:sz="4" w:space="0" w:color="auto"/>
            </w:tcBorders>
            <w:shd w:val="clear" w:color="000000" w:fill="FFFFFF"/>
          </w:tcPr>
          <w:p w:rsidR="00F3736E" w:rsidRPr="003B1609" w:rsidRDefault="00F3736E">
            <w:pPr>
              <w:jc w:val="center"/>
              <w:rPr>
                <w:b/>
                <w:bCs/>
                <w:sz w:val="22"/>
                <w:szCs w:val="22"/>
              </w:rPr>
            </w:pPr>
            <w:r w:rsidRPr="003B1609">
              <w:rPr>
                <w:b/>
                <w:bCs/>
                <w:sz w:val="22"/>
                <w:szCs w:val="22"/>
              </w:rPr>
              <w:t>2204</w:t>
            </w:r>
          </w:p>
        </w:tc>
        <w:tc>
          <w:tcPr>
            <w:tcW w:w="3624" w:type="dxa"/>
            <w:tcBorders>
              <w:top w:val="nil"/>
              <w:left w:val="single" w:sz="4" w:space="0" w:color="auto"/>
              <w:bottom w:val="single" w:sz="4" w:space="0" w:color="auto"/>
              <w:right w:val="single" w:sz="4" w:space="0" w:color="auto"/>
            </w:tcBorders>
            <w:shd w:val="clear" w:color="auto" w:fill="auto"/>
          </w:tcPr>
          <w:p w:rsidR="00F3736E" w:rsidRPr="003B1609" w:rsidRDefault="00F3736E">
            <w:pPr>
              <w:rPr>
                <w:b/>
                <w:bCs/>
                <w:sz w:val="22"/>
                <w:szCs w:val="22"/>
              </w:rPr>
            </w:pPr>
            <w:r w:rsidRPr="003B1609">
              <w:rPr>
                <w:b/>
                <w:bCs/>
                <w:sz w:val="22"/>
                <w:szCs w:val="22"/>
              </w:rPr>
              <w:t>Vinuri din struguri proaspeti, inclusiv vinurile imbogatite cu alcool; musturi de struguri, altele decit cele de la pozitia 2009:</w:t>
            </w:r>
          </w:p>
        </w:tc>
        <w:tc>
          <w:tcPr>
            <w:tcW w:w="1452"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393</w:t>
            </w:r>
            <w:r w:rsidR="003B1609" w:rsidRPr="003B1609">
              <w:rPr>
                <w:sz w:val="22"/>
                <w:szCs w:val="22"/>
              </w:rPr>
              <w:t>,</w:t>
            </w:r>
            <w:r w:rsidRPr="003B1609">
              <w:rPr>
                <w:sz w:val="22"/>
                <w:szCs w:val="22"/>
              </w:rPr>
              <w:t>67</w:t>
            </w:r>
          </w:p>
        </w:tc>
        <w:tc>
          <w:tcPr>
            <w:tcW w:w="1440"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359</w:t>
            </w:r>
            <w:r w:rsidR="003B1609" w:rsidRPr="003B1609">
              <w:rPr>
                <w:sz w:val="22"/>
                <w:szCs w:val="22"/>
              </w:rPr>
              <w:t>,</w:t>
            </w:r>
            <w:r w:rsidRPr="003B1609">
              <w:rPr>
                <w:sz w:val="22"/>
                <w:szCs w:val="22"/>
              </w:rPr>
              <w:t>81</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F3736E" w:rsidRPr="003B1609" w:rsidRDefault="003B1609" w:rsidP="00B6250A">
            <w:pPr>
              <w:jc w:val="center"/>
              <w:rPr>
                <w:color w:val="000000"/>
                <w:sz w:val="22"/>
                <w:szCs w:val="22"/>
              </w:rPr>
            </w:pPr>
            <w:r>
              <w:rPr>
                <w:color w:val="000000"/>
                <w:sz w:val="22"/>
                <w:szCs w:val="22"/>
              </w:rPr>
              <w:t>-8,6</w:t>
            </w:r>
          </w:p>
        </w:tc>
        <w:tc>
          <w:tcPr>
            <w:tcW w:w="1432" w:type="dxa"/>
            <w:tcBorders>
              <w:top w:val="nil"/>
              <w:left w:val="nil"/>
              <w:bottom w:val="single" w:sz="4" w:space="0" w:color="auto"/>
              <w:right w:val="single" w:sz="4" w:space="0" w:color="auto"/>
            </w:tcBorders>
            <w:shd w:val="clear" w:color="auto" w:fill="auto"/>
            <w:vAlign w:val="center"/>
          </w:tcPr>
          <w:p w:rsidR="00F3736E" w:rsidRPr="003B1609" w:rsidRDefault="00E57EDE" w:rsidP="00B6250A">
            <w:pPr>
              <w:jc w:val="center"/>
              <w:rPr>
                <w:color w:val="000000"/>
                <w:sz w:val="22"/>
                <w:szCs w:val="22"/>
              </w:rPr>
            </w:pPr>
            <w:r>
              <w:rPr>
                <w:color w:val="000000"/>
                <w:sz w:val="22"/>
                <w:szCs w:val="22"/>
              </w:rPr>
              <w:t>22,44</w:t>
            </w:r>
          </w:p>
        </w:tc>
      </w:tr>
      <w:tr w:rsidR="00F3736E" w:rsidRPr="003B1609" w:rsidTr="003B1609">
        <w:trPr>
          <w:trHeight w:val="510"/>
          <w:jc w:val="center"/>
        </w:trPr>
        <w:tc>
          <w:tcPr>
            <w:tcW w:w="656" w:type="dxa"/>
            <w:tcBorders>
              <w:top w:val="nil"/>
              <w:left w:val="single" w:sz="4" w:space="0" w:color="auto"/>
              <w:bottom w:val="single" w:sz="4" w:space="0" w:color="auto"/>
              <w:right w:val="single" w:sz="4" w:space="0" w:color="auto"/>
            </w:tcBorders>
            <w:shd w:val="clear" w:color="000000" w:fill="FFFFFF"/>
          </w:tcPr>
          <w:p w:rsidR="00F3736E" w:rsidRPr="003B1609" w:rsidRDefault="00F3736E">
            <w:pPr>
              <w:jc w:val="center"/>
              <w:rPr>
                <w:b/>
                <w:bCs/>
                <w:sz w:val="22"/>
                <w:szCs w:val="22"/>
              </w:rPr>
            </w:pPr>
            <w:r w:rsidRPr="003B1609">
              <w:rPr>
                <w:b/>
                <w:bCs/>
                <w:sz w:val="22"/>
                <w:szCs w:val="22"/>
              </w:rPr>
              <w:t>7010</w:t>
            </w:r>
          </w:p>
        </w:tc>
        <w:tc>
          <w:tcPr>
            <w:tcW w:w="3624" w:type="dxa"/>
            <w:tcBorders>
              <w:top w:val="nil"/>
              <w:left w:val="single" w:sz="4" w:space="0" w:color="auto"/>
              <w:bottom w:val="single" w:sz="4" w:space="0" w:color="auto"/>
              <w:right w:val="single" w:sz="4" w:space="0" w:color="auto"/>
            </w:tcBorders>
            <w:shd w:val="clear" w:color="auto" w:fill="auto"/>
          </w:tcPr>
          <w:p w:rsidR="00F3736E" w:rsidRPr="003B1609" w:rsidRDefault="00F3736E">
            <w:pPr>
              <w:rPr>
                <w:b/>
                <w:bCs/>
                <w:sz w:val="22"/>
                <w:szCs w:val="22"/>
              </w:rPr>
            </w:pPr>
            <w:r w:rsidRPr="003B1609">
              <w:rPr>
                <w:b/>
                <w:bCs/>
                <w:sz w:val="22"/>
                <w:szCs w:val="22"/>
              </w:rPr>
              <w:t xml:space="preserve">Damigene, sticle, baloane, borcane, cani, ambalaje tubulare, fiole si alte recipiente, din sticla, folosite pentru </w:t>
            </w:r>
            <w:r w:rsidRPr="003B1609">
              <w:rPr>
                <w:b/>
                <w:bCs/>
                <w:sz w:val="22"/>
                <w:szCs w:val="22"/>
              </w:rPr>
              <w:lastRenderedPageBreak/>
              <w:t>transport sau ambalare; recipiente din sticla pentru conserve; dopuri, capace si alte dispozitive de inchidere, din sticla:</w:t>
            </w:r>
          </w:p>
        </w:tc>
        <w:tc>
          <w:tcPr>
            <w:tcW w:w="1452"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lastRenderedPageBreak/>
              <w:t>83</w:t>
            </w:r>
            <w:r w:rsidR="003B1609" w:rsidRPr="003B1609">
              <w:rPr>
                <w:sz w:val="22"/>
                <w:szCs w:val="22"/>
              </w:rPr>
              <w:t>,</w:t>
            </w:r>
            <w:r w:rsidRPr="003B1609">
              <w:rPr>
                <w:sz w:val="22"/>
                <w:szCs w:val="22"/>
              </w:rPr>
              <w:t>35</w:t>
            </w:r>
          </w:p>
        </w:tc>
        <w:tc>
          <w:tcPr>
            <w:tcW w:w="1440"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274</w:t>
            </w:r>
            <w:r w:rsidR="003B1609" w:rsidRPr="003B1609">
              <w:rPr>
                <w:sz w:val="22"/>
                <w:szCs w:val="22"/>
              </w:rPr>
              <w:t>,</w:t>
            </w:r>
            <w:r w:rsidRPr="003B1609">
              <w:rPr>
                <w:sz w:val="22"/>
                <w:szCs w:val="22"/>
              </w:rPr>
              <w:t>90</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F3736E" w:rsidRPr="003B1609" w:rsidRDefault="003B1609" w:rsidP="003B1609">
            <w:pPr>
              <w:jc w:val="center"/>
              <w:rPr>
                <w:color w:val="000000"/>
                <w:sz w:val="22"/>
                <w:szCs w:val="22"/>
              </w:rPr>
            </w:pPr>
            <w:r>
              <w:rPr>
                <w:color w:val="000000"/>
                <w:sz w:val="22"/>
                <w:szCs w:val="22"/>
              </w:rPr>
              <w:t>+3,3 ori</w:t>
            </w:r>
          </w:p>
        </w:tc>
        <w:tc>
          <w:tcPr>
            <w:tcW w:w="1432" w:type="dxa"/>
            <w:tcBorders>
              <w:top w:val="nil"/>
              <w:left w:val="nil"/>
              <w:bottom w:val="single" w:sz="4" w:space="0" w:color="auto"/>
              <w:right w:val="single" w:sz="4" w:space="0" w:color="auto"/>
            </w:tcBorders>
            <w:shd w:val="clear" w:color="auto" w:fill="auto"/>
            <w:vAlign w:val="center"/>
          </w:tcPr>
          <w:p w:rsidR="00F3736E" w:rsidRPr="003B1609" w:rsidRDefault="00E57EDE" w:rsidP="00B6250A">
            <w:pPr>
              <w:jc w:val="center"/>
              <w:rPr>
                <w:color w:val="000000"/>
                <w:sz w:val="22"/>
                <w:szCs w:val="22"/>
              </w:rPr>
            </w:pPr>
            <w:r>
              <w:rPr>
                <w:color w:val="000000"/>
                <w:sz w:val="22"/>
                <w:szCs w:val="22"/>
              </w:rPr>
              <w:t>17,15</w:t>
            </w:r>
          </w:p>
        </w:tc>
      </w:tr>
      <w:tr w:rsidR="00F3736E" w:rsidRPr="003B1609" w:rsidTr="003B1609">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F3736E" w:rsidRPr="003B1609" w:rsidRDefault="00F3736E">
            <w:pPr>
              <w:jc w:val="center"/>
              <w:rPr>
                <w:b/>
                <w:bCs/>
                <w:sz w:val="22"/>
                <w:szCs w:val="22"/>
              </w:rPr>
            </w:pPr>
            <w:r w:rsidRPr="003B1609">
              <w:rPr>
                <w:b/>
                <w:bCs/>
                <w:sz w:val="22"/>
                <w:szCs w:val="22"/>
              </w:rPr>
              <w:lastRenderedPageBreak/>
              <w:t>1704</w:t>
            </w:r>
          </w:p>
        </w:tc>
        <w:tc>
          <w:tcPr>
            <w:tcW w:w="3624" w:type="dxa"/>
            <w:tcBorders>
              <w:top w:val="nil"/>
              <w:left w:val="single" w:sz="4" w:space="0" w:color="auto"/>
              <w:bottom w:val="single" w:sz="4" w:space="0" w:color="auto"/>
              <w:right w:val="single" w:sz="4" w:space="0" w:color="auto"/>
            </w:tcBorders>
            <w:shd w:val="clear" w:color="auto" w:fill="auto"/>
          </w:tcPr>
          <w:p w:rsidR="00F3736E" w:rsidRPr="003B1609" w:rsidRDefault="00F3736E">
            <w:pPr>
              <w:rPr>
                <w:b/>
                <w:bCs/>
                <w:sz w:val="22"/>
                <w:szCs w:val="22"/>
              </w:rPr>
            </w:pPr>
            <w:r w:rsidRPr="003B1609">
              <w:rPr>
                <w:b/>
                <w:bCs/>
                <w:sz w:val="22"/>
                <w:szCs w:val="22"/>
              </w:rPr>
              <w:t>Produse zaharoase fara cacao (inclusiv ciocolata alba):</w:t>
            </w:r>
          </w:p>
        </w:tc>
        <w:tc>
          <w:tcPr>
            <w:tcW w:w="1452"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206</w:t>
            </w:r>
            <w:r w:rsidR="003B1609" w:rsidRPr="003B1609">
              <w:rPr>
                <w:sz w:val="22"/>
                <w:szCs w:val="22"/>
              </w:rPr>
              <w:t>,</w:t>
            </w:r>
            <w:r w:rsidRPr="003B1609">
              <w:rPr>
                <w:sz w:val="22"/>
                <w:szCs w:val="22"/>
              </w:rPr>
              <w:t>66</w:t>
            </w:r>
          </w:p>
        </w:tc>
        <w:tc>
          <w:tcPr>
            <w:tcW w:w="1440"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203</w:t>
            </w:r>
            <w:r w:rsidR="003B1609" w:rsidRPr="003B1609">
              <w:rPr>
                <w:sz w:val="22"/>
                <w:szCs w:val="22"/>
              </w:rPr>
              <w:t>,</w:t>
            </w:r>
            <w:r w:rsidRPr="003B1609">
              <w:rPr>
                <w:sz w:val="22"/>
                <w:szCs w:val="22"/>
              </w:rPr>
              <w:t>33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F3736E" w:rsidRPr="003B1609" w:rsidRDefault="003B1609" w:rsidP="00B6250A">
            <w:pPr>
              <w:jc w:val="center"/>
              <w:rPr>
                <w:color w:val="000000"/>
                <w:sz w:val="22"/>
                <w:szCs w:val="22"/>
              </w:rPr>
            </w:pPr>
            <w:r>
              <w:rPr>
                <w:color w:val="000000"/>
                <w:sz w:val="22"/>
                <w:szCs w:val="22"/>
              </w:rPr>
              <w:t>-1,6</w:t>
            </w:r>
          </w:p>
        </w:tc>
        <w:tc>
          <w:tcPr>
            <w:tcW w:w="1432" w:type="dxa"/>
            <w:tcBorders>
              <w:top w:val="nil"/>
              <w:left w:val="nil"/>
              <w:bottom w:val="single" w:sz="4" w:space="0" w:color="auto"/>
              <w:right w:val="single" w:sz="4" w:space="0" w:color="auto"/>
            </w:tcBorders>
            <w:shd w:val="clear" w:color="auto" w:fill="auto"/>
            <w:vAlign w:val="center"/>
          </w:tcPr>
          <w:p w:rsidR="00F3736E" w:rsidRPr="003B1609" w:rsidRDefault="00E57EDE" w:rsidP="00B6250A">
            <w:pPr>
              <w:jc w:val="center"/>
              <w:rPr>
                <w:color w:val="000000"/>
                <w:sz w:val="22"/>
                <w:szCs w:val="22"/>
              </w:rPr>
            </w:pPr>
            <w:r>
              <w:rPr>
                <w:color w:val="000000"/>
                <w:sz w:val="22"/>
                <w:szCs w:val="22"/>
              </w:rPr>
              <w:t>12,68</w:t>
            </w:r>
          </w:p>
        </w:tc>
      </w:tr>
      <w:tr w:rsidR="00F3736E" w:rsidRPr="003B1609" w:rsidTr="003B1609">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F3736E" w:rsidRPr="003B1609" w:rsidRDefault="00F3736E">
            <w:pPr>
              <w:jc w:val="center"/>
              <w:rPr>
                <w:b/>
                <w:bCs/>
                <w:sz w:val="22"/>
                <w:szCs w:val="22"/>
              </w:rPr>
            </w:pPr>
            <w:r w:rsidRPr="003B1609">
              <w:rPr>
                <w:b/>
                <w:bCs/>
                <w:sz w:val="22"/>
                <w:szCs w:val="22"/>
              </w:rPr>
              <w:t>1905</w:t>
            </w:r>
          </w:p>
        </w:tc>
        <w:tc>
          <w:tcPr>
            <w:tcW w:w="3624" w:type="dxa"/>
            <w:tcBorders>
              <w:top w:val="nil"/>
              <w:left w:val="single" w:sz="4" w:space="0" w:color="auto"/>
              <w:bottom w:val="single" w:sz="4" w:space="0" w:color="auto"/>
              <w:right w:val="single" w:sz="4" w:space="0" w:color="auto"/>
            </w:tcBorders>
            <w:shd w:val="clear" w:color="auto" w:fill="auto"/>
          </w:tcPr>
          <w:p w:rsidR="00F3736E" w:rsidRPr="003B1609" w:rsidRDefault="00F3736E">
            <w:pPr>
              <w:rPr>
                <w:b/>
                <w:bCs/>
                <w:sz w:val="22"/>
                <w:szCs w:val="22"/>
              </w:rPr>
            </w:pPr>
            <w:r w:rsidRPr="003B1609">
              <w:rPr>
                <w:b/>
                <w:bCs/>
                <w:sz w:val="22"/>
                <w:szCs w:val="22"/>
              </w:rPr>
              <w:t>Produse de brutarie, de patiserie si biscuiti, chiar cu adaos de cacao; ostii, casete goale de tipul celor utilizate pentru medicamente, vafe cu capac, paste uscate din faina, din amidon sau din fecule in foi si produse similare:</w:t>
            </w:r>
          </w:p>
        </w:tc>
        <w:tc>
          <w:tcPr>
            <w:tcW w:w="1452"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w:t>
            </w:r>
          </w:p>
        </w:tc>
        <w:tc>
          <w:tcPr>
            <w:tcW w:w="1440"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79</w:t>
            </w:r>
            <w:r w:rsidR="003B1609" w:rsidRPr="003B1609">
              <w:rPr>
                <w:sz w:val="22"/>
                <w:szCs w:val="22"/>
              </w:rPr>
              <w:t>,</w:t>
            </w:r>
            <w:r w:rsidRPr="003B1609">
              <w:rPr>
                <w:sz w:val="22"/>
                <w:szCs w:val="22"/>
              </w:rPr>
              <w:t>07</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F3736E" w:rsidRPr="003B1609" w:rsidRDefault="003B1609" w:rsidP="00B6250A">
            <w:pPr>
              <w:jc w:val="center"/>
              <w:rPr>
                <w:color w:val="000000"/>
                <w:sz w:val="22"/>
                <w:szCs w:val="22"/>
              </w:rPr>
            </w:pPr>
            <w:r>
              <w:rPr>
                <w:color w:val="000000"/>
                <w:sz w:val="22"/>
                <w:szCs w:val="22"/>
              </w:rPr>
              <w:t>79,07 mii USD</w:t>
            </w:r>
          </w:p>
        </w:tc>
        <w:tc>
          <w:tcPr>
            <w:tcW w:w="1432" w:type="dxa"/>
            <w:tcBorders>
              <w:top w:val="nil"/>
              <w:left w:val="nil"/>
              <w:bottom w:val="single" w:sz="4" w:space="0" w:color="auto"/>
              <w:right w:val="single" w:sz="4" w:space="0" w:color="auto"/>
            </w:tcBorders>
            <w:shd w:val="clear" w:color="auto" w:fill="auto"/>
            <w:vAlign w:val="center"/>
          </w:tcPr>
          <w:p w:rsidR="00F3736E" w:rsidRPr="003B1609" w:rsidRDefault="00E57EDE" w:rsidP="00B6250A">
            <w:pPr>
              <w:jc w:val="center"/>
              <w:rPr>
                <w:color w:val="000000"/>
                <w:sz w:val="22"/>
                <w:szCs w:val="22"/>
              </w:rPr>
            </w:pPr>
            <w:r>
              <w:rPr>
                <w:color w:val="000000"/>
                <w:sz w:val="22"/>
                <w:szCs w:val="22"/>
              </w:rPr>
              <w:t>4,93</w:t>
            </w:r>
          </w:p>
        </w:tc>
      </w:tr>
      <w:tr w:rsidR="00F3736E" w:rsidRPr="003B1609" w:rsidTr="003B1609">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F3736E" w:rsidRPr="003B1609" w:rsidRDefault="00F3736E">
            <w:pPr>
              <w:jc w:val="center"/>
              <w:rPr>
                <w:b/>
                <w:bCs/>
                <w:sz w:val="22"/>
                <w:szCs w:val="22"/>
              </w:rPr>
            </w:pPr>
            <w:r w:rsidRPr="003B1609">
              <w:rPr>
                <w:b/>
                <w:bCs/>
                <w:sz w:val="22"/>
                <w:szCs w:val="22"/>
              </w:rPr>
              <w:t>1806</w:t>
            </w:r>
          </w:p>
        </w:tc>
        <w:tc>
          <w:tcPr>
            <w:tcW w:w="3624" w:type="dxa"/>
            <w:tcBorders>
              <w:top w:val="nil"/>
              <w:left w:val="single" w:sz="4" w:space="0" w:color="auto"/>
              <w:bottom w:val="single" w:sz="4" w:space="0" w:color="auto"/>
              <w:right w:val="single" w:sz="4" w:space="0" w:color="auto"/>
            </w:tcBorders>
            <w:shd w:val="clear" w:color="auto" w:fill="auto"/>
          </w:tcPr>
          <w:p w:rsidR="00F3736E" w:rsidRPr="003B1609" w:rsidRDefault="00F3736E">
            <w:pPr>
              <w:rPr>
                <w:b/>
                <w:bCs/>
                <w:sz w:val="22"/>
                <w:szCs w:val="22"/>
              </w:rPr>
            </w:pPr>
            <w:r w:rsidRPr="003B1609">
              <w:rPr>
                <w:b/>
                <w:bCs/>
                <w:sz w:val="22"/>
                <w:szCs w:val="22"/>
              </w:rPr>
              <w:t>Ciocolata si alte preparate alimentare care contin cacao:</w:t>
            </w:r>
          </w:p>
        </w:tc>
        <w:tc>
          <w:tcPr>
            <w:tcW w:w="1452"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65</w:t>
            </w:r>
            <w:r w:rsidR="003B1609" w:rsidRPr="003B1609">
              <w:rPr>
                <w:sz w:val="22"/>
                <w:szCs w:val="22"/>
              </w:rPr>
              <w:t>,</w:t>
            </w:r>
            <w:r w:rsidRPr="003B1609">
              <w:rPr>
                <w:sz w:val="22"/>
                <w:szCs w:val="22"/>
              </w:rPr>
              <w:t>71</w:t>
            </w:r>
          </w:p>
        </w:tc>
        <w:tc>
          <w:tcPr>
            <w:tcW w:w="1440" w:type="dxa"/>
            <w:tcBorders>
              <w:top w:val="nil"/>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60</w:t>
            </w:r>
            <w:r w:rsidR="003B1609" w:rsidRPr="003B1609">
              <w:rPr>
                <w:sz w:val="22"/>
                <w:szCs w:val="22"/>
              </w:rPr>
              <w:t>,</w:t>
            </w:r>
            <w:r w:rsidRPr="003B1609">
              <w:rPr>
                <w:sz w:val="22"/>
                <w:szCs w:val="22"/>
              </w:rPr>
              <w:t>32</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F3736E" w:rsidRPr="003B1609" w:rsidRDefault="00F3736E" w:rsidP="003B1609">
            <w:pPr>
              <w:jc w:val="center"/>
              <w:rPr>
                <w:color w:val="000000"/>
                <w:sz w:val="22"/>
                <w:szCs w:val="22"/>
              </w:rPr>
            </w:pPr>
            <w:r w:rsidRPr="003B1609">
              <w:rPr>
                <w:color w:val="000000"/>
                <w:sz w:val="22"/>
                <w:szCs w:val="22"/>
              </w:rPr>
              <w:t>-</w:t>
            </w:r>
            <w:r w:rsidR="003B1609">
              <w:rPr>
                <w:color w:val="000000"/>
                <w:sz w:val="22"/>
                <w:szCs w:val="22"/>
              </w:rPr>
              <w:t>8,2</w:t>
            </w:r>
          </w:p>
        </w:tc>
        <w:tc>
          <w:tcPr>
            <w:tcW w:w="1432" w:type="dxa"/>
            <w:tcBorders>
              <w:top w:val="nil"/>
              <w:left w:val="nil"/>
              <w:bottom w:val="single" w:sz="4" w:space="0" w:color="auto"/>
              <w:right w:val="single" w:sz="4" w:space="0" w:color="auto"/>
            </w:tcBorders>
            <w:shd w:val="clear" w:color="auto" w:fill="auto"/>
            <w:vAlign w:val="center"/>
          </w:tcPr>
          <w:p w:rsidR="00F3736E" w:rsidRPr="003B1609" w:rsidRDefault="00E57EDE" w:rsidP="00B6250A">
            <w:pPr>
              <w:jc w:val="center"/>
              <w:rPr>
                <w:color w:val="000000"/>
                <w:sz w:val="22"/>
                <w:szCs w:val="22"/>
              </w:rPr>
            </w:pPr>
            <w:r>
              <w:rPr>
                <w:color w:val="000000"/>
                <w:sz w:val="22"/>
                <w:szCs w:val="22"/>
              </w:rPr>
              <w:t>3,76</w:t>
            </w:r>
          </w:p>
        </w:tc>
      </w:tr>
      <w:tr w:rsidR="00F3736E" w:rsidRPr="003B1609" w:rsidTr="003B1609">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F3736E" w:rsidRPr="003B1609" w:rsidRDefault="00F3736E">
            <w:pPr>
              <w:jc w:val="center"/>
              <w:rPr>
                <w:b/>
                <w:bCs/>
                <w:sz w:val="22"/>
                <w:szCs w:val="22"/>
              </w:rPr>
            </w:pPr>
            <w:r w:rsidRPr="003B1609">
              <w:rPr>
                <w:b/>
                <w:bCs/>
                <w:sz w:val="22"/>
                <w:szCs w:val="22"/>
              </w:rPr>
              <w:t>7019</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F3736E" w:rsidRPr="003B1609" w:rsidRDefault="00F3736E">
            <w:pPr>
              <w:rPr>
                <w:b/>
                <w:bCs/>
                <w:sz w:val="22"/>
                <w:szCs w:val="22"/>
              </w:rPr>
            </w:pPr>
            <w:r w:rsidRPr="003B1609">
              <w:rPr>
                <w:b/>
                <w:bCs/>
                <w:sz w:val="22"/>
                <w:szCs w:val="22"/>
              </w:rPr>
              <w:t>Fibre de sticla (inclusiv vata de sticla) si articole din aceste materiale (de exemplu, fire, tesaturi):</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36</w:t>
            </w:r>
            <w:r w:rsidR="003B1609" w:rsidRPr="003B1609">
              <w:rPr>
                <w:sz w:val="22"/>
                <w:szCs w:val="22"/>
              </w:rPr>
              <w:t>,</w:t>
            </w:r>
            <w:r w:rsidRPr="003B1609">
              <w:rPr>
                <w:sz w:val="22"/>
                <w:szCs w:val="22"/>
              </w:rPr>
              <w:t>09</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36E" w:rsidRPr="003B1609" w:rsidRDefault="003B1609" w:rsidP="00B6250A">
            <w:pPr>
              <w:jc w:val="center"/>
              <w:rPr>
                <w:color w:val="000000"/>
                <w:sz w:val="22"/>
                <w:szCs w:val="22"/>
              </w:rPr>
            </w:pPr>
            <w:r>
              <w:rPr>
                <w:color w:val="000000"/>
                <w:sz w:val="22"/>
                <w:szCs w:val="22"/>
              </w:rPr>
              <w:t>+36,09 mii USD</w:t>
            </w:r>
          </w:p>
        </w:tc>
        <w:tc>
          <w:tcPr>
            <w:tcW w:w="1432" w:type="dxa"/>
            <w:tcBorders>
              <w:top w:val="single" w:sz="4" w:space="0" w:color="auto"/>
              <w:left w:val="nil"/>
              <w:bottom w:val="single" w:sz="4" w:space="0" w:color="auto"/>
              <w:right w:val="single" w:sz="4" w:space="0" w:color="auto"/>
            </w:tcBorders>
            <w:shd w:val="clear" w:color="auto" w:fill="auto"/>
            <w:vAlign w:val="center"/>
          </w:tcPr>
          <w:p w:rsidR="00F3736E" w:rsidRPr="003B1609" w:rsidRDefault="00E57EDE" w:rsidP="00B6250A">
            <w:pPr>
              <w:jc w:val="center"/>
              <w:rPr>
                <w:color w:val="000000"/>
                <w:sz w:val="22"/>
                <w:szCs w:val="22"/>
              </w:rPr>
            </w:pPr>
            <w:r>
              <w:rPr>
                <w:color w:val="000000"/>
                <w:sz w:val="22"/>
                <w:szCs w:val="22"/>
              </w:rPr>
              <w:t>2,25</w:t>
            </w:r>
          </w:p>
        </w:tc>
      </w:tr>
      <w:tr w:rsidR="00F3736E" w:rsidRPr="003B1609" w:rsidTr="003B1609">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F3736E" w:rsidRPr="003B1609" w:rsidRDefault="00F3736E">
            <w:pPr>
              <w:jc w:val="center"/>
              <w:rPr>
                <w:b/>
                <w:bCs/>
                <w:sz w:val="22"/>
                <w:szCs w:val="22"/>
              </w:rPr>
            </w:pPr>
            <w:r w:rsidRPr="003B1609">
              <w:rPr>
                <w:b/>
                <w:bCs/>
                <w:sz w:val="22"/>
                <w:szCs w:val="22"/>
              </w:rPr>
              <w:t>2203</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F3736E" w:rsidRPr="003B1609" w:rsidRDefault="00F3736E">
            <w:pPr>
              <w:rPr>
                <w:b/>
                <w:bCs/>
                <w:sz w:val="22"/>
                <w:szCs w:val="22"/>
              </w:rPr>
            </w:pPr>
            <w:r w:rsidRPr="003B1609">
              <w:rPr>
                <w:b/>
                <w:bCs/>
                <w:sz w:val="22"/>
                <w:szCs w:val="22"/>
              </w:rPr>
              <w:t>Bere fabricata din malt:</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3736E" w:rsidRPr="003B1609" w:rsidRDefault="00F3736E" w:rsidP="003B1609">
            <w:pPr>
              <w:jc w:val="center"/>
              <w:rPr>
                <w:sz w:val="22"/>
                <w:szCs w:val="22"/>
              </w:rPr>
            </w:pPr>
            <w:r w:rsidRPr="003B1609">
              <w:rPr>
                <w:sz w:val="22"/>
                <w:szCs w:val="22"/>
              </w:rPr>
              <w:t>32</w:t>
            </w:r>
            <w:r w:rsidR="003B1609" w:rsidRPr="003B1609">
              <w:rPr>
                <w:sz w:val="22"/>
                <w:szCs w:val="22"/>
              </w:rPr>
              <w:t>,</w:t>
            </w:r>
            <w:r w:rsidRPr="003B1609">
              <w:rPr>
                <w:sz w:val="22"/>
                <w:szCs w:val="22"/>
              </w:rPr>
              <w:t>36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36E" w:rsidRPr="003B1609" w:rsidRDefault="003B1609" w:rsidP="00B6250A">
            <w:pPr>
              <w:jc w:val="center"/>
              <w:rPr>
                <w:color w:val="000000"/>
                <w:sz w:val="22"/>
                <w:szCs w:val="22"/>
              </w:rPr>
            </w:pPr>
            <w:r>
              <w:rPr>
                <w:color w:val="000000"/>
                <w:sz w:val="22"/>
                <w:szCs w:val="22"/>
              </w:rPr>
              <w:t>+32,36 mii USD</w:t>
            </w:r>
          </w:p>
        </w:tc>
        <w:tc>
          <w:tcPr>
            <w:tcW w:w="1432" w:type="dxa"/>
            <w:tcBorders>
              <w:top w:val="single" w:sz="4" w:space="0" w:color="auto"/>
              <w:left w:val="nil"/>
              <w:bottom w:val="single" w:sz="4" w:space="0" w:color="auto"/>
              <w:right w:val="single" w:sz="4" w:space="0" w:color="auto"/>
            </w:tcBorders>
            <w:shd w:val="clear" w:color="auto" w:fill="auto"/>
            <w:vAlign w:val="center"/>
          </w:tcPr>
          <w:p w:rsidR="00F3736E" w:rsidRPr="003B1609" w:rsidRDefault="00E57EDE" w:rsidP="00B6250A">
            <w:pPr>
              <w:jc w:val="center"/>
              <w:rPr>
                <w:color w:val="000000"/>
                <w:sz w:val="22"/>
                <w:szCs w:val="22"/>
              </w:rPr>
            </w:pPr>
            <w:r>
              <w:rPr>
                <w:color w:val="000000"/>
                <w:sz w:val="22"/>
                <w:szCs w:val="22"/>
              </w:rPr>
              <w:t>2,02</w:t>
            </w:r>
          </w:p>
        </w:tc>
      </w:tr>
    </w:tbl>
    <w:p w:rsidR="00A40D1E" w:rsidRPr="00E673F2" w:rsidRDefault="00A40D1E" w:rsidP="003B1609">
      <w:pPr>
        <w:spacing w:before="100" w:beforeAutospacing="1" w:after="100" w:afterAutospacing="1"/>
        <w:ind w:right="-426"/>
        <w:jc w:val="center"/>
        <w:rPr>
          <w:sz w:val="24"/>
          <w:szCs w:val="24"/>
        </w:rPr>
      </w:pPr>
      <w:r w:rsidRPr="00E673F2">
        <w:rPr>
          <w:b/>
          <w:sz w:val="24"/>
          <w:szCs w:val="24"/>
        </w:rPr>
        <w:t>Principale mărfuri importate</w:t>
      </w:r>
      <w:r w:rsidRPr="00E673F2">
        <w:rPr>
          <w:sz w:val="24"/>
          <w:szCs w:val="24"/>
        </w:rPr>
        <w:t xml:space="preserve"> </w:t>
      </w:r>
      <w:r>
        <w:rPr>
          <w:b/>
          <w:sz w:val="24"/>
          <w:szCs w:val="24"/>
        </w:rPr>
        <w:t>(mii</w:t>
      </w:r>
      <w:r w:rsidR="00B6250A">
        <w:rPr>
          <w:b/>
          <w:sz w:val="24"/>
          <w:szCs w:val="24"/>
        </w:rPr>
        <w:t xml:space="preserve"> </w:t>
      </w:r>
      <w:r w:rsidRPr="00E673F2">
        <w:rPr>
          <w:b/>
          <w:sz w:val="24"/>
          <w:szCs w:val="24"/>
        </w:rPr>
        <w:t>USD)</w:t>
      </w:r>
    </w:p>
    <w:tbl>
      <w:tblPr>
        <w:tblW w:w="9782" w:type="dxa"/>
        <w:tblInd w:w="-289" w:type="dxa"/>
        <w:tblLayout w:type="fixed"/>
        <w:tblLook w:val="00A0" w:firstRow="1" w:lastRow="0" w:firstColumn="1" w:lastColumn="0" w:noHBand="0" w:noVBand="0"/>
      </w:tblPr>
      <w:tblGrid>
        <w:gridCol w:w="710"/>
        <w:gridCol w:w="3685"/>
        <w:gridCol w:w="1418"/>
        <w:gridCol w:w="1275"/>
        <w:gridCol w:w="1276"/>
        <w:gridCol w:w="1418"/>
      </w:tblGrid>
      <w:tr w:rsidR="00A40D1E" w:rsidRPr="0076190E" w:rsidTr="00B6250A">
        <w:trPr>
          <w:trHeight w:val="909"/>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A40D1E" w:rsidRPr="0076190E" w:rsidRDefault="00A40D1E" w:rsidP="00B6250A">
            <w:pPr>
              <w:jc w:val="center"/>
              <w:rPr>
                <w:b/>
                <w:bCs/>
                <w:color w:val="000000"/>
                <w:sz w:val="22"/>
                <w:szCs w:val="22"/>
                <w:lang w:eastAsia="ro-RO"/>
              </w:rPr>
            </w:pPr>
            <w:r w:rsidRPr="0076190E">
              <w:rPr>
                <w:b/>
                <w:bCs/>
                <w:color w:val="000000"/>
                <w:sz w:val="22"/>
                <w:szCs w:val="22"/>
                <w:lang w:eastAsia="ro-RO"/>
              </w:rPr>
              <w:t>NM</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A40D1E" w:rsidRPr="0076190E" w:rsidRDefault="00A40D1E" w:rsidP="00B6250A">
            <w:pPr>
              <w:jc w:val="center"/>
              <w:rPr>
                <w:b/>
                <w:bCs/>
                <w:color w:val="000000"/>
                <w:sz w:val="22"/>
                <w:szCs w:val="22"/>
                <w:lang w:eastAsia="ro-RO"/>
              </w:rPr>
            </w:pPr>
            <w:r w:rsidRPr="0076190E">
              <w:rPr>
                <w:b/>
                <w:bCs/>
                <w:color w:val="000000"/>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A40D1E" w:rsidRPr="0076190E" w:rsidRDefault="00A40D1E" w:rsidP="00B6250A">
            <w:pPr>
              <w:jc w:val="center"/>
              <w:rPr>
                <w:b/>
                <w:bCs/>
                <w:sz w:val="22"/>
                <w:szCs w:val="22"/>
              </w:rPr>
            </w:pPr>
            <w:r w:rsidRPr="0076190E">
              <w:rPr>
                <w:b/>
                <w:bCs/>
                <w:sz w:val="22"/>
                <w:szCs w:val="22"/>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A40D1E" w:rsidRPr="0076190E" w:rsidRDefault="00A40D1E" w:rsidP="00B6250A">
            <w:pPr>
              <w:jc w:val="center"/>
              <w:rPr>
                <w:b/>
                <w:bCs/>
                <w:sz w:val="22"/>
                <w:szCs w:val="22"/>
              </w:rPr>
            </w:pPr>
            <w:r w:rsidRPr="0076190E">
              <w:rPr>
                <w:b/>
                <w:bCs/>
                <w:sz w:val="22"/>
                <w:szCs w:val="22"/>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40D1E" w:rsidRPr="0076190E" w:rsidRDefault="00A40D1E" w:rsidP="00B6250A">
            <w:pPr>
              <w:tabs>
                <w:tab w:val="left" w:pos="10080"/>
              </w:tabs>
              <w:autoSpaceDE w:val="0"/>
              <w:autoSpaceDN w:val="0"/>
              <w:adjustRightInd w:val="0"/>
              <w:jc w:val="center"/>
              <w:rPr>
                <w:b/>
                <w:bCs/>
                <w:sz w:val="22"/>
                <w:szCs w:val="22"/>
              </w:rPr>
            </w:pPr>
            <w:r w:rsidRPr="0076190E">
              <w:rPr>
                <w:b/>
                <w:bCs/>
                <w:sz w:val="22"/>
                <w:szCs w:val="22"/>
              </w:rPr>
              <w:t>Dinamica</w:t>
            </w:r>
          </w:p>
          <w:p w:rsidR="00A40D1E" w:rsidRPr="0076190E" w:rsidRDefault="00A40D1E" w:rsidP="00B6250A">
            <w:pPr>
              <w:tabs>
                <w:tab w:val="left" w:pos="10080"/>
              </w:tabs>
              <w:autoSpaceDE w:val="0"/>
              <w:autoSpaceDN w:val="0"/>
              <w:adjustRightInd w:val="0"/>
              <w:jc w:val="center"/>
              <w:rPr>
                <w:b/>
                <w:bCs/>
                <w:sz w:val="22"/>
                <w:szCs w:val="22"/>
              </w:rPr>
            </w:pPr>
            <w:r w:rsidRPr="0076190E">
              <w:rPr>
                <w:b/>
                <w:bCs/>
                <w:sz w:val="22"/>
                <w:szCs w:val="22"/>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40D1E" w:rsidRPr="0076190E" w:rsidRDefault="00A40D1E" w:rsidP="00B6250A">
            <w:pPr>
              <w:tabs>
                <w:tab w:val="left" w:pos="10080"/>
              </w:tabs>
              <w:autoSpaceDE w:val="0"/>
              <w:autoSpaceDN w:val="0"/>
              <w:adjustRightInd w:val="0"/>
              <w:jc w:val="center"/>
              <w:rPr>
                <w:b/>
                <w:bCs/>
                <w:sz w:val="22"/>
                <w:szCs w:val="22"/>
              </w:rPr>
            </w:pPr>
            <w:r w:rsidRPr="0076190E">
              <w:rPr>
                <w:b/>
                <w:bCs/>
                <w:sz w:val="22"/>
                <w:szCs w:val="22"/>
              </w:rPr>
              <w:t>Cota din totalul importurilor</w:t>
            </w:r>
          </w:p>
          <w:p w:rsidR="00A40D1E" w:rsidRPr="0076190E" w:rsidRDefault="00A40D1E" w:rsidP="00B6250A">
            <w:pPr>
              <w:tabs>
                <w:tab w:val="left" w:pos="10080"/>
              </w:tabs>
              <w:autoSpaceDE w:val="0"/>
              <w:autoSpaceDN w:val="0"/>
              <w:adjustRightInd w:val="0"/>
              <w:jc w:val="center"/>
              <w:rPr>
                <w:b/>
                <w:bCs/>
                <w:sz w:val="22"/>
                <w:szCs w:val="22"/>
              </w:rPr>
            </w:pPr>
            <w:r>
              <w:rPr>
                <w:b/>
                <w:bCs/>
                <w:sz w:val="22"/>
                <w:szCs w:val="22"/>
              </w:rPr>
              <w:t>(</w:t>
            </w:r>
            <w:r w:rsidRPr="0076190E">
              <w:rPr>
                <w:b/>
                <w:bCs/>
                <w:sz w:val="22"/>
                <w:szCs w:val="22"/>
              </w:rPr>
              <w:t>%</w:t>
            </w:r>
            <w:r>
              <w:rPr>
                <w:b/>
                <w:bCs/>
                <w:sz w:val="22"/>
                <w:szCs w:val="22"/>
              </w:rPr>
              <w:t>)</w:t>
            </w:r>
          </w:p>
        </w:tc>
      </w:tr>
      <w:tr w:rsidR="00F3736E" w:rsidRPr="0076190E" w:rsidTr="00F3736E">
        <w:trPr>
          <w:trHeight w:val="392"/>
        </w:trPr>
        <w:tc>
          <w:tcPr>
            <w:tcW w:w="710" w:type="dxa"/>
            <w:tcBorders>
              <w:top w:val="single" w:sz="4" w:space="0" w:color="auto"/>
              <w:left w:val="single" w:sz="4" w:space="0" w:color="auto"/>
              <w:bottom w:val="single" w:sz="4" w:space="0" w:color="auto"/>
              <w:right w:val="single" w:sz="4" w:space="0" w:color="auto"/>
            </w:tcBorders>
          </w:tcPr>
          <w:p w:rsidR="00F3736E" w:rsidRPr="0076190E" w:rsidRDefault="00F3736E" w:rsidP="00B6250A">
            <w:pPr>
              <w:jc w:val="center"/>
              <w:rPr>
                <w:bCs/>
                <w:color w:val="000000"/>
                <w:sz w:val="22"/>
                <w:szCs w:val="22"/>
                <w:lang w:eastAsia="ro-RO"/>
              </w:rPr>
            </w:pPr>
          </w:p>
        </w:tc>
        <w:tc>
          <w:tcPr>
            <w:tcW w:w="3685" w:type="dxa"/>
            <w:tcBorders>
              <w:top w:val="single" w:sz="4" w:space="0" w:color="auto"/>
              <w:left w:val="nil"/>
              <w:bottom w:val="single" w:sz="4" w:space="0" w:color="auto"/>
              <w:right w:val="single" w:sz="4" w:space="0" w:color="auto"/>
            </w:tcBorders>
          </w:tcPr>
          <w:p w:rsidR="00F3736E" w:rsidRPr="0076190E" w:rsidRDefault="00F3736E" w:rsidP="00B6250A">
            <w:pPr>
              <w:rPr>
                <w:b/>
                <w:bCs/>
                <w:color w:val="000000"/>
                <w:sz w:val="22"/>
                <w:szCs w:val="22"/>
                <w:lang w:eastAsia="ro-RO"/>
              </w:rPr>
            </w:pPr>
            <w:r w:rsidRPr="0076190E">
              <w:rPr>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3736E" w:rsidRPr="00F3736E" w:rsidRDefault="00F3736E" w:rsidP="00F3736E">
            <w:pPr>
              <w:jc w:val="center"/>
              <w:rPr>
                <w:b/>
                <w:sz w:val="24"/>
                <w:szCs w:val="24"/>
              </w:rPr>
            </w:pPr>
            <w:r w:rsidRPr="00F3736E">
              <w:rPr>
                <w:b/>
                <w:sz w:val="24"/>
                <w:szCs w:val="24"/>
              </w:rPr>
              <w:t>1 942,07</w:t>
            </w:r>
          </w:p>
        </w:tc>
        <w:tc>
          <w:tcPr>
            <w:tcW w:w="1275" w:type="dxa"/>
            <w:tcBorders>
              <w:top w:val="nil"/>
              <w:left w:val="nil"/>
              <w:bottom w:val="single" w:sz="4" w:space="0" w:color="auto"/>
              <w:right w:val="single" w:sz="4" w:space="0" w:color="auto"/>
            </w:tcBorders>
            <w:shd w:val="clear" w:color="auto" w:fill="auto"/>
            <w:noWrap/>
            <w:vAlign w:val="center"/>
          </w:tcPr>
          <w:p w:rsidR="00F3736E" w:rsidRPr="00F3736E" w:rsidRDefault="00F3736E" w:rsidP="00F3736E">
            <w:pPr>
              <w:jc w:val="center"/>
              <w:rPr>
                <w:b/>
                <w:sz w:val="24"/>
                <w:szCs w:val="24"/>
              </w:rPr>
            </w:pPr>
            <w:r w:rsidRPr="00F3736E">
              <w:rPr>
                <w:b/>
                <w:sz w:val="24"/>
                <w:szCs w:val="24"/>
              </w:rPr>
              <w:t>2 108,22</w:t>
            </w:r>
          </w:p>
        </w:tc>
        <w:tc>
          <w:tcPr>
            <w:tcW w:w="1276" w:type="dxa"/>
            <w:tcBorders>
              <w:top w:val="nil"/>
              <w:left w:val="nil"/>
              <w:bottom w:val="single" w:sz="4" w:space="0" w:color="auto"/>
              <w:right w:val="single" w:sz="4" w:space="0" w:color="auto"/>
            </w:tcBorders>
            <w:shd w:val="clear" w:color="auto" w:fill="auto"/>
            <w:vAlign w:val="center"/>
          </w:tcPr>
          <w:p w:rsidR="00F3736E" w:rsidRPr="00F3736E" w:rsidRDefault="00F3736E" w:rsidP="00BD77A6">
            <w:pPr>
              <w:jc w:val="center"/>
              <w:rPr>
                <w:b/>
                <w:color w:val="000000"/>
                <w:sz w:val="24"/>
                <w:szCs w:val="24"/>
              </w:rPr>
            </w:pPr>
            <w:r>
              <w:rPr>
                <w:b/>
                <w:color w:val="000000"/>
                <w:sz w:val="24"/>
                <w:szCs w:val="24"/>
              </w:rPr>
              <w:t>+8,55</w:t>
            </w:r>
          </w:p>
        </w:tc>
        <w:tc>
          <w:tcPr>
            <w:tcW w:w="1418" w:type="dxa"/>
            <w:tcBorders>
              <w:top w:val="single" w:sz="4" w:space="0" w:color="auto"/>
              <w:left w:val="single" w:sz="4" w:space="0" w:color="auto"/>
              <w:bottom w:val="single" w:sz="4" w:space="0" w:color="auto"/>
              <w:right w:val="single" w:sz="4" w:space="0" w:color="auto"/>
            </w:tcBorders>
            <w:vAlign w:val="center"/>
          </w:tcPr>
          <w:p w:rsidR="00F3736E" w:rsidRPr="0076190E" w:rsidRDefault="00F3736E" w:rsidP="00B6250A">
            <w:pPr>
              <w:jc w:val="center"/>
              <w:rPr>
                <w:b/>
                <w:bCs/>
                <w:color w:val="000000"/>
                <w:sz w:val="22"/>
                <w:szCs w:val="22"/>
                <w:lang w:eastAsia="ro-RO"/>
              </w:rPr>
            </w:pPr>
            <w:r>
              <w:rPr>
                <w:b/>
                <w:bCs/>
                <w:color w:val="000000"/>
                <w:sz w:val="22"/>
                <w:szCs w:val="22"/>
                <w:lang w:eastAsia="ro-RO"/>
              </w:rPr>
              <w:t>100</w:t>
            </w:r>
          </w:p>
        </w:tc>
      </w:tr>
      <w:tr w:rsidR="003B1609" w:rsidRPr="0076190E" w:rsidTr="003B1609">
        <w:trPr>
          <w:trHeight w:val="250"/>
        </w:trPr>
        <w:tc>
          <w:tcPr>
            <w:tcW w:w="710" w:type="dxa"/>
            <w:tcBorders>
              <w:top w:val="nil"/>
              <w:left w:val="single" w:sz="4" w:space="0" w:color="auto"/>
              <w:bottom w:val="single" w:sz="4" w:space="0" w:color="auto"/>
              <w:right w:val="single" w:sz="4" w:space="0" w:color="auto"/>
            </w:tcBorders>
          </w:tcPr>
          <w:p w:rsidR="003B1609" w:rsidRDefault="003B1609">
            <w:pPr>
              <w:jc w:val="center"/>
              <w:rPr>
                <w:b/>
                <w:bCs/>
              </w:rPr>
            </w:pPr>
            <w:r>
              <w:rPr>
                <w:b/>
                <w:bCs/>
              </w:rPr>
              <w:t>3004</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3B1609" w:rsidRDefault="003B1609">
            <w:pPr>
              <w:rPr>
                <w:b/>
                <w:bCs/>
              </w:rPr>
            </w:pPr>
            <w:r>
              <w:rPr>
                <w:b/>
                <w:bCs/>
              </w:rPr>
              <w:t>Medicamente (cu exceptia produselor de la pozitiile 3002, 3005 sau 3006) constituite din produse amestecate sau neamestecate, preparate in scopuri terapeutice sau profilactice, prezentate sub forma de doze (inclusiv cele prezentate in forma de sistem terapeutic transdermic) sau conditionate pentru vinzarea cu amanuntul:</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B1609" w:rsidRDefault="00E57EDE" w:rsidP="003B1609">
            <w:pPr>
              <w:jc w:val="center"/>
            </w:pPr>
            <w:r>
              <w:t xml:space="preserve">1 </w:t>
            </w:r>
            <w:r w:rsidR="003B1609">
              <w:t>667,33</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B1609" w:rsidRDefault="00E57EDE" w:rsidP="003B1609">
            <w:pPr>
              <w:jc w:val="center"/>
            </w:pPr>
            <w:r>
              <w:t xml:space="preserve">1 </w:t>
            </w:r>
            <w:r w:rsidR="003B1609">
              <w:t>772,14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+6,29</w:t>
            </w:r>
          </w:p>
        </w:tc>
        <w:tc>
          <w:tcPr>
            <w:tcW w:w="1418" w:type="dxa"/>
            <w:tcBorders>
              <w:top w:val="single" w:sz="4" w:space="0" w:color="auto"/>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84,06</w:t>
            </w:r>
          </w:p>
        </w:tc>
      </w:tr>
      <w:tr w:rsidR="003B1609" w:rsidRPr="0076190E" w:rsidTr="003B1609">
        <w:trPr>
          <w:trHeight w:val="200"/>
        </w:trPr>
        <w:tc>
          <w:tcPr>
            <w:tcW w:w="710" w:type="dxa"/>
            <w:tcBorders>
              <w:top w:val="nil"/>
              <w:left w:val="single" w:sz="4" w:space="0" w:color="auto"/>
              <w:bottom w:val="single" w:sz="4" w:space="0" w:color="auto"/>
              <w:right w:val="single" w:sz="4" w:space="0" w:color="auto"/>
            </w:tcBorders>
          </w:tcPr>
          <w:p w:rsidR="003B1609" w:rsidRDefault="003B1609">
            <w:pPr>
              <w:jc w:val="center"/>
              <w:rPr>
                <w:b/>
                <w:bCs/>
              </w:rPr>
            </w:pPr>
            <w:r>
              <w:rPr>
                <w:b/>
                <w:bCs/>
              </w:rPr>
              <w:t>8510</w:t>
            </w:r>
          </w:p>
        </w:tc>
        <w:tc>
          <w:tcPr>
            <w:tcW w:w="3685" w:type="dxa"/>
            <w:tcBorders>
              <w:top w:val="nil"/>
              <w:left w:val="single" w:sz="4" w:space="0" w:color="auto"/>
              <w:bottom w:val="single" w:sz="4" w:space="0" w:color="auto"/>
              <w:right w:val="single" w:sz="4" w:space="0" w:color="auto"/>
            </w:tcBorders>
            <w:shd w:val="clear" w:color="000000" w:fill="FFFFFF"/>
          </w:tcPr>
          <w:p w:rsidR="003B1609" w:rsidRDefault="003B1609">
            <w:pPr>
              <w:rPr>
                <w:b/>
                <w:bCs/>
              </w:rPr>
            </w:pPr>
            <w:r>
              <w:rPr>
                <w:b/>
                <w:bCs/>
              </w:rPr>
              <w:t>Masini de ras, de tuns si masini de epilat, cu motor electric incorporat:</w:t>
            </w:r>
          </w:p>
        </w:tc>
        <w:tc>
          <w:tcPr>
            <w:tcW w:w="1418"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37,31</w:t>
            </w:r>
          </w:p>
        </w:tc>
        <w:tc>
          <w:tcPr>
            <w:tcW w:w="1275"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48,62</w:t>
            </w:r>
          </w:p>
        </w:tc>
        <w:tc>
          <w:tcPr>
            <w:tcW w:w="1276" w:type="dxa"/>
            <w:tcBorders>
              <w:top w:val="nil"/>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+30,31</w:t>
            </w:r>
          </w:p>
        </w:tc>
        <w:tc>
          <w:tcPr>
            <w:tcW w:w="1418" w:type="dxa"/>
            <w:tcBorders>
              <w:top w:val="nil"/>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2,31</w:t>
            </w:r>
          </w:p>
        </w:tc>
      </w:tr>
      <w:tr w:rsidR="003B1609" w:rsidRPr="0076190E" w:rsidTr="003B1609">
        <w:trPr>
          <w:trHeight w:val="470"/>
        </w:trPr>
        <w:tc>
          <w:tcPr>
            <w:tcW w:w="710" w:type="dxa"/>
            <w:tcBorders>
              <w:top w:val="nil"/>
              <w:left w:val="single" w:sz="4" w:space="0" w:color="auto"/>
              <w:bottom w:val="single" w:sz="4" w:space="0" w:color="auto"/>
              <w:right w:val="single" w:sz="4" w:space="0" w:color="auto"/>
            </w:tcBorders>
          </w:tcPr>
          <w:p w:rsidR="003B1609" w:rsidRDefault="003B1609">
            <w:pPr>
              <w:jc w:val="center"/>
              <w:rPr>
                <w:b/>
                <w:bCs/>
              </w:rPr>
            </w:pPr>
            <w:r>
              <w:rPr>
                <w:b/>
                <w:bCs/>
              </w:rPr>
              <w:t>8421</w:t>
            </w:r>
          </w:p>
        </w:tc>
        <w:tc>
          <w:tcPr>
            <w:tcW w:w="3685" w:type="dxa"/>
            <w:tcBorders>
              <w:top w:val="nil"/>
              <w:left w:val="single" w:sz="4" w:space="0" w:color="auto"/>
              <w:bottom w:val="single" w:sz="4" w:space="0" w:color="auto"/>
              <w:right w:val="single" w:sz="4" w:space="0" w:color="auto"/>
            </w:tcBorders>
            <w:shd w:val="clear" w:color="000000" w:fill="FFFFFF"/>
          </w:tcPr>
          <w:p w:rsidR="003B1609" w:rsidRDefault="003B1609">
            <w:pPr>
              <w:rPr>
                <w:b/>
                <w:bCs/>
              </w:rPr>
            </w:pPr>
            <w:r>
              <w:rPr>
                <w:b/>
                <w:bCs/>
              </w:rPr>
              <w:t>Centrifuge, inclusiv uscatoare centrifugale; masini si aparate pentru filtrarea sau epurarea lichidelor sau gazelor:</w:t>
            </w:r>
          </w:p>
        </w:tc>
        <w:tc>
          <w:tcPr>
            <w:tcW w:w="1418"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72,88</w:t>
            </w:r>
          </w:p>
        </w:tc>
        <w:tc>
          <w:tcPr>
            <w:tcW w:w="1275"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43,46</w:t>
            </w:r>
          </w:p>
        </w:tc>
        <w:tc>
          <w:tcPr>
            <w:tcW w:w="1276" w:type="dxa"/>
            <w:tcBorders>
              <w:top w:val="nil"/>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-40,37</w:t>
            </w:r>
          </w:p>
        </w:tc>
        <w:tc>
          <w:tcPr>
            <w:tcW w:w="1418" w:type="dxa"/>
            <w:tcBorders>
              <w:top w:val="nil"/>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2,06</w:t>
            </w:r>
          </w:p>
        </w:tc>
      </w:tr>
      <w:tr w:rsidR="003B1609" w:rsidRPr="0076190E" w:rsidTr="003B1609">
        <w:trPr>
          <w:trHeight w:val="302"/>
        </w:trPr>
        <w:tc>
          <w:tcPr>
            <w:tcW w:w="710" w:type="dxa"/>
            <w:tcBorders>
              <w:top w:val="nil"/>
              <w:left w:val="single" w:sz="4" w:space="0" w:color="auto"/>
              <w:bottom w:val="single" w:sz="4" w:space="0" w:color="auto"/>
              <w:right w:val="single" w:sz="4" w:space="0" w:color="auto"/>
            </w:tcBorders>
          </w:tcPr>
          <w:p w:rsidR="003B1609" w:rsidRDefault="003B1609">
            <w:pPr>
              <w:jc w:val="center"/>
              <w:rPr>
                <w:b/>
                <w:bCs/>
              </w:rPr>
            </w:pPr>
            <w:r>
              <w:rPr>
                <w:b/>
                <w:bCs/>
              </w:rPr>
              <w:t>6203</w:t>
            </w:r>
          </w:p>
        </w:tc>
        <w:tc>
          <w:tcPr>
            <w:tcW w:w="3685" w:type="dxa"/>
            <w:tcBorders>
              <w:top w:val="nil"/>
              <w:left w:val="single" w:sz="4" w:space="0" w:color="auto"/>
              <w:bottom w:val="single" w:sz="4" w:space="0" w:color="auto"/>
              <w:right w:val="single" w:sz="4" w:space="0" w:color="auto"/>
            </w:tcBorders>
            <w:shd w:val="clear" w:color="000000" w:fill="FFFFFF"/>
          </w:tcPr>
          <w:p w:rsidR="003B1609" w:rsidRDefault="003B1609">
            <w:pPr>
              <w:rPr>
                <w:b/>
                <w:bCs/>
              </w:rPr>
            </w:pPr>
            <w:r>
              <w:rPr>
                <w:b/>
                <w:bCs/>
              </w:rPr>
              <w:t>Costume sau compleuri, ansambluri, jachete, sacouri, pantaloni, salopete cu bretele, pantaloni scurti si sorturi (altele decit cele pentru baie), pentru barbati sau baieti:</w:t>
            </w:r>
          </w:p>
        </w:tc>
        <w:tc>
          <w:tcPr>
            <w:tcW w:w="1418"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15,00</w:t>
            </w:r>
          </w:p>
        </w:tc>
        <w:tc>
          <w:tcPr>
            <w:tcW w:w="1275"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35,43</w:t>
            </w:r>
          </w:p>
        </w:tc>
        <w:tc>
          <w:tcPr>
            <w:tcW w:w="1276" w:type="dxa"/>
            <w:tcBorders>
              <w:top w:val="nil"/>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+2,4 ori</w:t>
            </w:r>
          </w:p>
        </w:tc>
        <w:tc>
          <w:tcPr>
            <w:tcW w:w="1418" w:type="dxa"/>
            <w:tcBorders>
              <w:top w:val="nil"/>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3,97</w:t>
            </w:r>
          </w:p>
        </w:tc>
      </w:tr>
      <w:tr w:rsidR="003B1609" w:rsidRPr="0076190E" w:rsidTr="003B1609">
        <w:trPr>
          <w:trHeight w:val="279"/>
        </w:trPr>
        <w:tc>
          <w:tcPr>
            <w:tcW w:w="710" w:type="dxa"/>
            <w:tcBorders>
              <w:top w:val="nil"/>
              <w:left w:val="single" w:sz="4" w:space="0" w:color="auto"/>
              <w:bottom w:val="single" w:sz="4" w:space="0" w:color="auto"/>
              <w:right w:val="single" w:sz="4" w:space="0" w:color="auto"/>
            </w:tcBorders>
          </w:tcPr>
          <w:p w:rsidR="003B1609" w:rsidRDefault="003B1609">
            <w:pPr>
              <w:jc w:val="center"/>
              <w:rPr>
                <w:b/>
                <w:bCs/>
              </w:rPr>
            </w:pPr>
            <w:r>
              <w:rPr>
                <w:b/>
                <w:bCs/>
              </w:rPr>
              <w:t>8544</w:t>
            </w:r>
          </w:p>
        </w:tc>
        <w:tc>
          <w:tcPr>
            <w:tcW w:w="3685" w:type="dxa"/>
            <w:tcBorders>
              <w:top w:val="nil"/>
              <w:left w:val="single" w:sz="4" w:space="0" w:color="auto"/>
              <w:bottom w:val="single" w:sz="4" w:space="0" w:color="auto"/>
              <w:right w:val="single" w:sz="4" w:space="0" w:color="auto"/>
            </w:tcBorders>
            <w:shd w:val="clear" w:color="000000" w:fill="FFFFFF"/>
          </w:tcPr>
          <w:p w:rsidR="003B1609" w:rsidRDefault="003B1609">
            <w:pPr>
              <w:rPr>
                <w:b/>
                <w:bCs/>
              </w:rPr>
            </w:pPr>
            <w:r>
              <w:rPr>
                <w:b/>
                <w:bCs/>
              </w:rPr>
              <w:t xml:space="preserve">Fire, cabluri (inclusiv cabluri coaxiale) si alte conductoare electrice izolate (chiar emailate sau oxidate anodic), cu sau fara conectori; cabluri din fibre optice, constituite din fibre izolate </w:t>
            </w:r>
            <w:r>
              <w:rPr>
                <w:b/>
                <w:bCs/>
              </w:rPr>
              <w:lastRenderedPageBreak/>
              <w:t>individual, chiar echipate cu conductoare electrice sau prevazute cu conectori:</w:t>
            </w:r>
          </w:p>
        </w:tc>
        <w:tc>
          <w:tcPr>
            <w:tcW w:w="1418"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lastRenderedPageBreak/>
              <w:t>0,53</w:t>
            </w:r>
          </w:p>
        </w:tc>
        <w:tc>
          <w:tcPr>
            <w:tcW w:w="1275"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34,79</w:t>
            </w:r>
          </w:p>
        </w:tc>
        <w:tc>
          <w:tcPr>
            <w:tcW w:w="1276" w:type="dxa"/>
            <w:tcBorders>
              <w:top w:val="nil"/>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+34,26 mii USD</w:t>
            </w:r>
          </w:p>
        </w:tc>
        <w:tc>
          <w:tcPr>
            <w:tcW w:w="1418" w:type="dxa"/>
            <w:tcBorders>
              <w:top w:val="nil"/>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1,65</w:t>
            </w:r>
          </w:p>
        </w:tc>
      </w:tr>
      <w:tr w:rsidR="003B1609" w:rsidRPr="0076190E" w:rsidTr="003B1609">
        <w:trPr>
          <w:trHeight w:val="137"/>
        </w:trPr>
        <w:tc>
          <w:tcPr>
            <w:tcW w:w="710" w:type="dxa"/>
            <w:tcBorders>
              <w:top w:val="nil"/>
              <w:left w:val="single" w:sz="4" w:space="0" w:color="auto"/>
              <w:bottom w:val="single" w:sz="4" w:space="0" w:color="auto"/>
              <w:right w:val="single" w:sz="4" w:space="0" w:color="auto"/>
            </w:tcBorders>
          </w:tcPr>
          <w:p w:rsidR="003B1609" w:rsidRDefault="003B1609">
            <w:pPr>
              <w:jc w:val="center"/>
              <w:rPr>
                <w:b/>
                <w:bCs/>
              </w:rPr>
            </w:pPr>
            <w:r>
              <w:rPr>
                <w:b/>
                <w:bCs/>
              </w:rPr>
              <w:lastRenderedPageBreak/>
              <w:t>1522</w:t>
            </w:r>
          </w:p>
        </w:tc>
        <w:tc>
          <w:tcPr>
            <w:tcW w:w="3685" w:type="dxa"/>
            <w:tcBorders>
              <w:top w:val="nil"/>
              <w:left w:val="single" w:sz="4" w:space="0" w:color="auto"/>
              <w:bottom w:val="single" w:sz="4" w:space="0" w:color="auto"/>
              <w:right w:val="single" w:sz="4" w:space="0" w:color="auto"/>
            </w:tcBorders>
            <w:shd w:val="clear" w:color="000000" w:fill="FFFFFF"/>
          </w:tcPr>
          <w:p w:rsidR="003B1609" w:rsidRDefault="003B1609">
            <w:pPr>
              <w:rPr>
                <w:b/>
                <w:bCs/>
              </w:rPr>
            </w:pPr>
            <w:r>
              <w:rPr>
                <w:b/>
                <w:bCs/>
              </w:rPr>
              <w:t>Degras; reziduuri provenite de la tratarea grasimilor sau a cerii de origine animala sau vegetala:</w:t>
            </w:r>
          </w:p>
        </w:tc>
        <w:tc>
          <w:tcPr>
            <w:tcW w:w="1418"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40,47</w:t>
            </w:r>
          </w:p>
        </w:tc>
        <w:tc>
          <w:tcPr>
            <w:tcW w:w="1275" w:type="dxa"/>
            <w:tcBorders>
              <w:top w:val="nil"/>
              <w:left w:val="nil"/>
              <w:bottom w:val="single" w:sz="4" w:space="0" w:color="auto"/>
              <w:right w:val="single" w:sz="4" w:space="0" w:color="auto"/>
            </w:tcBorders>
            <w:shd w:val="clear" w:color="000000" w:fill="FFFFFF"/>
            <w:noWrap/>
            <w:vAlign w:val="center"/>
          </w:tcPr>
          <w:p w:rsidR="003B1609" w:rsidRDefault="003B1609" w:rsidP="003B1609">
            <w:pPr>
              <w:jc w:val="center"/>
            </w:pPr>
            <w:r>
              <w:t>32,40</w:t>
            </w:r>
          </w:p>
        </w:tc>
        <w:tc>
          <w:tcPr>
            <w:tcW w:w="1276" w:type="dxa"/>
            <w:tcBorders>
              <w:top w:val="nil"/>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-19,94</w:t>
            </w:r>
          </w:p>
        </w:tc>
        <w:tc>
          <w:tcPr>
            <w:tcW w:w="1418" w:type="dxa"/>
            <w:tcBorders>
              <w:top w:val="nil"/>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1,54</w:t>
            </w:r>
          </w:p>
        </w:tc>
      </w:tr>
      <w:tr w:rsidR="003B1609" w:rsidRPr="0076190E" w:rsidTr="003B1609">
        <w:trPr>
          <w:trHeight w:val="137"/>
        </w:trPr>
        <w:tc>
          <w:tcPr>
            <w:tcW w:w="710" w:type="dxa"/>
            <w:tcBorders>
              <w:top w:val="single" w:sz="4" w:space="0" w:color="auto"/>
              <w:left w:val="single" w:sz="4" w:space="0" w:color="auto"/>
              <w:bottom w:val="single" w:sz="4" w:space="0" w:color="auto"/>
              <w:right w:val="single" w:sz="4" w:space="0" w:color="auto"/>
            </w:tcBorders>
          </w:tcPr>
          <w:p w:rsidR="003B1609" w:rsidRDefault="003B1609">
            <w:pPr>
              <w:jc w:val="center"/>
              <w:rPr>
                <w:b/>
                <w:bCs/>
              </w:rPr>
            </w:pPr>
            <w:r>
              <w:rPr>
                <w:b/>
                <w:bCs/>
              </w:rPr>
              <w:t>8421</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3B1609" w:rsidRDefault="003B1609">
            <w:pPr>
              <w:rPr>
                <w:b/>
                <w:bCs/>
              </w:rPr>
            </w:pPr>
            <w:r>
              <w:rPr>
                <w:b/>
                <w:bCs/>
              </w:rPr>
              <w:t>Centrifuge, inclusiv uscatoare centrifugale; masini si aparate pentru filtrarea sau epurarea lichidelor sau gazelor:</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B1609" w:rsidRDefault="003B1609" w:rsidP="003B1609">
            <w:pPr>
              <w:jc w:val="center"/>
            </w:pPr>
            <w:r>
              <w:t>35,34</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B1609" w:rsidRDefault="003B1609" w:rsidP="003B1609">
            <w:pPr>
              <w:jc w:val="center"/>
            </w:pPr>
            <w:r>
              <w:t>26,64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-24,62</w:t>
            </w:r>
          </w:p>
        </w:tc>
        <w:tc>
          <w:tcPr>
            <w:tcW w:w="1418" w:type="dxa"/>
            <w:tcBorders>
              <w:top w:val="single" w:sz="4" w:space="0" w:color="auto"/>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1,26</w:t>
            </w:r>
          </w:p>
        </w:tc>
      </w:tr>
      <w:tr w:rsidR="003B1609" w:rsidRPr="0076190E" w:rsidTr="003B1609">
        <w:trPr>
          <w:trHeight w:val="137"/>
        </w:trPr>
        <w:tc>
          <w:tcPr>
            <w:tcW w:w="710" w:type="dxa"/>
            <w:tcBorders>
              <w:top w:val="single" w:sz="4" w:space="0" w:color="auto"/>
              <w:left w:val="single" w:sz="4" w:space="0" w:color="auto"/>
              <w:bottom w:val="single" w:sz="4" w:space="0" w:color="auto"/>
              <w:right w:val="single" w:sz="4" w:space="0" w:color="auto"/>
            </w:tcBorders>
          </w:tcPr>
          <w:p w:rsidR="003B1609" w:rsidRDefault="003B1609">
            <w:pPr>
              <w:jc w:val="center"/>
              <w:rPr>
                <w:b/>
                <w:bCs/>
              </w:rPr>
            </w:pPr>
            <w:r>
              <w:rPr>
                <w:b/>
                <w:bCs/>
              </w:rPr>
              <w:t>0602</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3B1609" w:rsidRDefault="003B1609">
            <w:pPr>
              <w:rPr>
                <w:b/>
                <w:bCs/>
              </w:rPr>
            </w:pPr>
            <w:r>
              <w:rPr>
                <w:b/>
                <w:bCs/>
              </w:rPr>
              <w:t>Alte plante vii (inclusiv radacinile acestora), butasi si altoi; spori de ciuperci: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B1609" w:rsidRDefault="003B1609" w:rsidP="003B1609">
            <w:pPr>
              <w:jc w:val="center"/>
            </w:pPr>
            <w:r>
              <w:t>-</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B1609" w:rsidRDefault="003B1609" w:rsidP="003B1609">
            <w:pPr>
              <w:jc w:val="center"/>
            </w:pPr>
            <w:r>
              <w:t>21,52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+21,52 mii USD</w:t>
            </w:r>
          </w:p>
        </w:tc>
        <w:tc>
          <w:tcPr>
            <w:tcW w:w="1418" w:type="dxa"/>
            <w:tcBorders>
              <w:top w:val="single" w:sz="4" w:space="0" w:color="auto"/>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1,02</w:t>
            </w:r>
          </w:p>
        </w:tc>
      </w:tr>
      <w:tr w:rsidR="003B1609" w:rsidRPr="0076190E" w:rsidTr="003B1609">
        <w:trPr>
          <w:trHeight w:val="137"/>
        </w:trPr>
        <w:tc>
          <w:tcPr>
            <w:tcW w:w="710" w:type="dxa"/>
            <w:tcBorders>
              <w:top w:val="single" w:sz="4" w:space="0" w:color="auto"/>
              <w:left w:val="single" w:sz="4" w:space="0" w:color="auto"/>
              <w:bottom w:val="single" w:sz="4" w:space="0" w:color="auto"/>
              <w:right w:val="single" w:sz="4" w:space="0" w:color="auto"/>
            </w:tcBorders>
          </w:tcPr>
          <w:p w:rsidR="003B1609" w:rsidRDefault="003B1609">
            <w:pPr>
              <w:jc w:val="center"/>
              <w:rPr>
                <w:b/>
                <w:bCs/>
              </w:rPr>
            </w:pPr>
            <w:r>
              <w:rPr>
                <w:b/>
                <w:bCs/>
              </w:rPr>
              <w:t>6402</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3B1609" w:rsidRDefault="003B1609">
            <w:pPr>
              <w:rPr>
                <w:b/>
                <w:bCs/>
              </w:rPr>
            </w:pPr>
            <w:r>
              <w:rPr>
                <w:b/>
                <w:bCs/>
              </w:rPr>
              <w:t>Alta incaltaminte cu talpi exterioare si fete din cauciuc sau din material plastic:</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B1609" w:rsidRDefault="003B1609" w:rsidP="003B1609">
            <w:pPr>
              <w:jc w:val="center"/>
            </w:pPr>
            <w:r>
              <w:t>0,95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B1609" w:rsidRDefault="003B1609" w:rsidP="003B1609">
            <w:pPr>
              <w:jc w:val="center"/>
            </w:pPr>
            <w:r>
              <w:t>16,52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1609" w:rsidRPr="0076190E" w:rsidRDefault="00E57EDE" w:rsidP="00B6250A">
            <w:pPr>
              <w:jc w:val="center"/>
              <w:rPr>
                <w:sz w:val="22"/>
                <w:szCs w:val="22"/>
              </w:rPr>
            </w:pPr>
            <w:r>
              <w:rPr>
                <w:sz w:val="22"/>
                <w:szCs w:val="22"/>
              </w:rPr>
              <w:t>+15,57 mii USD</w:t>
            </w:r>
          </w:p>
        </w:tc>
        <w:tc>
          <w:tcPr>
            <w:tcW w:w="1418" w:type="dxa"/>
            <w:tcBorders>
              <w:top w:val="single" w:sz="4" w:space="0" w:color="auto"/>
              <w:left w:val="nil"/>
              <w:bottom w:val="single" w:sz="4" w:space="0" w:color="auto"/>
              <w:right w:val="single" w:sz="4" w:space="0" w:color="auto"/>
            </w:tcBorders>
            <w:shd w:val="clear" w:color="auto" w:fill="auto"/>
            <w:vAlign w:val="center"/>
          </w:tcPr>
          <w:p w:rsidR="003B1609" w:rsidRPr="0076190E" w:rsidRDefault="00E57EDE" w:rsidP="00B6250A">
            <w:pPr>
              <w:jc w:val="center"/>
              <w:rPr>
                <w:color w:val="000000"/>
                <w:sz w:val="22"/>
                <w:szCs w:val="22"/>
              </w:rPr>
            </w:pPr>
            <w:r>
              <w:rPr>
                <w:color w:val="000000"/>
                <w:sz w:val="22"/>
                <w:szCs w:val="22"/>
              </w:rPr>
              <w:t>0,78</w:t>
            </w:r>
          </w:p>
        </w:tc>
      </w:tr>
    </w:tbl>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center"/>
        <w:rPr>
          <w:lang w:val="ro-MO"/>
        </w:rPr>
      </w:pPr>
    </w:p>
    <w:p w:rsidR="00A40D1E" w:rsidRDefault="00A40D1E" w:rsidP="00A40D1E">
      <w:pPr>
        <w:jc w:val="right"/>
        <w:rPr>
          <w:lang w:val="ro-MO"/>
        </w:rPr>
      </w:pPr>
    </w:p>
    <w:sectPr w:rsidR="00A40D1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CB902D7"/>
    <w:multiLevelType w:val="hybridMultilevel"/>
    <w:tmpl w:val="7ABC2518"/>
    <w:lvl w:ilvl="0" w:tplc="B5201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3725A"/>
    <w:multiLevelType w:val="hybridMultilevel"/>
    <w:tmpl w:val="5B7C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24A7610"/>
    <w:multiLevelType w:val="hybridMultilevel"/>
    <w:tmpl w:val="F0DE1634"/>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1E"/>
    <w:rsid w:val="0001131E"/>
    <w:rsid w:val="000139C3"/>
    <w:rsid w:val="0002495E"/>
    <w:rsid w:val="000256D7"/>
    <w:rsid w:val="00050E27"/>
    <w:rsid w:val="000521F3"/>
    <w:rsid w:val="00056942"/>
    <w:rsid w:val="0006298B"/>
    <w:rsid w:val="00064BBD"/>
    <w:rsid w:val="0007193B"/>
    <w:rsid w:val="000726B8"/>
    <w:rsid w:val="00086B93"/>
    <w:rsid w:val="00091309"/>
    <w:rsid w:val="00093462"/>
    <w:rsid w:val="0009583E"/>
    <w:rsid w:val="00096034"/>
    <w:rsid w:val="000A2EDA"/>
    <w:rsid w:val="000A782F"/>
    <w:rsid w:val="000B6440"/>
    <w:rsid w:val="000C612D"/>
    <w:rsid w:val="000D1F47"/>
    <w:rsid w:val="000D4D90"/>
    <w:rsid w:val="000F0F79"/>
    <w:rsid w:val="000F32AB"/>
    <w:rsid w:val="00100176"/>
    <w:rsid w:val="00103F65"/>
    <w:rsid w:val="0010594D"/>
    <w:rsid w:val="0011067A"/>
    <w:rsid w:val="0011304A"/>
    <w:rsid w:val="0011377B"/>
    <w:rsid w:val="00122869"/>
    <w:rsid w:val="00122E3C"/>
    <w:rsid w:val="0012471A"/>
    <w:rsid w:val="00131A50"/>
    <w:rsid w:val="00146A6C"/>
    <w:rsid w:val="00156DEC"/>
    <w:rsid w:val="00173A0F"/>
    <w:rsid w:val="001768BD"/>
    <w:rsid w:val="00187EB1"/>
    <w:rsid w:val="00193D20"/>
    <w:rsid w:val="001A4B70"/>
    <w:rsid w:val="001B2479"/>
    <w:rsid w:val="001B46E0"/>
    <w:rsid w:val="001B6E87"/>
    <w:rsid w:val="001C63BF"/>
    <w:rsid w:val="001D61F4"/>
    <w:rsid w:val="001E3C69"/>
    <w:rsid w:val="001E5B54"/>
    <w:rsid w:val="0020194E"/>
    <w:rsid w:val="00205BE6"/>
    <w:rsid w:val="00212ACF"/>
    <w:rsid w:val="00227659"/>
    <w:rsid w:val="00227665"/>
    <w:rsid w:val="00227CFC"/>
    <w:rsid w:val="002406F1"/>
    <w:rsid w:val="00240E93"/>
    <w:rsid w:val="00240E96"/>
    <w:rsid w:val="00245D99"/>
    <w:rsid w:val="00251075"/>
    <w:rsid w:val="0025587D"/>
    <w:rsid w:val="002745D8"/>
    <w:rsid w:val="00290FB3"/>
    <w:rsid w:val="0029425B"/>
    <w:rsid w:val="00294A10"/>
    <w:rsid w:val="00296E4E"/>
    <w:rsid w:val="00297A29"/>
    <w:rsid w:val="002A1C06"/>
    <w:rsid w:val="002E08AB"/>
    <w:rsid w:val="002E2C50"/>
    <w:rsid w:val="002E5D0F"/>
    <w:rsid w:val="002F3C43"/>
    <w:rsid w:val="003139FC"/>
    <w:rsid w:val="00322D36"/>
    <w:rsid w:val="00335EB6"/>
    <w:rsid w:val="00343065"/>
    <w:rsid w:val="003463B1"/>
    <w:rsid w:val="003530E9"/>
    <w:rsid w:val="003625E3"/>
    <w:rsid w:val="00363B84"/>
    <w:rsid w:val="00375205"/>
    <w:rsid w:val="0038555C"/>
    <w:rsid w:val="00392466"/>
    <w:rsid w:val="003A0276"/>
    <w:rsid w:val="003A0863"/>
    <w:rsid w:val="003A1C6E"/>
    <w:rsid w:val="003B1609"/>
    <w:rsid w:val="003B3F28"/>
    <w:rsid w:val="003D149D"/>
    <w:rsid w:val="003E1602"/>
    <w:rsid w:val="003E1894"/>
    <w:rsid w:val="003E34FB"/>
    <w:rsid w:val="003E4211"/>
    <w:rsid w:val="003F0C26"/>
    <w:rsid w:val="003F1D5F"/>
    <w:rsid w:val="003F6722"/>
    <w:rsid w:val="004132E7"/>
    <w:rsid w:val="0043402B"/>
    <w:rsid w:val="00444AEB"/>
    <w:rsid w:val="00451302"/>
    <w:rsid w:val="00457F18"/>
    <w:rsid w:val="00462D4A"/>
    <w:rsid w:val="00463FEA"/>
    <w:rsid w:val="0047015D"/>
    <w:rsid w:val="00474891"/>
    <w:rsid w:val="00476C63"/>
    <w:rsid w:val="00477DC6"/>
    <w:rsid w:val="0048044B"/>
    <w:rsid w:val="0049254F"/>
    <w:rsid w:val="0049289A"/>
    <w:rsid w:val="00495A12"/>
    <w:rsid w:val="00495BFD"/>
    <w:rsid w:val="004A651C"/>
    <w:rsid w:val="004B1032"/>
    <w:rsid w:val="004B1476"/>
    <w:rsid w:val="004B5880"/>
    <w:rsid w:val="004C23EB"/>
    <w:rsid w:val="004C24F6"/>
    <w:rsid w:val="004C4402"/>
    <w:rsid w:val="004F3065"/>
    <w:rsid w:val="0051129D"/>
    <w:rsid w:val="005218E9"/>
    <w:rsid w:val="00524742"/>
    <w:rsid w:val="00524DE8"/>
    <w:rsid w:val="0053080A"/>
    <w:rsid w:val="00536008"/>
    <w:rsid w:val="00541CCA"/>
    <w:rsid w:val="00544C1D"/>
    <w:rsid w:val="00556BA5"/>
    <w:rsid w:val="00556E03"/>
    <w:rsid w:val="00570346"/>
    <w:rsid w:val="00572DC8"/>
    <w:rsid w:val="00587C4C"/>
    <w:rsid w:val="0059329E"/>
    <w:rsid w:val="005A077A"/>
    <w:rsid w:val="005A5C58"/>
    <w:rsid w:val="005A5D99"/>
    <w:rsid w:val="005B3CD1"/>
    <w:rsid w:val="005C520F"/>
    <w:rsid w:val="005E6D15"/>
    <w:rsid w:val="005E7DDA"/>
    <w:rsid w:val="0060040A"/>
    <w:rsid w:val="006047CE"/>
    <w:rsid w:val="0060700E"/>
    <w:rsid w:val="00616B3F"/>
    <w:rsid w:val="00617507"/>
    <w:rsid w:val="00617F20"/>
    <w:rsid w:val="00623C64"/>
    <w:rsid w:val="006267B0"/>
    <w:rsid w:val="00627179"/>
    <w:rsid w:val="0064041D"/>
    <w:rsid w:val="00644237"/>
    <w:rsid w:val="00650B77"/>
    <w:rsid w:val="00654F4D"/>
    <w:rsid w:val="00655B3C"/>
    <w:rsid w:val="0067188A"/>
    <w:rsid w:val="006753B0"/>
    <w:rsid w:val="0068371D"/>
    <w:rsid w:val="00694854"/>
    <w:rsid w:val="00697901"/>
    <w:rsid w:val="006A0B34"/>
    <w:rsid w:val="006B22E0"/>
    <w:rsid w:val="006B324D"/>
    <w:rsid w:val="006B4E04"/>
    <w:rsid w:val="006C1675"/>
    <w:rsid w:val="006C178B"/>
    <w:rsid w:val="006C3F0B"/>
    <w:rsid w:val="006C42D3"/>
    <w:rsid w:val="006C4605"/>
    <w:rsid w:val="006E1AFF"/>
    <w:rsid w:val="006E6C8D"/>
    <w:rsid w:val="006E742E"/>
    <w:rsid w:val="006F4DEA"/>
    <w:rsid w:val="007065B9"/>
    <w:rsid w:val="007074B2"/>
    <w:rsid w:val="00720623"/>
    <w:rsid w:val="00730008"/>
    <w:rsid w:val="007314A4"/>
    <w:rsid w:val="00744E03"/>
    <w:rsid w:val="0075188F"/>
    <w:rsid w:val="00762C9A"/>
    <w:rsid w:val="00765723"/>
    <w:rsid w:val="00767D97"/>
    <w:rsid w:val="007812EA"/>
    <w:rsid w:val="00791E88"/>
    <w:rsid w:val="00796D70"/>
    <w:rsid w:val="007A428E"/>
    <w:rsid w:val="007C15F3"/>
    <w:rsid w:val="007D0237"/>
    <w:rsid w:val="007D49AA"/>
    <w:rsid w:val="007D7CB1"/>
    <w:rsid w:val="007F5E8F"/>
    <w:rsid w:val="008062F9"/>
    <w:rsid w:val="00823515"/>
    <w:rsid w:val="00834B30"/>
    <w:rsid w:val="008350A4"/>
    <w:rsid w:val="0085361E"/>
    <w:rsid w:val="00856916"/>
    <w:rsid w:val="00867EC9"/>
    <w:rsid w:val="0087056B"/>
    <w:rsid w:val="00871933"/>
    <w:rsid w:val="00880B95"/>
    <w:rsid w:val="00884E6C"/>
    <w:rsid w:val="00893470"/>
    <w:rsid w:val="008B0122"/>
    <w:rsid w:val="008B443C"/>
    <w:rsid w:val="008C7E4D"/>
    <w:rsid w:val="008D1F78"/>
    <w:rsid w:val="008D2820"/>
    <w:rsid w:val="008D7AF2"/>
    <w:rsid w:val="008E0200"/>
    <w:rsid w:val="008E1146"/>
    <w:rsid w:val="008E3D5D"/>
    <w:rsid w:val="008F0B68"/>
    <w:rsid w:val="008F29D0"/>
    <w:rsid w:val="008F40DB"/>
    <w:rsid w:val="00917A2C"/>
    <w:rsid w:val="00924AFC"/>
    <w:rsid w:val="0092615B"/>
    <w:rsid w:val="00935B43"/>
    <w:rsid w:val="00950E09"/>
    <w:rsid w:val="0095114A"/>
    <w:rsid w:val="0096590A"/>
    <w:rsid w:val="00966107"/>
    <w:rsid w:val="00973ABE"/>
    <w:rsid w:val="00976A38"/>
    <w:rsid w:val="0098096E"/>
    <w:rsid w:val="009A47BF"/>
    <w:rsid w:val="009B3DFF"/>
    <w:rsid w:val="009B6290"/>
    <w:rsid w:val="009C49F4"/>
    <w:rsid w:val="009D026A"/>
    <w:rsid w:val="009D54BB"/>
    <w:rsid w:val="009E4BFA"/>
    <w:rsid w:val="009F62A5"/>
    <w:rsid w:val="00A03E36"/>
    <w:rsid w:val="00A1623D"/>
    <w:rsid w:val="00A26FE0"/>
    <w:rsid w:val="00A32D18"/>
    <w:rsid w:val="00A40D1E"/>
    <w:rsid w:val="00A43A63"/>
    <w:rsid w:val="00A45856"/>
    <w:rsid w:val="00A549BA"/>
    <w:rsid w:val="00A61B27"/>
    <w:rsid w:val="00A823FC"/>
    <w:rsid w:val="00A93844"/>
    <w:rsid w:val="00AA1D60"/>
    <w:rsid w:val="00AA5962"/>
    <w:rsid w:val="00AB25F1"/>
    <w:rsid w:val="00AC50C8"/>
    <w:rsid w:val="00AD06C2"/>
    <w:rsid w:val="00AD0EAD"/>
    <w:rsid w:val="00AD6BA7"/>
    <w:rsid w:val="00AF7714"/>
    <w:rsid w:val="00B15FB6"/>
    <w:rsid w:val="00B2112F"/>
    <w:rsid w:val="00B25966"/>
    <w:rsid w:val="00B32BFB"/>
    <w:rsid w:val="00B41852"/>
    <w:rsid w:val="00B43215"/>
    <w:rsid w:val="00B43223"/>
    <w:rsid w:val="00B44326"/>
    <w:rsid w:val="00B45E1C"/>
    <w:rsid w:val="00B51F39"/>
    <w:rsid w:val="00B53CF0"/>
    <w:rsid w:val="00B6250A"/>
    <w:rsid w:val="00B64C84"/>
    <w:rsid w:val="00B67C09"/>
    <w:rsid w:val="00B84352"/>
    <w:rsid w:val="00B85B45"/>
    <w:rsid w:val="00BA6D24"/>
    <w:rsid w:val="00BB6349"/>
    <w:rsid w:val="00BB65FB"/>
    <w:rsid w:val="00BC2E86"/>
    <w:rsid w:val="00BD74F9"/>
    <w:rsid w:val="00BE39CB"/>
    <w:rsid w:val="00BE68CA"/>
    <w:rsid w:val="00BF6868"/>
    <w:rsid w:val="00C14F7C"/>
    <w:rsid w:val="00C26AC5"/>
    <w:rsid w:val="00C27783"/>
    <w:rsid w:val="00C3485F"/>
    <w:rsid w:val="00C513FC"/>
    <w:rsid w:val="00C5662B"/>
    <w:rsid w:val="00C57196"/>
    <w:rsid w:val="00C61A4C"/>
    <w:rsid w:val="00C63CDA"/>
    <w:rsid w:val="00C66F10"/>
    <w:rsid w:val="00C70CDE"/>
    <w:rsid w:val="00C73094"/>
    <w:rsid w:val="00C76927"/>
    <w:rsid w:val="00C810B0"/>
    <w:rsid w:val="00C83953"/>
    <w:rsid w:val="00C85162"/>
    <w:rsid w:val="00C915B2"/>
    <w:rsid w:val="00C93D6A"/>
    <w:rsid w:val="00CA5B9A"/>
    <w:rsid w:val="00CA7C0A"/>
    <w:rsid w:val="00CA7C3A"/>
    <w:rsid w:val="00CB03F0"/>
    <w:rsid w:val="00CB0898"/>
    <w:rsid w:val="00CB095A"/>
    <w:rsid w:val="00CC1E06"/>
    <w:rsid w:val="00CC66BD"/>
    <w:rsid w:val="00CD3060"/>
    <w:rsid w:val="00CE1DA9"/>
    <w:rsid w:val="00CE3660"/>
    <w:rsid w:val="00CE42B7"/>
    <w:rsid w:val="00CE68E2"/>
    <w:rsid w:val="00CF2013"/>
    <w:rsid w:val="00CF42C7"/>
    <w:rsid w:val="00CF4768"/>
    <w:rsid w:val="00CF722E"/>
    <w:rsid w:val="00D0496B"/>
    <w:rsid w:val="00D101E1"/>
    <w:rsid w:val="00D103E1"/>
    <w:rsid w:val="00D1062C"/>
    <w:rsid w:val="00D1748C"/>
    <w:rsid w:val="00D22798"/>
    <w:rsid w:val="00D2520A"/>
    <w:rsid w:val="00D33A2F"/>
    <w:rsid w:val="00D35FBD"/>
    <w:rsid w:val="00D41585"/>
    <w:rsid w:val="00D710FF"/>
    <w:rsid w:val="00D83772"/>
    <w:rsid w:val="00D87999"/>
    <w:rsid w:val="00D916D7"/>
    <w:rsid w:val="00D93AE1"/>
    <w:rsid w:val="00D94F28"/>
    <w:rsid w:val="00DB628E"/>
    <w:rsid w:val="00DB6F34"/>
    <w:rsid w:val="00DB70FF"/>
    <w:rsid w:val="00DB71B4"/>
    <w:rsid w:val="00DD1701"/>
    <w:rsid w:val="00DE0588"/>
    <w:rsid w:val="00DE25D6"/>
    <w:rsid w:val="00DE5687"/>
    <w:rsid w:val="00E012EC"/>
    <w:rsid w:val="00E03CC0"/>
    <w:rsid w:val="00E06B05"/>
    <w:rsid w:val="00E10999"/>
    <w:rsid w:val="00E11EFA"/>
    <w:rsid w:val="00E12173"/>
    <w:rsid w:val="00E12E5D"/>
    <w:rsid w:val="00E13231"/>
    <w:rsid w:val="00E16143"/>
    <w:rsid w:val="00E400DB"/>
    <w:rsid w:val="00E44FD1"/>
    <w:rsid w:val="00E46A6E"/>
    <w:rsid w:val="00E5458E"/>
    <w:rsid w:val="00E5471B"/>
    <w:rsid w:val="00E563DE"/>
    <w:rsid w:val="00E57EDE"/>
    <w:rsid w:val="00E7464F"/>
    <w:rsid w:val="00E753FE"/>
    <w:rsid w:val="00E8405F"/>
    <w:rsid w:val="00E85CAF"/>
    <w:rsid w:val="00E92E2F"/>
    <w:rsid w:val="00E971A4"/>
    <w:rsid w:val="00EA09AB"/>
    <w:rsid w:val="00EA0C17"/>
    <w:rsid w:val="00EB018F"/>
    <w:rsid w:val="00EB3695"/>
    <w:rsid w:val="00EB4E0F"/>
    <w:rsid w:val="00EB5455"/>
    <w:rsid w:val="00EB5973"/>
    <w:rsid w:val="00EC0DA5"/>
    <w:rsid w:val="00EC18B6"/>
    <w:rsid w:val="00ED14BC"/>
    <w:rsid w:val="00ED273E"/>
    <w:rsid w:val="00ED7065"/>
    <w:rsid w:val="00F0473F"/>
    <w:rsid w:val="00F059D6"/>
    <w:rsid w:val="00F06318"/>
    <w:rsid w:val="00F12478"/>
    <w:rsid w:val="00F225E0"/>
    <w:rsid w:val="00F3736E"/>
    <w:rsid w:val="00F57A47"/>
    <w:rsid w:val="00F60D7F"/>
    <w:rsid w:val="00F62390"/>
    <w:rsid w:val="00F6627C"/>
    <w:rsid w:val="00F710F2"/>
    <w:rsid w:val="00F856CB"/>
    <w:rsid w:val="00F93294"/>
    <w:rsid w:val="00F959C3"/>
    <w:rsid w:val="00FA67ED"/>
    <w:rsid w:val="00FB3DEC"/>
    <w:rsid w:val="00FC6869"/>
    <w:rsid w:val="00FD554A"/>
    <w:rsid w:val="00FF013A"/>
    <w:rsid w:val="00FF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E"/>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A40D1E"/>
    <w:pPr>
      <w:keepNext/>
      <w:ind w:left="-2127" w:right="284"/>
      <w:jc w:val="center"/>
      <w:outlineLvl w:val="2"/>
    </w:pPr>
    <w:rPr>
      <w:sz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40D1E"/>
    <w:rPr>
      <w:rFonts w:ascii="Times New Roman" w:eastAsia="Times New Roman" w:hAnsi="Times New Roman" w:cs="Times New Roman"/>
      <w:sz w:val="24"/>
      <w:szCs w:val="20"/>
      <w:lang w:val="ro-RO" w:eastAsia="ru-RU"/>
    </w:rPr>
  </w:style>
  <w:style w:type="character" w:styleId="a3">
    <w:name w:val="Hyperlink"/>
    <w:rsid w:val="00A40D1E"/>
    <w:rPr>
      <w:color w:val="0000FF"/>
      <w:u w:val="single"/>
    </w:rPr>
  </w:style>
  <w:style w:type="paragraph" w:styleId="a4">
    <w:name w:val="footer"/>
    <w:basedOn w:val="a"/>
    <w:link w:val="a5"/>
    <w:rsid w:val="00A40D1E"/>
    <w:pPr>
      <w:tabs>
        <w:tab w:val="center" w:pos="4677"/>
        <w:tab w:val="right" w:pos="9355"/>
      </w:tabs>
    </w:pPr>
  </w:style>
  <w:style w:type="character" w:customStyle="1" w:styleId="a5">
    <w:name w:val="Нижний колонтитул Знак"/>
    <w:basedOn w:val="a0"/>
    <w:link w:val="a4"/>
    <w:rsid w:val="00A40D1E"/>
    <w:rPr>
      <w:rFonts w:ascii="Times New Roman" w:eastAsia="Times New Roman" w:hAnsi="Times New Roman" w:cs="Times New Roman"/>
      <w:sz w:val="20"/>
      <w:szCs w:val="20"/>
      <w:lang w:val="en-GB" w:eastAsia="ru-RU"/>
    </w:rPr>
  </w:style>
  <w:style w:type="character" w:styleId="a6">
    <w:name w:val="page number"/>
    <w:basedOn w:val="a0"/>
    <w:rsid w:val="00A40D1E"/>
  </w:style>
  <w:style w:type="paragraph" w:styleId="a7">
    <w:name w:val="header"/>
    <w:basedOn w:val="a"/>
    <w:link w:val="a8"/>
    <w:rsid w:val="00A40D1E"/>
    <w:pPr>
      <w:tabs>
        <w:tab w:val="center" w:pos="4677"/>
        <w:tab w:val="right" w:pos="9355"/>
      </w:tabs>
    </w:pPr>
  </w:style>
  <w:style w:type="character" w:customStyle="1" w:styleId="a8">
    <w:name w:val="Верхний колонтитул Знак"/>
    <w:basedOn w:val="a0"/>
    <w:link w:val="a7"/>
    <w:rsid w:val="00A40D1E"/>
    <w:rPr>
      <w:rFonts w:ascii="Times New Roman" w:eastAsia="Times New Roman" w:hAnsi="Times New Roman" w:cs="Times New Roman"/>
      <w:sz w:val="20"/>
      <w:szCs w:val="20"/>
      <w:lang w:val="en-GB" w:eastAsia="ru-RU"/>
    </w:rPr>
  </w:style>
  <w:style w:type="table" w:styleId="a9">
    <w:name w:val="Table Grid"/>
    <w:basedOn w:val="a1"/>
    <w:uiPriority w:val="39"/>
    <w:rsid w:val="00A40D1E"/>
    <w:pPr>
      <w:spacing w:after="0" w:line="240" w:lineRule="auto"/>
    </w:pPr>
    <w:rPr>
      <w:rFonts w:eastAsiaTheme="minorEastAsia"/>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Antes de enumeración,Normal bullet 2,List Paragraph1,body 2,List_Paragraph,Multilevel para_II"/>
    <w:basedOn w:val="a"/>
    <w:link w:val="ab"/>
    <w:uiPriority w:val="34"/>
    <w:qFormat/>
    <w:rsid w:val="00A40D1E"/>
    <w:pPr>
      <w:spacing w:after="120" w:line="264" w:lineRule="auto"/>
      <w:ind w:left="720"/>
      <w:contextualSpacing/>
    </w:pPr>
    <w:rPr>
      <w:rFonts w:asciiTheme="minorHAnsi" w:eastAsiaTheme="minorEastAsia" w:hAnsiTheme="minorHAnsi" w:cstheme="minorBidi"/>
      <w:lang w:val="ro-RO" w:eastAsia="en-US"/>
    </w:rPr>
  </w:style>
  <w:style w:type="character" w:customStyle="1" w:styleId="ab">
    <w:name w:val="Абзац списка Знак"/>
    <w:aliases w:val="Antes de enumeración Знак,Normal bullet 2 Знак,List Paragraph1 Знак,body 2 Знак,List_Paragraph Знак,Multilevel para_II Знак"/>
    <w:basedOn w:val="a0"/>
    <w:link w:val="aa"/>
    <w:uiPriority w:val="34"/>
    <w:locked/>
    <w:rsid w:val="00A40D1E"/>
    <w:rPr>
      <w:rFonts w:eastAsiaTheme="minorEastAsia"/>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E"/>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A40D1E"/>
    <w:pPr>
      <w:keepNext/>
      <w:ind w:left="-2127" w:right="284"/>
      <w:jc w:val="center"/>
      <w:outlineLvl w:val="2"/>
    </w:pPr>
    <w:rPr>
      <w:sz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40D1E"/>
    <w:rPr>
      <w:rFonts w:ascii="Times New Roman" w:eastAsia="Times New Roman" w:hAnsi="Times New Roman" w:cs="Times New Roman"/>
      <w:sz w:val="24"/>
      <w:szCs w:val="20"/>
      <w:lang w:val="ro-RO" w:eastAsia="ru-RU"/>
    </w:rPr>
  </w:style>
  <w:style w:type="character" w:styleId="a3">
    <w:name w:val="Hyperlink"/>
    <w:rsid w:val="00A40D1E"/>
    <w:rPr>
      <w:color w:val="0000FF"/>
      <w:u w:val="single"/>
    </w:rPr>
  </w:style>
  <w:style w:type="paragraph" w:styleId="a4">
    <w:name w:val="footer"/>
    <w:basedOn w:val="a"/>
    <w:link w:val="a5"/>
    <w:rsid w:val="00A40D1E"/>
    <w:pPr>
      <w:tabs>
        <w:tab w:val="center" w:pos="4677"/>
        <w:tab w:val="right" w:pos="9355"/>
      </w:tabs>
    </w:pPr>
  </w:style>
  <w:style w:type="character" w:customStyle="1" w:styleId="a5">
    <w:name w:val="Нижний колонтитул Знак"/>
    <w:basedOn w:val="a0"/>
    <w:link w:val="a4"/>
    <w:rsid w:val="00A40D1E"/>
    <w:rPr>
      <w:rFonts w:ascii="Times New Roman" w:eastAsia="Times New Roman" w:hAnsi="Times New Roman" w:cs="Times New Roman"/>
      <w:sz w:val="20"/>
      <w:szCs w:val="20"/>
      <w:lang w:val="en-GB" w:eastAsia="ru-RU"/>
    </w:rPr>
  </w:style>
  <w:style w:type="character" w:styleId="a6">
    <w:name w:val="page number"/>
    <w:basedOn w:val="a0"/>
    <w:rsid w:val="00A40D1E"/>
  </w:style>
  <w:style w:type="paragraph" w:styleId="a7">
    <w:name w:val="header"/>
    <w:basedOn w:val="a"/>
    <w:link w:val="a8"/>
    <w:rsid w:val="00A40D1E"/>
    <w:pPr>
      <w:tabs>
        <w:tab w:val="center" w:pos="4677"/>
        <w:tab w:val="right" w:pos="9355"/>
      </w:tabs>
    </w:pPr>
  </w:style>
  <w:style w:type="character" w:customStyle="1" w:styleId="a8">
    <w:name w:val="Верхний колонтитул Знак"/>
    <w:basedOn w:val="a0"/>
    <w:link w:val="a7"/>
    <w:rsid w:val="00A40D1E"/>
    <w:rPr>
      <w:rFonts w:ascii="Times New Roman" w:eastAsia="Times New Roman" w:hAnsi="Times New Roman" w:cs="Times New Roman"/>
      <w:sz w:val="20"/>
      <w:szCs w:val="20"/>
      <w:lang w:val="en-GB" w:eastAsia="ru-RU"/>
    </w:rPr>
  </w:style>
  <w:style w:type="table" w:styleId="a9">
    <w:name w:val="Table Grid"/>
    <w:basedOn w:val="a1"/>
    <w:uiPriority w:val="39"/>
    <w:rsid w:val="00A40D1E"/>
    <w:pPr>
      <w:spacing w:after="0" w:line="240" w:lineRule="auto"/>
    </w:pPr>
    <w:rPr>
      <w:rFonts w:eastAsiaTheme="minorEastAsia"/>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Antes de enumeración,Normal bullet 2,List Paragraph1,body 2,List_Paragraph,Multilevel para_II"/>
    <w:basedOn w:val="a"/>
    <w:link w:val="ab"/>
    <w:uiPriority w:val="34"/>
    <w:qFormat/>
    <w:rsid w:val="00A40D1E"/>
    <w:pPr>
      <w:spacing w:after="120" w:line="264" w:lineRule="auto"/>
      <w:ind w:left="720"/>
      <w:contextualSpacing/>
    </w:pPr>
    <w:rPr>
      <w:rFonts w:asciiTheme="minorHAnsi" w:eastAsiaTheme="minorEastAsia" w:hAnsiTheme="minorHAnsi" w:cstheme="minorBidi"/>
      <w:lang w:val="ro-RO" w:eastAsia="en-US"/>
    </w:rPr>
  </w:style>
  <w:style w:type="character" w:customStyle="1" w:styleId="ab">
    <w:name w:val="Абзац списка Знак"/>
    <w:aliases w:val="Antes de enumeración Знак,Normal bullet 2 Знак,List Paragraph1 Знак,body 2 Знак,List_Paragraph Знак,Multilevel para_II Знак"/>
    <w:basedOn w:val="a0"/>
    <w:link w:val="aa"/>
    <w:uiPriority w:val="34"/>
    <w:locked/>
    <w:rsid w:val="00A40D1E"/>
    <w:rPr>
      <w:rFonts w:eastAsiaTheme="minorEastAsia"/>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3501">
      <w:bodyDiv w:val="1"/>
      <w:marLeft w:val="0"/>
      <w:marRight w:val="0"/>
      <w:marTop w:val="0"/>
      <w:marBottom w:val="0"/>
      <w:divBdr>
        <w:top w:val="none" w:sz="0" w:space="0" w:color="auto"/>
        <w:left w:val="none" w:sz="0" w:space="0" w:color="auto"/>
        <w:bottom w:val="none" w:sz="0" w:space="0" w:color="auto"/>
        <w:right w:val="none" w:sz="0" w:space="0" w:color="auto"/>
      </w:divBdr>
    </w:div>
    <w:div w:id="499079488">
      <w:bodyDiv w:val="1"/>
      <w:marLeft w:val="0"/>
      <w:marRight w:val="0"/>
      <w:marTop w:val="0"/>
      <w:marBottom w:val="0"/>
      <w:divBdr>
        <w:top w:val="none" w:sz="0" w:space="0" w:color="auto"/>
        <w:left w:val="none" w:sz="0" w:space="0" w:color="auto"/>
        <w:bottom w:val="none" w:sz="0" w:space="0" w:color="auto"/>
        <w:right w:val="none" w:sz="0" w:space="0" w:color="auto"/>
      </w:divBdr>
    </w:div>
    <w:div w:id="603415038">
      <w:bodyDiv w:val="1"/>
      <w:marLeft w:val="0"/>
      <w:marRight w:val="0"/>
      <w:marTop w:val="0"/>
      <w:marBottom w:val="0"/>
      <w:divBdr>
        <w:top w:val="none" w:sz="0" w:space="0" w:color="auto"/>
        <w:left w:val="none" w:sz="0" w:space="0" w:color="auto"/>
        <w:bottom w:val="none" w:sz="0" w:space="0" w:color="auto"/>
        <w:right w:val="none" w:sz="0" w:space="0" w:color="auto"/>
      </w:divBdr>
    </w:div>
    <w:div w:id="789864880">
      <w:bodyDiv w:val="1"/>
      <w:marLeft w:val="0"/>
      <w:marRight w:val="0"/>
      <w:marTop w:val="0"/>
      <w:marBottom w:val="0"/>
      <w:divBdr>
        <w:top w:val="none" w:sz="0" w:space="0" w:color="auto"/>
        <w:left w:val="none" w:sz="0" w:space="0" w:color="auto"/>
        <w:bottom w:val="none" w:sz="0" w:space="0" w:color="auto"/>
        <w:right w:val="none" w:sz="0" w:space="0" w:color="auto"/>
      </w:divBdr>
    </w:div>
    <w:div w:id="1380858984">
      <w:bodyDiv w:val="1"/>
      <w:marLeft w:val="0"/>
      <w:marRight w:val="0"/>
      <w:marTop w:val="0"/>
      <w:marBottom w:val="0"/>
      <w:divBdr>
        <w:top w:val="none" w:sz="0" w:space="0" w:color="auto"/>
        <w:left w:val="none" w:sz="0" w:space="0" w:color="auto"/>
        <w:bottom w:val="none" w:sz="0" w:space="0" w:color="auto"/>
        <w:right w:val="none" w:sz="0" w:space="0" w:color="auto"/>
      </w:divBdr>
    </w:div>
    <w:div w:id="1426078001">
      <w:bodyDiv w:val="1"/>
      <w:marLeft w:val="0"/>
      <w:marRight w:val="0"/>
      <w:marTop w:val="0"/>
      <w:marBottom w:val="0"/>
      <w:divBdr>
        <w:top w:val="none" w:sz="0" w:space="0" w:color="auto"/>
        <w:left w:val="none" w:sz="0" w:space="0" w:color="auto"/>
        <w:bottom w:val="none" w:sz="0" w:space="0" w:color="auto"/>
        <w:right w:val="none" w:sz="0" w:space="0" w:color="auto"/>
      </w:divBdr>
    </w:div>
    <w:div w:id="1587035854">
      <w:bodyDiv w:val="1"/>
      <w:marLeft w:val="0"/>
      <w:marRight w:val="0"/>
      <w:marTop w:val="0"/>
      <w:marBottom w:val="0"/>
      <w:divBdr>
        <w:top w:val="none" w:sz="0" w:space="0" w:color="auto"/>
        <w:left w:val="none" w:sz="0" w:space="0" w:color="auto"/>
        <w:bottom w:val="none" w:sz="0" w:space="0" w:color="auto"/>
        <w:right w:val="none" w:sz="0" w:space="0" w:color="auto"/>
      </w:divBdr>
    </w:div>
    <w:div w:id="1843738678">
      <w:bodyDiv w:val="1"/>
      <w:marLeft w:val="0"/>
      <w:marRight w:val="0"/>
      <w:marTop w:val="0"/>
      <w:marBottom w:val="0"/>
      <w:divBdr>
        <w:top w:val="none" w:sz="0" w:space="0" w:color="auto"/>
        <w:left w:val="none" w:sz="0" w:space="0" w:color="auto"/>
        <w:bottom w:val="none" w:sz="0" w:space="0" w:color="auto"/>
        <w:right w:val="none" w:sz="0" w:space="0" w:color="auto"/>
      </w:divBdr>
    </w:div>
    <w:div w:id="20788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8</cp:revision>
  <dcterms:created xsi:type="dcterms:W3CDTF">2017-03-16T08:37:00Z</dcterms:created>
  <dcterms:modified xsi:type="dcterms:W3CDTF">2017-03-16T13:58:00Z</dcterms:modified>
</cp:coreProperties>
</file>