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vAlign w:val="center"/>
          </w:tcPr>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NOTA INFORMATIVĂ </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privind starea actuală a </w:t>
            </w:r>
            <w:r w:rsidR="00161749" w:rsidRPr="00E673F2">
              <w:rPr>
                <w:rFonts w:ascii="Times New Roman" w:hAnsi="Times New Roman" w:cs="Times New Roman"/>
                <w:b/>
                <w:color w:val="000000" w:themeColor="text1"/>
                <w:sz w:val="24"/>
                <w:szCs w:val="24"/>
              </w:rPr>
              <w:t>relațiilor</w:t>
            </w:r>
            <w:r w:rsidRPr="00E673F2">
              <w:rPr>
                <w:rFonts w:ascii="Times New Roman" w:hAnsi="Times New Roman" w:cs="Times New Roman"/>
                <w:b/>
                <w:color w:val="000000" w:themeColor="text1"/>
                <w:sz w:val="24"/>
                <w:szCs w:val="24"/>
              </w:rPr>
              <w:t xml:space="preserve"> comercial-economice</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între Republica Moldova şi </w:t>
            </w:r>
            <w:r w:rsidR="004035ED">
              <w:rPr>
                <w:rFonts w:ascii="Times New Roman" w:hAnsi="Times New Roman" w:cs="Times New Roman"/>
                <w:b/>
                <w:color w:val="000000" w:themeColor="text1"/>
                <w:sz w:val="24"/>
                <w:szCs w:val="24"/>
              </w:rPr>
              <w:t>Republica Federală Germană</w:t>
            </w:r>
            <w:r w:rsidRPr="00E673F2">
              <w:rPr>
                <w:rFonts w:ascii="Times New Roman" w:hAnsi="Times New Roman" w:cs="Times New Roman"/>
                <w:b/>
                <w:color w:val="000000" w:themeColor="text1"/>
                <w:sz w:val="24"/>
                <w:szCs w:val="24"/>
              </w:rPr>
              <w:t xml:space="preserve"> </w:t>
            </w:r>
          </w:p>
          <w:p w:rsidR="004D0F19" w:rsidRPr="00E673F2" w:rsidRDefault="004D0F19" w:rsidP="004D0F19">
            <w:pPr>
              <w:rPr>
                <w:rFonts w:ascii="Times New Roman" w:hAnsi="Times New Roman" w:cs="Times New Roman"/>
                <w:sz w:val="24"/>
                <w:szCs w:val="24"/>
              </w:rPr>
            </w:pP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4D0F19" w:rsidP="001A2B2E">
            <w:pPr>
              <w:spacing w:before="120" w:after="120"/>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Cadrul juridic.</w:t>
            </w:r>
          </w:p>
        </w:tc>
      </w:tr>
      <w:tr w:rsidR="004D0F19" w:rsidRPr="00E673F2" w:rsidTr="001C35D0">
        <w:tc>
          <w:tcPr>
            <w:tcW w:w="9776" w:type="dxa"/>
          </w:tcPr>
          <w:p w:rsidR="001A2B2E" w:rsidRPr="00E673F2" w:rsidRDefault="004035ED" w:rsidP="004D0F19">
            <w:pPr>
              <w:spacing w:before="120" w:after="120"/>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Pănă</w:t>
            </w:r>
            <w:proofErr w:type="spellEnd"/>
            <w:r>
              <w:rPr>
                <w:rFonts w:ascii="Times New Roman" w:hAnsi="Times New Roman" w:cs="Times New Roman"/>
                <w:bCs/>
                <w:color w:val="000000" w:themeColor="text1"/>
                <w:sz w:val="24"/>
                <w:szCs w:val="24"/>
              </w:rPr>
              <w:t xml:space="preserve"> în prezent între Republica Moldova și Republica Federală Germană </w:t>
            </w:r>
            <w:r w:rsidRPr="004035ED">
              <w:rPr>
                <w:rFonts w:ascii="Times New Roman" w:eastAsiaTheme="minorHAnsi" w:hAnsi="Times New Roman" w:cs="Times New Roman"/>
                <w:b/>
                <w:sz w:val="24"/>
                <w:szCs w:val="24"/>
                <w:lang w:eastAsia="ru-RU"/>
              </w:rPr>
              <w:t>au fost semnate 57 de acorduri</w:t>
            </w:r>
            <w:r>
              <w:rPr>
                <w:rFonts w:ascii="Times New Roman" w:hAnsi="Times New Roman" w:cs="Times New Roman"/>
                <w:bCs/>
                <w:color w:val="000000" w:themeColor="text1"/>
                <w:sz w:val="24"/>
                <w:szCs w:val="24"/>
              </w:rPr>
              <w:t xml:space="preserve"> și documente adiționale (în vigoare 54)</w:t>
            </w:r>
            <w:r w:rsidR="004D0F19" w:rsidRPr="00E673F2">
              <w:rPr>
                <w:rFonts w:ascii="Times New Roman" w:hAnsi="Times New Roman" w:cs="Times New Roman"/>
                <w:bCs/>
                <w:color w:val="000000" w:themeColor="text1"/>
                <w:sz w:val="24"/>
                <w:szCs w:val="24"/>
              </w:rPr>
              <w:t xml:space="preserve">. </w:t>
            </w:r>
          </w:p>
          <w:p w:rsidR="001A2B2E" w:rsidRPr="00E673F2" w:rsidRDefault="004D0F19" w:rsidP="001A2B2E">
            <w:pPr>
              <w:spacing w:before="120" w:after="120"/>
              <w:jc w:val="both"/>
              <w:rPr>
                <w:rFonts w:ascii="Times New Roman" w:hAnsi="Times New Roman" w:cs="Times New Roman"/>
                <w:color w:val="000000" w:themeColor="text1"/>
                <w:sz w:val="24"/>
                <w:szCs w:val="24"/>
              </w:rPr>
            </w:pPr>
            <w:r w:rsidRPr="004035ED">
              <w:rPr>
                <w:rFonts w:ascii="Times New Roman" w:hAnsi="Times New Roman" w:cs="Times New Roman"/>
                <w:b/>
                <w:color w:val="000000" w:themeColor="text1"/>
                <w:sz w:val="24"/>
                <w:szCs w:val="24"/>
              </w:rPr>
              <w:t>Principalele Acorduri cu caracter economic</w:t>
            </w:r>
            <w:r w:rsidRPr="00E673F2">
              <w:rPr>
                <w:rFonts w:ascii="Times New Roman" w:hAnsi="Times New Roman" w:cs="Times New Roman"/>
                <w:color w:val="000000" w:themeColor="text1"/>
                <w:sz w:val="24"/>
                <w:szCs w:val="24"/>
              </w:rPr>
              <w:t xml:space="preserve">: </w:t>
            </w:r>
          </w:p>
          <w:p w:rsidR="001A2B2E" w:rsidRPr="00E673F2" w:rsidRDefault="004035ED" w:rsidP="001A2B2E">
            <w:pPr>
              <w:pStyle w:val="ListParagraph"/>
              <w:numPr>
                <w:ilvl w:val="0"/>
                <w:numId w:val="1"/>
              </w:numPr>
              <w:spacing w:before="120"/>
              <w:ind w:left="313" w:hanging="284"/>
              <w:jc w:val="both"/>
              <w:rPr>
                <w:rFonts w:ascii="Times New Roman" w:hAnsi="Times New Roman" w:cs="Times New Roman"/>
                <w:color w:val="000000" w:themeColor="text1"/>
                <w:sz w:val="24"/>
                <w:szCs w:val="24"/>
              </w:rPr>
            </w:pPr>
            <w:r w:rsidRPr="00877369">
              <w:rPr>
                <w:rFonts w:ascii="Times New Roman" w:eastAsia="Times New Roman" w:hAnsi="Times New Roman" w:cs="Times New Roman"/>
                <w:noProof/>
                <w:sz w:val="24"/>
                <w:szCs w:val="24"/>
              </w:rPr>
              <w:t>Acordul între Republica Moldova şi Republica Federală Germania privind promovarea şi protejarea reciprocă a investiţiilor (semnat la Chişinău, 28.02.1994)</w:t>
            </w:r>
            <w:r w:rsidR="004D0F19" w:rsidRPr="00E673F2">
              <w:rPr>
                <w:rFonts w:ascii="Times New Roman" w:hAnsi="Times New Roman" w:cs="Times New Roman"/>
                <w:color w:val="000000" w:themeColor="text1"/>
                <w:sz w:val="24"/>
                <w:szCs w:val="24"/>
              </w:rPr>
              <w:t xml:space="preserve">; </w:t>
            </w:r>
          </w:p>
          <w:p w:rsidR="001A2B2E" w:rsidRPr="00E673F2" w:rsidRDefault="004035ED" w:rsidP="001A2B2E">
            <w:pPr>
              <w:pStyle w:val="ListParagraph"/>
              <w:numPr>
                <w:ilvl w:val="0"/>
                <w:numId w:val="1"/>
              </w:numPr>
              <w:spacing w:before="120"/>
              <w:ind w:left="313" w:hanging="284"/>
              <w:jc w:val="both"/>
              <w:rPr>
                <w:rFonts w:ascii="Times New Roman" w:hAnsi="Times New Roman" w:cs="Times New Roman"/>
                <w:color w:val="000000" w:themeColor="text1"/>
                <w:sz w:val="24"/>
                <w:szCs w:val="24"/>
              </w:rPr>
            </w:pPr>
            <w:r w:rsidRPr="00877369">
              <w:rPr>
                <w:rFonts w:ascii="Times New Roman" w:eastAsia="Times New Roman" w:hAnsi="Times New Roman" w:cs="Times New Roman"/>
                <w:noProof/>
                <w:sz w:val="24"/>
                <w:szCs w:val="24"/>
              </w:rPr>
              <w:t>Protocolul de amendament la Acordul între Republica Moldova şi Republica Federală Germania privind promovarea şi protejarea reciprocă a investiţiilor (semnat la Berlin, 26.08.2003)</w:t>
            </w:r>
            <w:r w:rsidR="004D0F19" w:rsidRPr="00E673F2">
              <w:rPr>
                <w:rFonts w:ascii="Times New Roman" w:hAnsi="Times New Roman" w:cs="Times New Roman"/>
                <w:color w:val="000000" w:themeColor="text1"/>
                <w:sz w:val="24"/>
                <w:szCs w:val="24"/>
              </w:rPr>
              <w:t xml:space="preserve">; </w:t>
            </w:r>
          </w:p>
          <w:p w:rsidR="004D0F19" w:rsidRPr="00E673F2" w:rsidRDefault="004035ED" w:rsidP="001A2B2E">
            <w:pPr>
              <w:pStyle w:val="ListParagraph"/>
              <w:numPr>
                <w:ilvl w:val="0"/>
                <w:numId w:val="1"/>
              </w:numPr>
              <w:spacing w:before="120"/>
              <w:ind w:left="313" w:hanging="284"/>
              <w:jc w:val="both"/>
              <w:rPr>
                <w:rFonts w:ascii="Times New Roman" w:hAnsi="Times New Roman" w:cs="Times New Roman"/>
                <w:color w:val="000000" w:themeColor="text1"/>
                <w:sz w:val="24"/>
                <w:szCs w:val="24"/>
              </w:rPr>
            </w:pPr>
            <w:r w:rsidRPr="00877369">
              <w:rPr>
                <w:rFonts w:ascii="Times New Roman" w:eastAsia="Times New Roman" w:hAnsi="Times New Roman" w:cs="Times New Roman"/>
                <w:noProof/>
                <w:sz w:val="24"/>
                <w:szCs w:val="24"/>
              </w:rPr>
              <w:t xml:space="preserve">Acordul între Guvernul Republicii Moldova şi Guvernul Republicii Federale Germania cu privire la transporturile rutiere internaţionale de persoane şi mărfuri (semnat la </w:t>
            </w:r>
            <w:r w:rsidRPr="00877369">
              <w:rPr>
                <w:rFonts w:ascii="Times New Roman" w:hAnsi="Times New Roman" w:cs="Times New Roman"/>
                <w:sz w:val="24"/>
                <w:szCs w:val="24"/>
              </w:rPr>
              <w:t>Bonn, 11.10.1995)</w:t>
            </w:r>
            <w:r w:rsidR="004D0F19" w:rsidRPr="00E673F2">
              <w:rPr>
                <w:rFonts w:ascii="Times New Roman" w:hAnsi="Times New Roman" w:cs="Times New Roman"/>
                <w:color w:val="000000" w:themeColor="text1"/>
                <w:sz w:val="24"/>
                <w:szCs w:val="24"/>
              </w:rPr>
              <w:t>.</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F25F19" w:rsidP="001A2B2E">
            <w:pPr>
              <w:spacing w:before="120" w:after="120"/>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Comisia interguvernamentală.</w:t>
            </w:r>
          </w:p>
        </w:tc>
      </w:tr>
      <w:tr w:rsidR="004D0F19" w:rsidRPr="00E673F2" w:rsidTr="001C35D0">
        <w:tc>
          <w:tcPr>
            <w:tcW w:w="9776" w:type="dxa"/>
          </w:tcPr>
          <w:p w:rsidR="00662F02" w:rsidRPr="003779C9" w:rsidRDefault="003779C9" w:rsidP="005776B0">
            <w:pPr>
              <w:spacing w:before="120"/>
              <w:jc w:val="both"/>
              <w:rPr>
                <w:rFonts w:ascii="Times New Roman" w:eastAsia="Times New Roman" w:hAnsi="Times New Roman" w:cs="Times New Roman"/>
                <w:bCs/>
                <w:iCs/>
                <w:color w:val="000000" w:themeColor="text1"/>
                <w:sz w:val="24"/>
                <w:szCs w:val="24"/>
                <w:lang w:eastAsia="ru-RU"/>
              </w:rPr>
            </w:pPr>
            <w:r>
              <w:rPr>
                <w:rFonts w:ascii="Times New Roman" w:hAnsi="Times New Roman" w:cs="Times New Roman"/>
                <w:color w:val="000000" w:themeColor="text1"/>
                <w:sz w:val="24"/>
                <w:szCs w:val="24"/>
              </w:rPr>
              <w:t>Comisia interguvernamentală nu a fost formată.</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56DFB" w:rsidP="00FE770A">
            <w:pPr>
              <w:spacing w:before="120" w:after="120"/>
              <w:jc w:val="both"/>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Relațiile</w:t>
            </w:r>
            <w:r w:rsidR="00C30E03" w:rsidRPr="00E673F2">
              <w:rPr>
                <w:rFonts w:ascii="Times New Roman" w:hAnsi="Times New Roman" w:cs="Times New Roman"/>
                <w:b/>
                <w:bCs/>
                <w:color w:val="000000" w:themeColor="text1"/>
                <w:sz w:val="24"/>
                <w:szCs w:val="24"/>
              </w:rPr>
              <w:t xml:space="preserve"> </w:t>
            </w:r>
            <w:r w:rsidRPr="00E673F2">
              <w:rPr>
                <w:rFonts w:ascii="Times New Roman" w:hAnsi="Times New Roman" w:cs="Times New Roman"/>
                <w:b/>
                <w:bCs/>
                <w:color w:val="000000" w:themeColor="text1"/>
                <w:sz w:val="24"/>
                <w:szCs w:val="24"/>
              </w:rPr>
              <w:t>investiționale</w:t>
            </w:r>
            <w:r w:rsidR="00C30E03" w:rsidRPr="00E673F2">
              <w:rPr>
                <w:rFonts w:ascii="Times New Roman" w:hAnsi="Times New Roman" w:cs="Times New Roman"/>
                <w:b/>
                <w:bCs/>
                <w:color w:val="000000" w:themeColor="text1"/>
                <w:sz w:val="24"/>
                <w:szCs w:val="24"/>
              </w:rPr>
              <w:t>.</w:t>
            </w:r>
          </w:p>
        </w:tc>
      </w:tr>
      <w:tr w:rsidR="004D0F19" w:rsidRPr="00E673F2" w:rsidTr="001C35D0">
        <w:tc>
          <w:tcPr>
            <w:tcW w:w="9776" w:type="dxa"/>
          </w:tcPr>
          <w:p w:rsidR="004D0F19" w:rsidRPr="00E673F2" w:rsidRDefault="00C30E03" w:rsidP="00495312">
            <w:pPr>
              <w:spacing w:before="120" w:after="120"/>
              <w:jc w:val="both"/>
              <w:rPr>
                <w:rFonts w:ascii="Times New Roman" w:eastAsia="Times New Roman" w:hAnsi="Times New Roman" w:cs="Times New Roman"/>
                <w:bCs/>
                <w:iCs/>
                <w:color w:val="000000" w:themeColor="text1"/>
                <w:sz w:val="24"/>
                <w:szCs w:val="24"/>
                <w:lang w:eastAsia="ru-RU"/>
              </w:rPr>
            </w:pPr>
            <w:r w:rsidRPr="00495312">
              <w:rPr>
                <w:rFonts w:ascii="Times New Roman" w:hAnsi="Times New Roman" w:cs="Times New Roman"/>
                <w:color w:val="000000" w:themeColor="text1"/>
                <w:sz w:val="24"/>
                <w:szCs w:val="24"/>
              </w:rPr>
              <w:t xml:space="preserve">Conform </w:t>
            </w:r>
            <w:r w:rsidR="00586561" w:rsidRPr="00495312">
              <w:rPr>
                <w:rFonts w:ascii="Times New Roman" w:hAnsi="Times New Roman" w:cs="Times New Roman"/>
                <w:color w:val="000000" w:themeColor="text1"/>
                <w:sz w:val="24"/>
                <w:szCs w:val="24"/>
              </w:rPr>
              <w:t>informației</w:t>
            </w:r>
            <w:r w:rsidRPr="00495312">
              <w:rPr>
                <w:rFonts w:ascii="Times New Roman" w:hAnsi="Times New Roman" w:cs="Times New Roman"/>
                <w:color w:val="000000" w:themeColor="text1"/>
                <w:sz w:val="24"/>
                <w:szCs w:val="24"/>
              </w:rPr>
              <w:t xml:space="preserve"> oficiale, prezentate de Camera Înregistrării de Stat la </w:t>
            </w:r>
            <w:r w:rsidR="00C837CE" w:rsidRPr="00495312">
              <w:rPr>
                <w:rFonts w:ascii="Times New Roman" w:hAnsi="Times New Roman" w:cs="Times New Roman"/>
                <w:color w:val="000000" w:themeColor="text1"/>
                <w:sz w:val="24"/>
                <w:szCs w:val="24"/>
              </w:rPr>
              <w:t>moment</w:t>
            </w:r>
            <w:r w:rsidRPr="00495312">
              <w:rPr>
                <w:rFonts w:ascii="Times New Roman" w:hAnsi="Times New Roman" w:cs="Times New Roman"/>
                <w:color w:val="000000" w:themeColor="text1"/>
                <w:sz w:val="24"/>
                <w:szCs w:val="24"/>
              </w:rPr>
              <w:t xml:space="preserve">, în Republica Moldova activează </w:t>
            </w:r>
            <w:r w:rsidR="00C837CE" w:rsidRPr="00495312">
              <w:rPr>
                <w:rFonts w:ascii="Times New Roman" w:hAnsi="Times New Roman" w:cs="Times New Roman"/>
                <w:color w:val="000000" w:themeColor="text1"/>
                <w:sz w:val="24"/>
                <w:szCs w:val="24"/>
              </w:rPr>
              <w:t>404</w:t>
            </w:r>
            <w:r w:rsidRPr="00495312">
              <w:rPr>
                <w:rFonts w:ascii="Times New Roman" w:hAnsi="Times New Roman" w:cs="Times New Roman"/>
                <w:color w:val="000000" w:themeColor="text1"/>
                <w:sz w:val="24"/>
                <w:szCs w:val="24"/>
              </w:rPr>
              <w:t xml:space="preserve"> întreprinderi cu capital </w:t>
            </w:r>
            <w:r w:rsidR="00C837CE" w:rsidRPr="00495312">
              <w:rPr>
                <w:rFonts w:ascii="Times New Roman" w:hAnsi="Times New Roman" w:cs="Times New Roman"/>
                <w:color w:val="000000" w:themeColor="text1"/>
                <w:sz w:val="24"/>
                <w:szCs w:val="24"/>
              </w:rPr>
              <w:t>german</w:t>
            </w:r>
            <w:r w:rsidRPr="00495312">
              <w:rPr>
                <w:rFonts w:ascii="Times New Roman" w:hAnsi="Times New Roman" w:cs="Times New Roman"/>
                <w:color w:val="000000" w:themeColor="text1"/>
                <w:sz w:val="24"/>
                <w:szCs w:val="24"/>
              </w:rPr>
              <w:t xml:space="preserve">, </w:t>
            </w:r>
            <w:r w:rsidR="00586561" w:rsidRPr="00495312">
              <w:rPr>
                <w:rFonts w:ascii="Times New Roman" w:hAnsi="Times New Roman" w:cs="Times New Roman"/>
                <w:color w:val="000000" w:themeColor="text1"/>
                <w:sz w:val="24"/>
                <w:szCs w:val="24"/>
              </w:rPr>
              <w:t>investițiile</w:t>
            </w:r>
            <w:r w:rsidRPr="00495312">
              <w:rPr>
                <w:rFonts w:ascii="Times New Roman" w:hAnsi="Times New Roman" w:cs="Times New Roman"/>
                <w:color w:val="000000" w:themeColor="text1"/>
                <w:sz w:val="24"/>
                <w:szCs w:val="24"/>
              </w:rPr>
              <w:t xml:space="preserve"> </w:t>
            </w:r>
            <w:proofErr w:type="spellStart"/>
            <w:r w:rsidRPr="00495312">
              <w:rPr>
                <w:rFonts w:ascii="Times New Roman" w:hAnsi="Times New Roman" w:cs="Times New Roman"/>
                <w:color w:val="000000" w:themeColor="text1"/>
                <w:sz w:val="24"/>
                <w:szCs w:val="24"/>
              </w:rPr>
              <w:t>însumînd</w:t>
            </w:r>
            <w:proofErr w:type="spellEnd"/>
            <w:r w:rsidRPr="00495312">
              <w:rPr>
                <w:rFonts w:ascii="Times New Roman" w:hAnsi="Times New Roman" w:cs="Times New Roman"/>
                <w:color w:val="000000" w:themeColor="text1"/>
                <w:sz w:val="24"/>
                <w:szCs w:val="24"/>
              </w:rPr>
              <w:t xml:space="preserve"> </w:t>
            </w:r>
            <w:r w:rsidR="00C837CE" w:rsidRPr="00495312">
              <w:rPr>
                <w:rFonts w:ascii="Times New Roman" w:hAnsi="Times New Roman" w:cs="Times New Roman"/>
                <w:color w:val="000000" w:themeColor="text1"/>
                <w:sz w:val="24"/>
                <w:szCs w:val="24"/>
              </w:rPr>
              <w:t>683</w:t>
            </w:r>
            <w:r w:rsidRPr="00495312">
              <w:rPr>
                <w:rFonts w:ascii="Times New Roman" w:hAnsi="Times New Roman" w:cs="Times New Roman"/>
                <w:color w:val="000000" w:themeColor="text1"/>
                <w:sz w:val="24"/>
                <w:szCs w:val="24"/>
              </w:rPr>
              <w:t xml:space="preserve"> </w:t>
            </w:r>
            <w:proofErr w:type="spellStart"/>
            <w:r w:rsidRPr="00495312">
              <w:rPr>
                <w:rFonts w:ascii="Times New Roman" w:hAnsi="Times New Roman" w:cs="Times New Roman"/>
                <w:color w:val="000000" w:themeColor="text1"/>
                <w:sz w:val="24"/>
                <w:szCs w:val="24"/>
              </w:rPr>
              <w:t>mln.lei</w:t>
            </w:r>
            <w:proofErr w:type="spellEnd"/>
            <w:r w:rsidRPr="00495312">
              <w:rPr>
                <w:rFonts w:ascii="Times New Roman" w:hAnsi="Times New Roman" w:cs="Times New Roman"/>
                <w:color w:val="000000" w:themeColor="text1"/>
                <w:sz w:val="24"/>
                <w:szCs w:val="24"/>
              </w:rPr>
              <w:t>.</w:t>
            </w:r>
            <w:r w:rsidR="00C837CE" w:rsidRPr="00495312">
              <w:rPr>
                <w:rFonts w:ascii="Times New Roman" w:hAnsi="Times New Roman" w:cs="Times New Roman"/>
                <w:color w:val="000000" w:themeColor="text1"/>
                <w:sz w:val="24"/>
                <w:szCs w:val="24"/>
              </w:rPr>
              <w:t xml:space="preserve"> </w:t>
            </w:r>
            <w:r w:rsidR="00495312" w:rsidRPr="00495312">
              <w:rPr>
                <w:rFonts w:ascii="Times New Roman" w:hAnsi="Times New Roman" w:cs="Times New Roman"/>
                <w:color w:val="000000" w:themeColor="text1"/>
                <w:sz w:val="24"/>
                <w:szCs w:val="24"/>
              </w:rPr>
              <w:t xml:space="preserve">După capitalul investit, </w:t>
            </w:r>
            <w:r w:rsidR="00C837CE" w:rsidRPr="00495312">
              <w:rPr>
                <w:rFonts w:ascii="Times New Roman" w:hAnsi="Times New Roman" w:cs="Times New Roman"/>
                <w:color w:val="000000" w:themeColor="text1"/>
                <w:sz w:val="24"/>
                <w:szCs w:val="24"/>
              </w:rPr>
              <w:t xml:space="preserve">Republica Federală Germană se află pe locul </w:t>
            </w:r>
            <w:r w:rsidR="00495312" w:rsidRPr="00495312">
              <w:rPr>
                <w:rFonts w:ascii="Times New Roman" w:hAnsi="Times New Roman" w:cs="Times New Roman"/>
                <w:color w:val="000000" w:themeColor="text1"/>
                <w:sz w:val="24"/>
                <w:szCs w:val="24"/>
              </w:rPr>
              <w:t>5</w:t>
            </w:r>
            <w:r w:rsidR="00C837CE" w:rsidRPr="00495312">
              <w:rPr>
                <w:rFonts w:ascii="Times New Roman" w:hAnsi="Times New Roman" w:cs="Times New Roman"/>
                <w:color w:val="000000" w:themeColor="text1"/>
                <w:sz w:val="24"/>
                <w:szCs w:val="24"/>
              </w:rPr>
              <w:t xml:space="preserve"> printre </w:t>
            </w:r>
            <w:r w:rsidR="00495312" w:rsidRPr="00495312">
              <w:rPr>
                <w:rFonts w:ascii="Times New Roman" w:hAnsi="Times New Roman" w:cs="Times New Roman"/>
                <w:color w:val="000000" w:themeColor="text1"/>
                <w:sz w:val="24"/>
                <w:szCs w:val="24"/>
              </w:rPr>
              <w:t>principalii parteneri externi ai Republicii Moldova.</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86561" w:rsidP="00861E13">
            <w:pPr>
              <w:spacing w:before="120" w:after="120"/>
              <w:jc w:val="both"/>
              <w:rPr>
                <w:rFonts w:ascii="Times New Roman" w:eastAsia="Times New Roman" w:hAnsi="Times New Roman" w:cs="Times New Roman"/>
                <w:b/>
                <w:sz w:val="24"/>
                <w:szCs w:val="24"/>
                <w:lang w:eastAsia="ru-RU"/>
              </w:rPr>
            </w:pPr>
            <w:r w:rsidRPr="00E673F2">
              <w:rPr>
                <w:rFonts w:ascii="Times New Roman" w:eastAsia="Times New Roman" w:hAnsi="Times New Roman" w:cs="Times New Roman"/>
                <w:b/>
                <w:sz w:val="24"/>
                <w:szCs w:val="24"/>
                <w:lang w:eastAsia="ru-RU"/>
              </w:rPr>
              <w:t>Comerțul</w:t>
            </w:r>
            <w:r w:rsidR="009C0652" w:rsidRPr="00E673F2">
              <w:rPr>
                <w:rFonts w:ascii="Times New Roman" w:eastAsia="Times New Roman" w:hAnsi="Times New Roman" w:cs="Times New Roman"/>
                <w:b/>
                <w:sz w:val="24"/>
                <w:szCs w:val="24"/>
                <w:lang w:eastAsia="ru-RU"/>
              </w:rPr>
              <w:t xml:space="preserve"> bilateral</w:t>
            </w:r>
            <w:r w:rsidR="00841A74" w:rsidRPr="00E673F2">
              <w:rPr>
                <w:rFonts w:ascii="Times New Roman" w:eastAsia="Times New Roman" w:hAnsi="Times New Roman" w:cs="Times New Roman"/>
                <w:b/>
                <w:sz w:val="24"/>
                <w:szCs w:val="24"/>
                <w:lang w:eastAsia="ru-RU"/>
              </w:rPr>
              <w:t xml:space="preserve"> (anexa</w:t>
            </w:r>
            <w:r w:rsidR="00861E13" w:rsidRPr="00E673F2">
              <w:rPr>
                <w:rFonts w:ascii="Times New Roman" w:eastAsia="Times New Roman" w:hAnsi="Times New Roman" w:cs="Times New Roman"/>
                <w:b/>
                <w:sz w:val="24"/>
                <w:szCs w:val="24"/>
                <w:lang w:eastAsia="ru-RU"/>
              </w:rPr>
              <w:t xml:space="preserve"> 1</w:t>
            </w:r>
            <w:r w:rsidR="00841A74" w:rsidRPr="00E673F2">
              <w:rPr>
                <w:rFonts w:ascii="Times New Roman" w:eastAsia="Times New Roman" w:hAnsi="Times New Roman" w:cs="Times New Roman"/>
                <w:b/>
                <w:sz w:val="24"/>
                <w:szCs w:val="24"/>
                <w:lang w:eastAsia="ru-RU"/>
              </w:rPr>
              <w:t>)</w:t>
            </w:r>
            <w:r w:rsidR="009C0652" w:rsidRPr="00E673F2">
              <w:rPr>
                <w:rFonts w:ascii="Times New Roman" w:eastAsia="Times New Roman" w:hAnsi="Times New Roman" w:cs="Times New Roman"/>
                <w:b/>
                <w:sz w:val="24"/>
                <w:szCs w:val="24"/>
                <w:lang w:eastAsia="ru-RU"/>
              </w:rPr>
              <w:t>.</w:t>
            </w:r>
          </w:p>
        </w:tc>
      </w:tr>
      <w:tr w:rsidR="004D0F19" w:rsidRPr="00E673F2" w:rsidTr="001C35D0">
        <w:tc>
          <w:tcPr>
            <w:tcW w:w="9776" w:type="dxa"/>
          </w:tcPr>
          <w:p w:rsidR="0072092E" w:rsidRPr="003C62BA" w:rsidRDefault="0072092E" w:rsidP="0072092E">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443,06</w:t>
            </w:r>
            <w:r w:rsidRPr="003C62BA">
              <w:rPr>
                <w:rFonts w:ascii="Times New Roman" w:hAnsi="Times New Roman" w:cs="Times New Roman"/>
                <w:b/>
                <w:sz w:val="24"/>
                <w:szCs w:val="24"/>
              </w:rPr>
              <w:t xml:space="preserve"> mil. USD</w:t>
            </w:r>
            <w:r w:rsidRPr="003C62BA">
              <w:rPr>
                <w:rFonts w:ascii="Times New Roman" w:hAnsi="Times New Roman" w:cs="Times New Roman"/>
                <w:sz w:val="24"/>
                <w:szCs w:val="24"/>
              </w:rPr>
              <w:t xml:space="preserve"> (+</w:t>
            </w:r>
            <w:r>
              <w:rPr>
                <w:rFonts w:ascii="Times New Roman" w:hAnsi="Times New Roman" w:cs="Times New Roman"/>
                <w:sz w:val="24"/>
                <w:szCs w:val="24"/>
              </w:rPr>
              <w:t>1,038</w:t>
            </w:r>
            <w:r w:rsidRPr="003C62BA">
              <w:rPr>
                <w:rFonts w:ascii="Times New Roman" w:hAnsi="Times New Roman" w:cs="Times New Roman"/>
                <w:sz w:val="24"/>
                <w:szCs w:val="24"/>
              </w:rPr>
              <w:t xml:space="preserve">% în comparaţie cu anul 2015). După valoarea volumului schimburilor comerciale,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4</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Pr>
                <w:rFonts w:ascii="Times New Roman" w:hAnsi="Times New Roman" w:cs="Times New Roman"/>
                <w:b/>
                <w:sz w:val="24"/>
                <w:szCs w:val="24"/>
              </w:rPr>
              <w:t>7,3</w:t>
            </w:r>
            <w:r w:rsidRPr="003C62BA">
              <w:rPr>
                <w:rFonts w:ascii="Times New Roman" w:hAnsi="Times New Roman" w:cs="Times New Roman"/>
                <w:b/>
                <w:sz w:val="24"/>
                <w:szCs w:val="24"/>
              </w:rPr>
              <w:t>%</w:t>
            </w:r>
            <w:r>
              <w:rPr>
                <w:rFonts w:ascii="Times New Roman" w:hAnsi="Times New Roman" w:cs="Times New Roman"/>
                <w:sz w:val="24"/>
                <w:szCs w:val="24"/>
              </w:rPr>
              <w:t xml:space="preserve"> în comerțul total al RM, iar printre partenerii comerciali din cadrul UE, Germania se situează pe locul 3 după România și Italia.</w:t>
            </w:r>
          </w:p>
          <w:p w:rsidR="0072092E" w:rsidRPr="003C62BA" w:rsidRDefault="0072092E" w:rsidP="0072092E">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189,8</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Germaniei</w:t>
            </w:r>
            <w:r w:rsidRPr="003C62BA">
              <w:rPr>
                <w:rFonts w:ascii="Times New Roman" w:hAnsi="Times New Roman" w:cs="Times New Roman"/>
                <w:sz w:val="24"/>
                <w:szCs w:val="24"/>
              </w:rPr>
              <w:t>.</w:t>
            </w:r>
          </w:p>
          <w:p w:rsidR="0072092E" w:rsidRPr="0072092E" w:rsidRDefault="0072092E" w:rsidP="0072092E">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126,6</w:t>
            </w:r>
            <w:r w:rsidRPr="003C62BA">
              <w:rPr>
                <w:rFonts w:ascii="Times New Roman" w:hAnsi="Times New Roman" w:cs="Times New Roman"/>
                <w:b/>
                <w:sz w:val="24"/>
                <w:szCs w:val="24"/>
              </w:rPr>
              <w:t xml:space="preserve"> mil. USD (+</w:t>
            </w:r>
            <w:r>
              <w:rPr>
                <w:rFonts w:ascii="Times New Roman" w:hAnsi="Times New Roman" w:cs="Times New Roman"/>
                <w:sz w:val="24"/>
                <w:szCs w:val="24"/>
              </w:rPr>
              <w:t>8,03%</w:t>
            </w:r>
            <w:r w:rsidRPr="003C62BA">
              <w:rPr>
                <w:rFonts w:ascii="Times New Roman" w:hAnsi="Times New Roman" w:cs="Times New Roman"/>
                <w:sz w:val="24"/>
                <w:szCs w:val="24"/>
              </w:rPr>
              <w:t xml:space="preserve"> în comparație cu anul 2015). </w:t>
            </w:r>
            <w:r w:rsidRPr="0072092E">
              <w:rPr>
                <w:rFonts w:ascii="Times New Roman" w:hAnsi="Times New Roman" w:cs="Times New Roman"/>
                <w:b/>
                <w:sz w:val="24"/>
                <w:szCs w:val="24"/>
              </w:rPr>
              <w:t xml:space="preserve">Principale mărfuri exportate: </w:t>
            </w:r>
            <w:r w:rsidRPr="0072092E">
              <w:rPr>
                <w:rFonts w:ascii="Times New Roman" w:hAnsi="Times New Roman" w:cs="Times New Roman"/>
                <w:sz w:val="24"/>
                <w:szCs w:val="24"/>
              </w:rPr>
              <w:t>scaune; alte fructe cu coajă, proaspete sau uscate, chiar decojite sau fără pieliță; costume sau compleuri, ansambluri, jachete, sacouri, pantaloni, salopete cu bretele, pantaloni scurți și șorțuri; pentru bărbați sau băieți; autoturisme și alte autovehicule, proiectate în principal pentru transportul persoanelor; deșeuri și resturi de cupru; sucuri de fructe (inclusiv mustul de struguri) și sucuri de legume, nefermentate, fără adaos de alcool, cu sau fără adaos de zahăr sau de alți îndulcitori,etc.</w:t>
            </w:r>
          </w:p>
          <w:p w:rsidR="003E5712" w:rsidRPr="00E673F2" w:rsidRDefault="0072092E" w:rsidP="009C5C9D">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316,4 mil. USD (-1,5</w:t>
            </w:r>
            <w:r w:rsidRPr="003C62BA">
              <w:rPr>
                <w:rFonts w:ascii="Times New Roman" w:hAnsi="Times New Roman" w:cs="Times New Roman"/>
                <w:sz w:val="24"/>
                <w:szCs w:val="24"/>
              </w:rPr>
              <w:t xml:space="preserve">% în comparație cu anul 2015). </w:t>
            </w:r>
            <w:r w:rsidRPr="0072092E">
              <w:rPr>
                <w:rFonts w:ascii="Times New Roman" w:hAnsi="Times New Roman" w:cs="Times New Roman"/>
                <w:b/>
                <w:sz w:val="24"/>
                <w:szCs w:val="24"/>
              </w:rPr>
              <w:t>Principale mărfuri importate</w:t>
            </w:r>
            <w:r w:rsidRPr="0072092E">
              <w:rPr>
                <w:rFonts w:ascii="Times New Roman" w:hAnsi="Times New Roman" w:cs="Times New Roman"/>
                <w:sz w:val="24"/>
                <w:szCs w:val="24"/>
              </w:rPr>
              <w:t>:</w:t>
            </w:r>
            <w:r w:rsidRPr="0010678E">
              <w:rPr>
                <w:rFonts w:ascii="Times New Roman" w:hAnsi="Times New Roman" w:cs="Times New Roman"/>
                <w:color w:val="FF0000"/>
                <w:sz w:val="24"/>
                <w:szCs w:val="24"/>
              </w:rPr>
              <w:t xml:space="preserve"> </w:t>
            </w:r>
            <w:r w:rsidRPr="0072092E">
              <w:rPr>
                <w:rFonts w:ascii="Times New Roman" w:hAnsi="Times New Roman" w:cs="Times New Roman"/>
                <w:sz w:val="24"/>
                <w:szCs w:val="24"/>
              </w:rPr>
              <w:t xml:space="preserve">fire, cabluri (inclusiv cabluri coaxiale) și alte conductoare electrice izolate, cu sau fără conectori; cabluri din fibre optice, constituite din fibre izolate individual, chiar echipate cu conductoare electrice sau prevăzute cu conectori; autoturisme și alte autovehicule, proiectate în principal pentru </w:t>
            </w:r>
            <w:r w:rsidRPr="0072092E">
              <w:rPr>
                <w:rFonts w:ascii="Times New Roman" w:hAnsi="Times New Roman" w:cs="Times New Roman"/>
                <w:sz w:val="24"/>
                <w:szCs w:val="24"/>
              </w:rPr>
              <w:lastRenderedPageBreak/>
              <w:t xml:space="preserve">transportul persoanelor; medicamente constituite din produse amestecate sau neamestecate, preparate în scopuri terapeutice sau profilactice, prezentate sub formă de doze sau condiționate pentru </w:t>
            </w:r>
            <w:proofErr w:type="spellStart"/>
            <w:r w:rsidRPr="0072092E">
              <w:rPr>
                <w:rFonts w:ascii="Times New Roman" w:hAnsi="Times New Roman" w:cs="Times New Roman"/>
                <w:sz w:val="24"/>
                <w:szCs w:val="24"/>
              </w:rPr>
              <w:t>vînzarea</w:t>
            </w:r>
            <w:proofErr w:type="spellEnd"/>
            <w:r w:rsidRPr="0072092E">
              <w:rPr>
                <w:rFonts w:ascii="Times New Roman" w:hAnsi="Times New Roman" w:cs="Times New Roman"/>
                <w:sz w:val="24"/>
                <w:szCs w:val="24"/>
              </w:rPr>
              <w:t xml:space="preserve"> cu amănuntul; insecticide, rodenticide, fungicide, erbicide, inhibitori de germinare și regulatori de creștere pentru plante, dezinfectanți și produse similare, prezentate în forme sau ambalaje pentru </w:t>
            </w:r>
            <w:proofErr w:type="spellStart"/>
            <w:r w:rsidRPr="0072092E">
              <w:rPr>
                <w:rFonts w:ascii="Times New Roman" w:hAnsi="Times New Roman" w:cs="Times New Roman"/>
                <w:sz w:val="24"/>
                <w:szCs w:val="24"/>
              </w:rPr>
              <w:t>vînzarea</w:t>
            </w:r>
            <w:proofErr w:type="spellEnd"/>
            <w:r w:rsidRPr="0072092E">
              <w:rPr>
                <w:rFonts w:ascii="Times New Roman" w:hAnsi="Times New Roman" w:cs="Times New Roman"/>
                <w:sz w:val="24"/>
                <w:szCs w:val="24"/>
              </w:rPr>
              <w:t xml:space="preserve"> cu amănuntul sau ca preparate sau ca articole</w:t>
            </w:r>
            <w:r>
              <w:rPr>
                <w:rFonts w:ascii="Times New Roman" w:hAnsi="Times New Roman" w:cs="Times New Roman"/>
                <w:sz w:val="24"/>
                <w:szCs w:val="24"/>
              </w:rPr>
              <w:t>; etc.</w:t>
            </w:r>
          </w:p>
        </w:tc>
      </w:tr>
    </w:tbl>
    <w:p w:rsidR="004D0F19" w:rsidRPr="00E673F2"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9C0652" w:rsidRPr="00E673F2" w:rsidTr="001C35D0">
        <w:tc>
          <w:tcPr>
            <w:tcW w:w="9776" w:type="dxa"/>
            <w:shd w:val="clear" w:color="auto" w:fill="D9D9D9" w:themeFill="background1" w:themeFillShade="D9"/>
          </w:tcPr>
          <w:p w:rsidR="009C0652" w:rsidRPr="00E673F2" w:rsidRDefault="003470C3" w:rsidP="00BE5406">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w:t>
            </w:r>
            <w:r w:rsidRPr="00E673F2">
              <w:rPr>
                <w:rFonts w:ascii="Times New Roman" w:eastAsia="Times New Roman" w:hAnsi="Times New Roman" w:cs="Times New Roman"/>
                <w:b/>
                <w:sz w:val="24"/>
                <w:szCs w:val="24"/>
                <w:lang w:eastAsia="ru-RU"/>
              </w:rPr>
              <w:t xml:space="preserve">ubiecte </w:t>
            </w:r>
            <w:r w:rsidR="009C0652" w:rsidRPr="00E673F2">
              <w:rPr>
                <w:rFonts w:ascii="Times New Roman" w:eastAsia="Times New Roman" w:hAnsi="Times New Roman" w:cs="Times New Roman"/>
                <w:b/>
                <w:sz w:val="24"/>
                <w:szCs w:val="24"/>
                <w:lang w:eastAsia="ru-RU"/>
              </w:rPr>
              <w:t>de discuți</w:t>
            </w:r>
            <w:r w:rsidR="00BE5406">
              <w:rPr>
                <w:rFonts w:ascii="Times New Roman" w:eastAsia="Times New Roman" w:hAnsi="Times New Roman" w:cs="Times New Roman"/>
                <w:b/>
                <w:sz w:val="24"/>
                <w:szCs w:val="24"/>
                <w:lang w:eastAsia="ru-RU"/>
              </w:rPr>
              <w:t>i</w:t>
            </w:r>
            <w:r w:rsidR="009C0652" w:rsidRPr="00E673F2">
              <w:rPr>
                <w:rFonts w:ascii="Times New Roman" w:eastAsia="Times New Roman" w:hAnsi="Times New Roman" w:cs="Times New Roman"/>
                <w:b/>
                <w:sz w:val="24"/>
                <w:szCs w:val="24"/>
                <w:lang w:eastAsia="ru-RU"/>
              </w:rPr>
              <w:t>.</w:t>
            </w:r>
          </w:p>
        </w:tc>
      </w:tr>
      <w:tr w:rsidR="009C0652" w:rsidRPr="00E673F2" w:rsidTr="001C35D0">
        <w:tc>
          <w:tcPr>
            <w:tcW w:w="9776" w:type="dxa"/>
          </w:tcPr>
          <w:p w:rsidR="00B22225" w:rsidRPr="00053753" w:rsidRDefault="00B22225" w:rsidP="00053753">
            <w:pPr>
              <w:pStyle w:val="ListParagraph"/>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D305BA">
              <w:rPr>
                <w:rFonts w:ascii="Times New Roman" w:hAnsi="Times New Roman" w:cs="Times New Roman"/>
                <w:sz w:val="24"/>
                <w:szCs w:val="24"/>
              </w:rPr>
              <w:t>germane</w:t>
            </w:r>
            <w:r w:rsidRPr="00053753">
              <w:rPr>
                <w:rFonts w:ascii="Times New Roman" w:hAnsi="Times New Roman" w:cs="Times New Roman"/>
                <w:sz w:val="24"/>
                <w:szCs w:val="24"/>
              </w:rPr>
              <w:t xml:space="preserve"> în activitatea Z</w:t>
            </w:r>
            <w:r w:rsidR="00D305BA">
              <w:rPr>
                <w:rFonts w:ascii="Times New Roman" w:hAnsi="Times New Roman" w:cs="Times New Roman"/>
                <w:sz w:val="24"/>
                <w:szCs w:val="24"/>
              </w:rPr>
              <w:t xml:space="preserve">onelor </w:t>
            </w:r>
            <w:r w:rsidRPr="00053753">
              <w:rPr>
                <w:rFonts w:ascii="Times New Roman" w:hAnsi="Times New Roman" w:cs="Times New Roman"/>
                <w:sz w:val="24"/>
                <w:szCs w:val="24"/>
              </w:rPr>
              <w:t>E</w:t>
            </w:r>
            <w:r w:rsidR="00D305BA">
              <w:rPr>
                <w:rFonts w:ascii="Times New Roman" w:hAnsi="Times New Roman" w:cs="Times New Roman"/>
                <w:sz w:val="24"/>
                <w:szCs w:val="24"/>
              </w:rPr>
              <w:t xml:space="preserve">conomice </w:t>
            </w:r>
            <w:r w:rsidRPr="00053753">
              <w:rPr>
                <w:rFonts w:ascii="Times New Roman" w:hAnsi="Times New Roman" w:cs="Times New Roman"/>
                <w:sz w:val="24"/>
                <w:szCs w:val="24"/>
              </w:rPr>
              <w:t>L</w:t>
            </w:r>
            <w:r w:rsidR="00D305BA">
              <w:rPr>
                <w:rFonts w:ascii="Times New Roman" w:hAnsi="Times New Roman" w:cs="Times New Roman"/>
                <w:sz w:val="24"/>
                <w:szCs w:val="24"/>
              </w:rPr>
              <w:t>ibere</w:t>
            </w:r>
            <w:r w:rsidRPr="00053753">
              <w:rPr>
                <w:rFonts w:ascii="Times New Roman" w:hAnsi="Times New Roman" w:cs="Times New Roman"/>
                <w:sz w:val="24"/>
                <w:szCs w:val="24"/>
              </w:rPr>
              <w:t xml:space="preserve"> şi P</w:t>
            </w:r>
            <w:r w:rsidR="00D305BA">
              <w:rPr>
                <w:rFonts w:ascii="Times New Roman" w:hAnsi="Times New Roman" w:cs="Times New Roman"/>
                <w:sz w:val="24"/>
                <w:szCs w:val="24"/>
              </w:rPr>
              <w:t xml:space="preserve">arcurilor </w:t>
            </w:r>
            <w:r w:rsidRPr="00053753">
              <w:rPr>
                <w:rFonts w:ascii="Times New Roman" w:hAnsi="Times New Roman" w:cs="Times New Roman"/>
                <w:sz w:val="24"/>
                <w:szCs w:val="24"/>
              </w:rPr>
              <w:t>I</w:t>
            </w:r>
            <w:r w:rsidR="00D305BA">
              <w:rPr>
                <w:rFonts w:ascii="Times New Roman" w:hAnsi="Times New Roman" w:cs="Times New Roman"/>
                <w:sz w:val="24"/>
                <w:szCs w:val="24"/>
              </w:rPr>
              <w:t>ndustriale</w:t>
            </w:r>
            <w:r w:rsidRPr="00053753">
              <w:rPr>
                <w:rFonts w:ascii="Times New Roman" w:hAnsi="Times New Roman" w:cs="Times New Roman"/>
                <w:sz w:val="24"/>
                <w:szCs w:val="24"/>
              </w:rPr>
              <w:t xml:space="preserve"> din RM, care oferă </w:t>
            </w:r>
            <w:r w:rsidR="005F7FDF" w:rsidRPr="00053753">
              <w:rPr>
                <w:rFonts w:ascii="Times New Roman" w:hAnsi="Times New Roman" w:cs="Times New Roman"/>
                <w:sz w:val="24"/>
                <w:szCs w:val="24"/>
              </w:rPr>
              <w:t>condițiile</w:t>
            </w:r>
            <w:r w:rsidRPr="00053753">
              <w:rPr>
                <w:rFonts w:ascii="Times New Roman" w:hAnsi="Times New Roman" w:cs="Times New Roman"/>
                <w:sz w:val="24"/>
                <w:szCs w:val="24"/>
              </w:rPr>
              <w:t xml:space="preserve"> atractive pentru investitori străini.</w:t>
            </w:r>
          </w:p>
          <w:p w:rsidR="00D556D5" w:rsidRPr="00053753" w:rsidRDefault="007438D0" w:rsidP="00053753">
            <w:pPr>
              <w:pStyle w:val="ListParagraph"/>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D305BA">
              <w:rPr>
                <w:rFonts w:ascii="Times New Roman" w:hAnsi="Times New Roman" w:cs="Times New Roman"/>
                <w:sz w:val="24"/>
                <w:szCs w:val="24"/>
              </w:rPr>
              <w:t>germane</w:t>
            </w:r>
            <w:r w:rsidRPr="00053753">
              <w:rPr>
                <w:rFonts w:ascii="Times New Roman" w:hAnsi="Times New Roman" w:cs="Times New Roman"/>
                <w:sz w:val="24"/>
                <w:szCs w:val="24"/>
              </w:rPr>
              <w:t xml:space="preserve"> în concursurile</w:t>
            </w:r>
            <w:r w:rsidR="00056E74" w:rsidRPr="00053753">
              <w:rPr>
                <w:rFonts w:ascii="Times New Roman" w:hAnsi="Times New Roman" w:cs="Times New Roman"/>
                <w:sz w:val="24"/>
                <w:szCs w:val="24"/>
              </w:rPr>
              <w:t xml:space="preserve"> de privatizare a bunurilor proprietate publică de stat supuse privatizării. </w:t>
            </w:r>
          </w:p>
          <w:p w:rsidR="005F7FDF" w:rsidRPr="00053753" w:rsidRDefault="00D556D5" w:rsidP="00053753">
            <w:pPr>
              <w:pStyle w:val="ListParagraph"/>
              <w:ind w:left="313"/>
              <w:jc w:val="both"/>
              <w:rPr>
                <w:rFonts w:ascii="Times New Roman" w:hAnsi="Times New Roman" w:cs="Times New Roman"/>
                <w:i/>
                <w:sz w:val="24"/>
                <w:szCs w:val="24"/>
              </w:rPr>
            </w:pPr>
            <w:r w:rsidRPr="00053753">
              <w:rPr>
                <w:rFonts w:ascii="Times New Roman" w:hAnsi="Times New Roman" w:cs="Times New Roman"/>
                <w:i/>
                <w:sz w:val="24"/>
                <w:szCs w:val="24"/>
              </w:rPr>
              <w:t xml:space="preserve">Nota: </w:t>
            </w:r>
            <w:r w:rsidR="00056E74" w:rsidRPr="00053753">
              <w:rPr>
                <w:rFonts w:ascii="Times New Roman" w:hAnsi="Times New Roman" w:cs="Times New Roman"/>
                <w:i/>
                <w:sz w:val="24"/>
                <w:szCs w:val="24"/>
              </w:rPr>
              <w:t xml:space="preserve">Pentru </w:t>
            </w:r>
            <w:r w:rsidR="005F7FDF" w:rsidRPr="00053753">
              <w:rPr>
                <w:rFonts w:ascii="Times New Roman" w:hAnsi="Times New Roman" w:cs="Times New Roman"/>
                <w:i/>
                <w:sz w:val="24"/>
                <w:szCs w:val="24"/>
              </w:rPr>
              <w:t>anul 2017, este preconizată organizarea a cel puțin 3 runde de privatizare</w:t>
            </w:r>
            <w:r w:rsidR="00056E74" w:rsidRPr="00053753">
              <w:rPr>
                <w:rFonts w:ascii="Times New Roman" w:hAnsi="Times New Roman" w:cs="Times New Roman"/>
                <w:i/>
                <w:sz w:val="24"/>
                <w:szCs w:val="24"/>
              </w:rPr>
              <w:t xml:space="preserve">, orientativ în </w:t>
            </w:r>
            <w:r w:rsidR="005F7FDF" w:rsidRPr="00053753">
              <w:rPr>
                <w:rFonts w:ascii="Times New Roman" w:hAnsi="Times New Roman" w:cs="Times New Roman"/>
                <w:i/>
                <w:sz w:val="24"/>
                <w:szCs w:val="24"/>
              </w:rPr>
              <w:t>februarie-aprilie; mai-iulie; septembrie-noiembrie.</w:t>
            </w:r>
            <w:r w:rsidRPr="00053753">
              <w:rPr>
                <w:rFonts w:ascii="Times New Roman" w:hAnsi="Times New Roman" w:cs="Times New Roman"/>
                <w:i/>
                <w:sz w:val="24"/>
                <w:szCs w:val="24"/>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Pr>
                <w:rFonts w:ascii="Times New Roman" w:hAnsi="Times New Roman" w:cs="Times New Roman"/>
                <w:i/>
                <w:sz w:val="24"/>
                <w:szCs w:val="24"/>
              </w:rPr>
              <w:t xml:space="preserve">56 </w:t>
            </w:r>
            <w:r w:rsidRPr="00053753">
              <w:rPr>
                <w:rFonts w:ascii="Times New Roman" w:hAnsi="Times New Roman" w:cs="Times New Roman"/>
                <w:i/>
                <w:sz w:val="24"/>
                <w:szCs w:val="24"/>
              </w:rPr>
              <w:t>întreprinderi de stat;</w:t>
            </w:r>
            <w:r w:rsidR="0083354F" w:rsidRPr="00053753">
              <w:rPr>
                <w:rFonts w:ascii="Times New Roman" w:hAnsi="Times New Roman" w:cs="Times New Roman"/>
                <w:i/>
                <w:sz w:val="24"/>
                <w:szCs w:val="24"/>
              </w:rPr>
              <w:t xml:space="preserve"> </w:t>
            </w:r>
            <w:r w:rsidRPr="00053753">
              <w:rPr>
                <w:rFonts w:ascii="Times New Roman" w:hAnsi="Times New Roman" w:cs="Times New Roman"/>
                <w:i/>
                <w:sz w:val="24"/>
                <w:szCs w:val="24"/>
              </w:rPr>
              <w:t>11 bunuri imobile și complexe de bunuri; 2 obiecte nefinalizate.</w:t>
            </w:r>
          </w:p>
          <w:p w:rsidR="00FA1737" w:rsidRPr="00053753" w:rsidRDefault="00B22225" w:rsidP="0072092E">
            <w:pPr>
              <w:pStyle w:val="ListParagraph"/>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investitorilor </w:t>
            </w:r>
            <w:r w:rsidR="00D305BA">
              <w:rPr>
                <w:rFonts w:ascii="Times New Roman" w:hAnsi="Times New Roman" w:cs="Times New Roman"/>
                <w:sz w:val="24"/>
                <w:szCs w:val="24"/>
              </w:rPr>
              <w:t>germani</w:t>
            </w:r>
            <w:r w:rsidRPr="00053753">
              <w:rPr>
                <w:rFonts w:ascii="Times New Roman" w:hAnsi="Times New Roman" w:cs="Times New Roman"/>
                <w:sz w:val="24"/>
                <w:szCs w:val="24"/>
              </w:rPr>
              <w:t xml:space="preserve"> în realizarea proiectelor </w:t>
            </w:r>
            <w:r w:rsidR="00C94A97" w:rsidRPr="00053753">
              <w:rPr>
                <w:rFonts w:ascii="Times New Roman" w:hAnsi="Times New Roman" w:cs="Times New Roman"/>
                <w:sz w:val="24"/>
                <w:szCs w:val="24"/>
              </w:rPr>
              <w:t xml:space="preserve">de asistență tehnică </w:t>
            </w:r>
            <w:r w:rsidR="00085751" w:rsidRPr="00053753">
              <w:rPr>
                <w:rFonts w:ascii="Times New Roman" w:hAnsi="Times New Roman" w:cs="Times New Roman"/>
                <w:sz w:val="24"/>
                <w:szCs w:val="24"/>
              </w:rPr>
              <w:t xml:space="preserve">în </w:t>
            </w:r>
            <w:r w:rsidRPr="00053753">
              <w:rPr>
                <w:rFonts w:ascii="Times New Roman" w:hAnsi="Times New Roman" w:cs="Times New Roman"/>
                <w:sz w:val="24"/>
                <w:szCs w:val="24"/>
              </w:rPr>
              <w:t xml:space="preserve">domeniul </w:t>
            </w:r>
            <w:r w:rsidR="00085751" w:rsidRPr="00053753">
              <w:rPr>
                <w:rFonts w:ascii="Times New Roman" w:hAnsi="Times New Roman" w:cs="Times New Roman"/>
                <w:sz w:val="24"/>
                <w:szCs w:val="24"/>
              </w:rPr>
              <w:t xml:space="preserve">economic. Detaliile privind necesitățile și prioritățile MEc pot fi accesate </w:t>
            </w:r>
            <w:r w:rsidR="00293986" w:rsidRPr="00053753">
              <w:rPr>
                <w:rFonts w:ascii="Times New Roman" w:hAnsi="Times New Roman" w:cs="Times New Roman"/>
                <w:sz w:val="24"/>
                <w:szCs w:val="24"/>
              </w:rPr>
              <w:t>urmărind</w:t>
            </w:r>
            <w:r w:rsidR="00085751" w:rsidRPr="00053753">
              <w:rPr>
                <w:rFonts w:ascii="Times New Roman" w:hAnsi="Times New Roman" w:cs="Times New Roman"/>
                <w:sz w:val="24"/>
                <w:szCs w:val="24"/>
              </w:rPr>
              <w:t xml:space="preserve"> link-ul: http://mec.gov.md/ro/content/parteneri-de-dezvoltare</w:t>
            </w:r>
            <w:r w:rsidR="001D6357" w:rsidRPr="00053753">
              <w:rPr>
                <w:rFonts w:ascii="Times New Roman" w:hAnsi="Times New Roman" w:cs="Times New Roman"/>
                <w:sz w:val="24"/>
                <w:szCs w:val="24"/>
              </w:rPr>
              <w:t>.</w:t>
            </w:r>
          </w:p>
        </w:tc>
      </w:tr>
    </w:tbl>
    <w:p w:rsidR="004D0F19"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6D72F3" w:rsidRPr="00E673F2" w:rsidTr="0024586C">
        <w:tc>
          <w:tcPr>
            <w:tcW w:w="9776" w:type="dxa"/>
            <w:shd w:val="clear" w:color="auto" w:fill="D9D9D9" w:themeFill="background1" w:themeFillShade="D9"/>
          </w:tcPr>
          <w:p w:rsidR="006D72F3" w:rsidRPr="00E673F2" w:rsidRDefault="006D72F3" w:rsidP="0024586C">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Asistența externă</w:t>
            </w:r>
          </w:p>
        </w:tc>
      </w:tr>
      <w:tr w:rsidR="006D72F3" w:rsidRPr="00E673F2" w:rsidTr="0024586C">
        <w:tc>
          <w:tcPr>
            <w:tcW w:w="9776" w:type="dxa"/>
          </w:tcPr>
          <w:p w:rsidR="0072092E" w:rsidRPr="0072092E" w:rsidRDefault="0072092E" w:rsidP="0072092E">
            <w:pPr>
              <w:ind w:left="720"/>
              <w:jc w:val="both"/>
              <w:rPr>
                <w:rFonts w:ascii="Times New Roman" w:eastAsia="Times New Roman" w:hAnsi="Times New Roman" w:cs="Times New Roman"/>
                <w:sz w:val="24"/>
                <w:szCs w:val="24"/>
                <w:lang w:eastAsia="ro-RO"/>
              </w:rPr>
            </w:pPr>
          </w:p>
          <w:p w:rsidR="006D72F3" w:rsidRPr="006D72F3" w:rsidRDefault="006D72F3" w:rsidP="006D72F3">
            <w:pPr>
              <w:numPr>
                <w:ilvl w:val="0"/>
                <w:numId w:val="6"/>
              </w:numPr>
              <w:jc w:val="both"/>
              <w:rPr>
                <w:rFonts w:ascii="Times New Roman" w:eastAsia="Times New Roman" w:hAnsi="Times New Roman" w:cs="Times New Roman"/>
                <w:sz w:val="24"/>
                <w:szCs w:val="24"/>
                <w:lang w:eastAsia="ro-RO"/>
              </w:rPr>
            </w:pPr>
            <w:r w:rsidRPr="006D72F3">
              <w:rPr>
                <w:rFonts w:ascii="Times New Roman" w:eastAsia="Times New Roman" w:hAnsi="Times New Roman" w:cs="Times New Roman"/>
                <w:b/>
                <w:sz w:val="24"/>
                <w:szCs w:val="24"/>
                <w:u w:val="single"/>
                <w:lang w:eastAsia="ro-RO"/>
              </w:rPr>
              <w:t>Priorități de cooperare</w:t>
            </w:r>
          </w:p>
          <w:p w:rsidR="006D72F3" w:rsidRPr="006D72F3" w:rsidRDefault="006D72F3" w:rsidP="006D72F3">
            <w:pPr>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 susţinerea dezvoltării economice durabile în vederea reducerii emigraţiei şi a sărăciei;</w:t>
            </w:r>
          </w:p>
          <w:p w:rsidR="006D72F3" w:rsidRPr="006D72F3" w:rsidRDefault="006D72F3" w:rsidP="006D72F3">
            <w:pPr>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 promovarea întreprinderilor mici şi mijlocii;</w:t>
            </w:r>
          </w:p>
          <w:p w:rsidR="006D72F3" w:rsidRPr="006D72F3" w:rsidRDefault="006D72F3" w:rsidP="006D72F3">
            <w:pPr>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 promovarea micro-creditelor.</w:t>
            </w:r>
          </w:p>
          <w:p w:rsidR="006D72F3" w:rsidRDefault="006D72F3" w:rsidP="006D72F3">
            <w:pPr>
              <w:ind w:left="720"/>
              <w:jc w:val="both"/>
              <w:rPr>
                <w:rFonts w:ascii="Times New Roman" w:hAnsi="Times New Roman" w:cs="Times New Roman"/>
                <w:b/>
                <w:sz w:val="24"/>
                <w:szCs w:val="24"/>
                <w:u w:val="single"/>
              </w:rPr>
            </w:pPr>
          </w:p>
          <w:p w:rsidR="006D72F3" w:rsidRPr="006D72F3" w:rsidRDefault="006D72F3" w:rsidP="006D72F3">
            <w:pPr>
              <w:numPr>
                <w:ilvl w:val="0"/>
                <w:numId w:val="6"/>
              </w:numPr>
              <w:jc w:val="both"/>
              <w:rPr>
                <w:rFonts w:ascii="Times New Roman" w:hAnsi="Times New Roman" w:cs="Times New Roman"/>
                <w:b/>
                <w:sz w:val="24"/>
                <w:szCs w:val="24"/>
                <w:u w:val="single"/>
              </w:rPr>
            </w:pPr>
            <w:r w:rsidRPr="006D72F3">
              <w:rPr>
                <w:rFonts w:ascii="Times New Roman" w:hAnsi="Times New Roman" w:cs="Times New Roman"/>
                <w:b/>
                <w:sz w:val="24"/>
                <w:szCs w:val="24"/>
                <w:u w:val="single"/>
              </w:rPr>
              <w:t xml:space="preserve">Unitățile de implementare </w:t>
            </w:r>
          </w:p>
          <w:p w:rsidR="006D72F3" w:rsidRPr="006D72F3" w:rsidRDefault="006D72F3" w:rsidP="006D72F3">
            <w:pPr>
              <w:rPr>
                <w:rFonts w:ascii="Times New Roman" w:hAnsi="Times New Roman" w:cs="Times New Roman"/>
                <w:sz w:val="24"/>
                <w:szCs w:val="24"/>
                <w:shd w:val="clear" w:color="auto" w:fill="FFFFFF"/>
              </w:rPr>
            </w:pPr>
            <w:r w:rsidRPr="006D72F3">
              <w:rPr>
                <w:rFonts w:ascii="Times New Roman" w:hAnsi="Times New Roman" w:cs="Times New Roman"/>
                <w:sz w:val="24"/>
                <w:szCs w:val="24"/>
                <w:shd w:val="clear" w:color="auto" w:fill="FFFFFF"/>
              </w:rPr>
              <w:t xml:space="preserve">Colaborarea în domeniul cooperării tehnice dintre Republica Federală Germania și Republica Moldova se implementează prin intermediul Agenţiei Germane pentru Cooperare Internaţională (GIZ </w:t>
            </w:r>
            <w:proofErr w:type="spellStart"/>
            <w:r w:rsidRPr="006D72F3">
              <w:rPr>
                <w:rFonts w:ascii="Times New Roman" w:hAnsi="Times New Roman" w:cs="Times New Roman"/>
                <w:sz w:val="24"/>
                <w:szCs w:val="24"/>
                <w:shd w:val="clear" w:color="auto" w:fill="FFFFFF"/>
              </w:rPr>
              <w:t>GmbH</w:t>
            </w:r>
            <w:proofErr w:type="spellEnd"/>
            <w:r w:rsidRPr="006D72F3">
              <w:rPr>
                <w:rFonts w:ascii="Times New Roman" w:hAnsi="Times New Roman" w:cs="Times New Roman"/>
                <w:sz w:val="24"/>
                <w:szCs w:val="24"/>
                <w:shd w:val="clear" w:color="auto" w:fill="FFFFFF"/>
              </w:rPr>
              <w:t>), Echipei Economice Germane în Moldova (“GET Moldova”), Institutului de Credit pentru Reconstrucţii, precum și de către Ambasada Germană (microproiecte).</w:t>
            </w:r>
          </w:p>
          <w:p w:rsidR="006D72F3" w:rsidRPr="006D72F3" w:rsidRDefault="006D72F3" w:rsidP="006D72F3">
            <w:pPr>
              <w:pStyle w:val="NormalWeb"/>
              <w:shd w:val="clear" w:color="auto" w:fill="FFFFFF"/>
              <w:spacing w:before="0" w:beforeAutospacing="0" w:after="150" w:afterAutospacing="0"/>
              <w:ind w:firstLine="708"/>
              <w:jc w:val="both"/>
            </w:pPr>
            <w:r w:rsidRPr="006D72F3">
              <w:t xml:space="preserve">Începând cu anul 1994, GIZ, din însărcinarea Ministerului Federal pentru Cooperare economică şi Dezvoltare (BMZ) dar şi a altor ministere federale oferă suport Republicii Moldova. </w:t>
            </w:r>
          </w:p>
          <w:p w:rsidR="006D72F3" w:rsidRPr="006D72F3" w:rsidRDefault="006D72F3" w:rsidP="006D72F3">
            <w:pPr>
              <w:numPr>
                <w:ilvl w:val="0"/>
                <w:numId w:val="6"/>
              </w:numPr>
              <w:jc w:val="both"/>
              <w:rPr>
                <w:rFonts w:ascii="Times New Roman" w:hAnsi="Times New Roman" w:cs="Times New Roman"/>
                <w:b/>
                <w:sz w:val="24"/>
                <w:szCs w:val="24"/>
                <w:u w:val="single"/>
              </w:rPr>
            </w:pPr>
            <w:r w:rsidRPr="006D72F3">
              <w:rPr>
                <w:rFonts w:ascii="Times New Roman" w:hAnsi="Times New Roman" w:cs="Times New Roman"/>
                <w:b/>
                <w:sz w:val="24"/>
                <w:szCs w:val="24"/>
                <w:u w:val="single"/>
              </w:rPr>
              <w:t>Proiecte implementate</w:t>
            </w:r>
          </w:p>
          <w:p w:rsidR="006D72F3" w:rsidRPr="006D72F3" w:rsidRDefault="006D72F3" w:rsidP="006D72F3">
            <w:pPr>
              <w:rPr>
                <w:rFonts w:ascii="Times New Roman" w:hAnsi="Times New Roman" w:cs="Times New Roman"/>
                <w:sz w:val="24"/>
                <w:szCs w:val="24"/>
              </w:rPr>
            </w:pPr>
            <w:r w:rsidRPr="006D72F3">
              <w:rPr>
                <w:rFonts w:ascii="Times New Roman" w:hAnsi="Times New Roman" w:cs="Times New Roman"/>
                <w:sz w:val="24"/>
                <w:szCs w:val="24"/>
              </w:rPr>
              <w:t xml:space="preserve">Prin intermediul </w:t>
            </w:r>
            <w:r w:rsidRPr="006D72F3">
              <w:rPr>
                <w:rFonts w:ascii="Times New Roman" w:hAnsi="Times New Roman" w:cs="Times New Roman"/>
                <w:i/>
                <w:sz w:val="24"/>
                <w:szCs w:val="24"/>
              </w:rPr>
              <w:t>Agenției de Cooperare Internațională a Germaniei (GIZ)</w:t>
            </w:r>
            <w:r w:rsidRPr="006D72F3">
              <w:rPr>
                <w:rFonts w:ascii="Times New Roman" w:hAnsi="Times New Roman" w:cs="Times New Roman"/>
                <w:sz w:val="24"/>
                <w:szCs w:val="24"/>
              </w:rPr>
              <w:t xml:space="preserve"> la etapa actuală sunt în implementare următoarele proiecte de asistență:</w:t>
            </w:r>
          </w:p>
          <w:p w:rsidR="006D72F3" w:rsidRPr="006D72F3" w:rsidRDefault="006D72F3" w:rsidP="006D72F3">
            <w:pPr>
              <w:rPr>
                <w:rFonts w:ascii="Times New Roman" w:hAnsi="Times New Roman" w:cs="Times New Roman"/>
                <w:sz w:val="24"/>
                <w:szCs w:val="24"/>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Consilierea Guvernului Republicii Moldova în Reforma Economică (faza II)</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Perioada 2016-2018; buget: 2,8 mil Euro.</w:t>
            </w:r>
          </w:p>
          <w:p w:rsidR="006D72F3" w:rsidRPr="006D72F3" w:rsidRDefault="006D72F3" w:rsidP="006D72F3">
            <w:pPr>
              <w:ind w:firstLine="708"/>
              <w:rPr>
                <w:rFonts w:ascii="Times New Roman" w:eastAsia="Calibri" w:hAnsi="Times New Roman" w:cs="Times New Roman"/>
                <w:bCs/>
                <w:sz w:val="24"/>
                <w:szCs w:val="24"/>
              </w:rPr>
            </w:pPr>
            <w:r w:rsidRPr="006D72F3">
              <w:rPr>
                <w:rFonts w:ascii="Times New Roman" w:eastAsia="Calibri" w:hAnsi="Times New Roman" w:cs="Times New Roman"/>
                <w:bCs/>
                <w:sz w:val="24"/>
                <w:szCs w:val="24"/>
              </w:rPr>
              <w:t xml:space="preserve">Proiectul oferă servicii de consultanță pentru Cabinetul Primului-ministru și a agențiilor guvernamentale relevante care promovează investițiile, în special Comisia economie, buget și finanțe, Cancelaria de Stat, Ministerul Economiei și Organizației de Atragere a Investițiilor și Promovare a Exportului din Moldova (MIEPO). Consultanța oferită acoperă două domenii de acțiune: (1) Condițiile de investiții în țară sunt îmbunătățite, printre altele, prin elaborarea de măsuri pentru a depăși barierele administrative și tehnice pentru investiții și pentru simplificarea cerințelor față de investiții. Implicarea mediului de afaceri în elaborarea propunerilor de reformă joacă un rol central. (2) Serviciile în domeniul promovării investițiilor sunt consolidate, astfel că </w:t>
            </w:r>
            <w:r w:rsidRPr="006D72F3">
              <w:rPr>
                <w:rFonts w:ascii="Times New Roman" w:eastAsia="Calibri" w:hAnsi="Times New Roman" w:cs="Times New Roman"/>
                <w:bCs/>
                <w:sz w:val="24"/>
                <w:szCs w:val="24"/>
              </w:rPr>
              <w:lastRenderedPageBreak/>
              <w:t>Guvernul Republicii Moldova oferă asistență bazată pe cerere pentru proiecte potențiale și actuale de investiții, care creează noi locuri de muncă. Aceste servicii includ, pe lângă furnizarea de materiale informative orientate spre cerere, și asistența individuală a companiilor investitoare.</w:t>
            </w:r>
          </w:p>
          <w:p w:rsidR="006D72F3" w:rsidRPr="006D72F3" w:rsidRDefault="006D72F3" w:rsidP="006D72F3">
            <w:pPr>
              <w:rPr>
                <w:rFonts w:ascii="Times New Roman" w:eastAsia="Calibri" w:hAnsi="Times New Roman" w:cs="Times New Roman"/>
                <w:sz w:val="24"/>
                <w:szCs w:val="24"/>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Îmbunătățirea siguranței alimentelor în Republica Moldova</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Perioada: 2015 – 2018; buget: 1,3 mil Euro.</w:t>
            </w:r>
          </w:p>
          <w:p w:rsidR="006D72F3" w:rsidRPr="006D72F3" w:rsidRDefault="006D72F3" w:rsidP="006D72F3">
            <w:pPr>
              <w:ind w:firstLine="708"/>
              <w:rPr>
                <w:rFonts w:ascii="Times New Roman" w:eastAsia="Calibri" w:hAnsi="Times New Roman" w:cs="Times New Roman"/>
                <w:bCs/>
                <w:sz w:val="24"/>
                <w:szCs w:val="24"/>
                <w:shd w:val="clear" w:color="auto" w:fill="FFFFFF"/>
              </w:rPr>
            </w:pPr>
            <w:r w:rsidRPr="006D72F3">
              <w:rPr>
                <w:rFonts w:ascii="Times New Roman" w:eastAsia="Calibri" w:hAnsi="Times New Roman" w:cs="Times New Roman"/>
                <w:bCs/>
                <w:sz w:val="24"/>
                <w:szCs w:val="24"/>
                <w:shd w:val="clear" w:color="auto" w:fill="FFFFFF"/>
              </w:rPr>
              <w:t>Proiectul oferă suport pentru ANSA în introducerea procedurilor de control dea lungul lanțului de producere alimentară, în conformitate cu Acordul de asociere cu UE, fiind limitată la produsele alimentare de origine animală. Proiectul pornește de la premisa că tranziția la practica UE a controalelor oficiale bazate pe risc în producția alimentară sporește siguranța rezultatelor.</w:t>
            </w:r>
          </w:p>
          <w:p w:rsidR="006D72F3" w:rsidRPr="006D72F3" w:rsidRDefault="006D72F3" w:rsidP="006D72F3">
            <w:pPr>
              <w:rPr>
                <w:rFonts w:ascii="Times New Roman" w:eastAsia="Calibri" w:hAnsi="Times New Roman" w:cs="Times New Roman"/>
                <w:bCs/>
                <w:sz w:val="24"/>
                <w:szCs w:val="24"/>
                <w:shd w:val="clear" w:color="auto" w:fill="FFFFFF"/>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Modernizarea serviciilor publice în Republica Moldova (Faza II)</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 xml:space="preserve">Perioada: ianuarie 2016 – decembrie 2018, </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Bugetul total al proiectului pentru faza a 2-a este de 7,4 mil Euro.</w:t>
            </w:r>
          </w:p>
          <w:p w:rsidR="006D72F3" w:rsidRPr="006D72F3" w:rsidRDefault="006D72F3" w:rsidP="006D72F3">
            <w:pPr>
              <w:shd w:val="clear" w:color="auto" w:fill="FFFFFF"/>
              <w:ind w:firstLine="708"/>
              <w:rPr>
                <w:rFonts w:ascii="Times New Roman" w:eastAsia="Times New Roman" w:hAnsi="Times New Roman" w:cs="Times New Roman"/>
                <w:b/>
                <w:sz w:val="24"/>
                <w:szCs w:val="24"/>
                <w:lang w:eastAsia="ro-RO"/>
              </w:rPr>
            </w:pPr>
            <w:r w:rsidRPr="006D72F3">
              <w:rPr>
                <w:rFonts w:ascii="Times New Roman" w:eastAsia="Times New Roman" w:hAnsi="Times New Roman" w:cs="Times New Roman"/>
                <w:b/>
                <w:bCs/>
                <w:sz w:val="24"/>
                <w:szCs w:val="24"/>
                <w:lang w:eastAsia="ro-RO"/>
              </w:rPr>
              <w:t xml:space="preserve">Obiectivul General al Proiectului: </w:t>
            </w:r>
            <w:r w:rsidRPr="006D72F3">
              <w:rPr>
                <w:rFonts w:ascii="Times New Roman" w:eastAsia="Times New Roman" w:hAnsi="Times New Roman" w:cs="Times New Roman"/>
                <w:sz w:val="24"/>
                <w:szCs w:val="24"/>
                <w:lang w:eastAsia="ro-RO"/>
              </w:rPr>
              <w:t xml:space="preserve">Îmbunătățirea condițiilor generale pentru implementarea politicii de dezvoltare regională orientată către cetățean în sectoarele prioritare de prestare a serviciilor publice locale prin intermediul a 4 </w:t>
            </w:r>
            <w:r w:rsidRPr="006D72F3">
              <w:rPr>
                <w:rFonts w:ascii="Times New Roman" w:eastAsia="Times New Roman" w:hAnsi="Times New Roman" w:cs="Times New Roman"/>
                <w:b/>
                <w:sz w:val="24"/>
                <w:szCs w:val="24"/>
                <w:lang w:eastAsia="ro-RO"/>
              </w:rPr>
              <w:t>Domenii de Intervenție:</w:t>
            </w:r>
          </w:p>
          <w:p w:rsidR="006D72F3" w:rsidRPr="006D72F3" w:rsidRDefault="006D72F3" w:rsidP="006D72F3">
            <w:p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u w:val="single"/>
                <w:lang w:eastAsia="ro-RO"/>
              </w:rPr>
              <w:t xml:space="preserve">I </w:t>
            </w:r>
            <w:r w:rsidRPr="006D72F3">
              <w:rPr>
                <w:rFonts w:ascii="Times New Roman" w:eastAsia="Times New Roman" w:hAnsi="Times New Roman" w:cs="Times New Roman"/>
                <w:i/>
                <w:iCs/>
                <w:sz w:val="24"/>
                <w:szCs w:val="24"/>
                <w:u w:val="single"/>
                <w:lang w:eastAsia="ro-RO"/>
              </w:rPr>
              <w:t>Consultanță și suport în promovarea și implementarea politicii  de dezvoltare regională</w:t>
            </w:r>
            <w:r w:rsidRPr="006D72F3">
              <w:rPr>
                <w:rFonts w:ascii="Times New Roman" w:eastAsia="Times New Roman" w:hAnsi="Times New Roman" w:cs="Times New Roman"/>
                <w:sz w:val="24"/>
                <w:szCs w:val="24"/>
                <w:lang w:eastAsia="ro-RO"/>
              </w:rPr>
              <w:t> acordă sprijin partenerilor în dezvoltarea participativă a unei strategii de dezvoltare regională coerente, în alinierea cadrului legislativ la standardele EU, precum și în armonizarea fondurilor interne și externe existente.</w:t>
            </w:r>
          </w:p>
          <w:p w:rsidR="006D72F3" w:rsidRPr="006D72F3" w:rsidRDefault="006D72F3" w:rsidP="006D72F3">
            <w:p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u w:val="single"/>
                <w:lang w:eastAsia="ro-RO"/>
              </w:rPr>
              <w:t>II </w:t>
            </w:r>
            <w:r w:rsidRPr="006D72F3">
              <w:rPr>
                <w:rFonts w:ascii="Times New Roman" w:eastAsia="Times New Roman" w:hAnsi="Times New Roman" w:cs="Times New Roman"/>
                <w:i/>
                <w:iCs/>
                <w:sz w:val="24"/>
                <w:szCs w:val="24"/>
                <w:u w:val="single"/>
                <w:lang w:eastAsia="ro-RO"/>
              </w:rPr>
              <w:t>Îmbunătățirea coordonării și monitorizării strategiilor de dezvoltare regională</w:t>
            </w:r>
            <w:r w:rsidRPr="006D72F3">
              <w:rPr>
                <w:rFonts w:ascii="Times New Roman" w:eastAsia="Times New Roman" w:hAnsi="Times New Roman" w:cs="Times New Roman"/>
                <w:sz w:val="24"/>
                <w:szCs w:val="24"/>
                <w:u w:val="single"/>
                <w:lang w:eastAsia="ro-RO"/>
              </w:rPr>
              <w:t> </w:t>
            </w:r>
            <w:r w:rsidRPr="006D72F3">
              <w:rPr>
                <w:rFonts w:ascii="Times New Roman" w:eastAsia="Times New Roman" w:hAnsi="Times New Roman" w:cs="Times New Roman"/>
                <w:sz w:val="24"/>
                <w:szCs w:val="24"/>
                <w:lang w:eastAsia="ro-RO"/>
              </w:rPr>
              <w:t>acordă sprijin atât Consiliilor de  Dezvoltare regională, cât și grupurilor de lucru în îndeplinirea funcțiilor lor de bază în planificarea regională integrată.  Sunt introduse proceduri îmbunătățite de monitorizare bazată pe rezultate.</w:t>
            </w:r>
          </w:p>
          <w:p w:rsidR="006D72F3" w:rsidRPr="006D72F3" w:rsidRDefault="006D72F3" w:rsidP="006D72F3">
            <w:p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u w:val="single"/>
                <w:lang w:eastAsia="ro-RO"/>
              </w:rPr>
              <w:t>III </w:t>
            </w:r>
            <w:r w:rsidRPr="006D72F3">
              <w:rPr>
                <w:rFonts w:ascii="Times New Roman" w:eastAsia="Times New Roman" w:hAnsi="Times New Roman" w:cs="Times New Roman"/>
                <w:i/>
                <w:iCs/>
                <w:sz w:val="24"/>
                <w:szCs w:val="24"/>
                <w:u w:val="single"/>
                <w:lang w:eastAsia="ro-RO"/>
              </w:rPr>
              <w:t>Îmbunătățirea dezvoltării și implementării strategiilor de dezvoltare regională</w:t>
            </w:r>
            <w:r w:rsidRPr="006D72F3">
              <w:rPr>
                <w:rFonts w:ascii="Times New Roman" w:eastAsia="Times New Roman" w:hAnsi="Times New Roman" w:cs="Times New Roman"/>
                <w:sz w:val="24"/>
                <w:szCs w:val="24"/>
                <w:lang w:eastAsia="ro-RO"/>
              </w:rPr>
              <w:t> are ca scop perfecționarea capacităților de planificare și implementare ale celor trei Agenții de Dezvoltare  Regională în următoarele domenii:</w:t>
            </w:r>
          </w:p>
          <w:p w:rsidR="006D72F3" w:rsidRPr="006D72F3" w:rsidRDefault="006D72F3" w:rsidP="006D72F3">
            <w:pPr>
              <w:numPr>
                <w:ilvl w:val="0"/>
                <w:numId w:val="7"/>
              </w:num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Dezvoltarea participativă a strategiilor;</w:t>
            </w:r>
          </w:p>
          <w:p w:rsidR="006D72F3" w:rsidRPr="006D72F3" w:rsidRDefault="006D72F3" w:rsidP="006D72F3">
            <w:pPr>
              <w:numPr>
                <w:ilvl w:val="0"/>
                <w:numId w:val="7"/>
              </w:num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Planificare integrat;</w:t>
            </w:r>
          </w:p>
          <w:p w:rsidR="006D72F3" w:rsidRPr="006D72F3" w:rsidRDefault="006D72F3" w:rsidP="006D72F3">
            <w:pPr>
              <w:numPr>
                <w:ilvl w:val="0"/>
                <w:numId w:val="7"/>
              </w:num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Dezvoltarea și implementarea proiectelor.</w:t>
            </w:r>
          </w:p>
          <w:p w:rsidR="006D72F3" w:rsidRPr="006D72F3" w:rsidRDefault="006D72F3" w:rsidP="006D72F3">
            <w:pPr>
              <w:shd w:val="clear" w:color="auto" w:fill="FFFFFF"/>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u w:val="single"/>
                <w:lang w:eastAsia="ro-RO"/>
              </w:rPr>
              <w:t xml:space="preserve">IV </w:t>
            </w:r>
            <w:r w:rsidRPr="006D72F3">
              <w:rPr>
                <w:rFonts w:ascii="Times New Roman" w:eastAsia="Times New Roman" w:hAnsi="Times New Roman" w:cs="Times New Roman"/>
                <w:i/>
                <w:iCs/>
                <w:sz w:val="24"/>
                <w:szCs w:val="24"/>
                <w:u w:val="single"/>
                <w:lang w:eastAsia="ro-RO"/>
              </w:rPr>
              <w:t>Instituționalizarea modulelor de instruire și  a măsurilor de dezvoltare a capacităților</w:t>
            </w:r>
            <w:r w:rsidRPr="006D72F3">
              <w:rPr>
                <w:rFonts w:ascii="Times New Roman" w:eastAsia="Times New Roman" w:hAnsi="Times New Roman" w:cs="Times New Roman"/>
                <w:sz w:val="24"/>
                <w:szCs w:val="24"/>
                <w:lang w:eastAsia="ro-RO"/>
              </w:rPr>
              <w:t> urmărește să amplifice  "bunele practici" ale modulelor de formare elaborate anterior pentru sporirea capacităților în prestarea serviciilor publice locale în sectoarele prioritare.</w:t>
            </w:r>
          </w:p>
          <w:p w:rsidR="006D72F3" w:rsidRPr="006D72F3" w:rsidRDefault="006D72F3" w:rsidP="006D72F3">
            <w:pPr>
              <w:shd w:val="clear" w:color="auto" w:fill="FFFFFF"/>
              <w:ind w:firstLine="708"/>
              <w:rPr>
                <w:rFonts w:ascii="Times New Roman" w:eastAsia="Times New Roman" w:hAnsi="Times New Roman" w:cs="Times New Roman"/>
                <w:sz w:val="24"/>
                <w:szCs w:val="24"/>
                <w:lang w:eastAsia="ro-RO"/>
              </w:rPr>
            </w:pPr>
            <w:r w:rsidRPr="006D72F3">
              <w:rPr>
                <w:rFonts w:ascii="Times New Roman" w:eastAsia="Times New Roman" w:hAnsi="Times New Roman" w:cs="Times New Roman"/>
                <w:b/>
                <w:bCs/>
                <w:sz w:val="24"/>
                <w:szCs w:val="24"/>
                <w:lang w:eastAsia="ro-RO"/>
              </w:rPr>
              <w:t>Beneficiarii finali:</w:t>
            </w:r>
          </w:p>
          <w:p w:rsidR="006D72F3" w:rsidRPr="006D72F3" w:rsidRDefault="006D72F3" w:rsidP="006D72F3">
            <w:pPr>
              <w:shd w:val="clear" w:color="auto" w:fill="FFFFFF"/>
              <w:ind w:firstLine="708"/>
              <w:rPr>
                <w:rFonts w:ascii="Times New Roman" w:eastAsia="Times New Roman" w:hAnsi="Times New Roman" w:cs="Times New Roman"/>
                <w:sz w:val="24"/>
                <w:szCs w:val="24"/>
                <w:lang w:eastAsia="ro-RO"/>
              </w:rPr>
            </w:pPr>
            <w:r w:rsidRPr="006D72F3">
              <w:rPr>
                <w:rFonts w:ascii="Times New Roman" w:eastAsia="Times New Roman" w:hAnsi="Times New Roman" w:cs="Times New Roman"/>
                <w:sz w:val="24"/>
                <w:szCs w:val="24"/>
                <w:lang w:eastAsia="ro-RO"/>
              </w:rPr>
              <w:t>Populația localităților selectate din cele patru regiuni de dezvoltare Nord, Centru, Sud și UTA Găgăuzia.</w:t>
            </w:r>
          </w:p>
          <w:p w:rsidR="006D72F3" w:rsidRPr="006D72F3" w:rsidRDefault="006D72F3" w:rsidP="006D72F3">
            <w:pPr>
              <w:shd w:val="clear" w:color="auto" w:fill="FFFFFF"/>
              <w:ind w:firstLine="708"/>
              <w:rPr>
                <w:rFonts w:ascii="Times New Roman" w:eastAsia="Times New Roman" w:hAnsi="Times New Roman" w:cs="Times New Roman"/>
                <w:sz w:val="24"/>
                <w:szCs w:val="24"/>
                <w:lang w:eastAsia="ro-RO"/>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Reforma structurală în educația și formarea profesională (VET)</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Perioada: 2015-2018, buget: 2,0 mil Euro</w:t>
            </w:r>
          </w:p>
          <w:p w:rsidR="006D72F3" w:rsidRPr="006D72F3" w:rsidRDefault="006D72F3" w:rsidP="006D72F3">
            <w:pPr>
              <w:ind w:firstLine="708"/>
              <w:rPr>
                <w:rFonts w:ascii="Times New Roman" w:eastAsia="Times New Roman" w:hAnsi="Times New Roman" w:cs="Times New Roman"/>
                <w:bCs/>
                <w:sz w:val="24"/>
                <w:szCs w:val="24"/>
                <w:lang w:eastAsia="ro-RO"/>
              </w:rPr>
            </w:pPr>
            <w:r w:rsidRPr="006D72F3">
              <w:rPr>
                <w:rFonts w:ascii="Times New Roman" w:eastAsia="Calibri" w:hAnsi="Times New Roman" w:cs="Times New Roman"/>
                <w:bCs/>
                <w:sz w:val="24"/>
                <w:szCs w:val="24"/>
              </w:rPr>
              <w:t xml:space="preserve">Prin identificarea actorilor relevanți în domeniul VET și prin elaborarea unui studiu aprofundat asupra practicii curente la toate nivelele de politici, proiectul își propune să creeze o platformă de dialog și consens, condus de doi parteneri politici (Ministerul Educaţiei şi Ministerul Agriculturii şi Industriei Alimentare), incluzând ministerele conexe, reprezentanți ai întreprinderilor, furnizori de educație și societatea civilă. Cu o focalizare în special pe sectorul agricol, partenerii vor fi consiliaţi pentru identificarea nevoilor de perfecționare a cadrului normativ existent, inclusiv a structurilor instituționale, modelelor de finanțare, precum și aspectelor curriculare și standardelor necesare pentru adoptarea și adaptarea elementelor abordării duale a </w:t>
            </w:r>
            <w:proofErr w:type="spellStart"/>
            <w:r w:rsidRPr="006D72F3">
              <w:rPr>
                <w:rFonts w:ascii="Times New Roman" w:eastAsia="Calibri" w:hAnsi="Times New Roman" w:cs="Times New Roman"/>
                <w:bCs/>
                <w:sz w:val="24"/>
                <w:szCs w:val="24"/>
              </w:rPr>
              <w:t>VET.</w:t>
            </w:r>
            <w:r w:rsidRPr="006D72F3">
              <w:rPr>
                <w:rFonts w:ascii="Times New Roman" w:eastAsia="Times New Roman" w:hAnsi="Times New Roman" w:cs="Times New Roman"/>
                <w:bCs/>
                <w:sz w:val="24"/>
                <w:szCs w:val="24"/>
                <w:lang w:eastAsia="ro-RO"/>
              </w:rPr>
              <w:t>Proiectul</w:t>
            </w:r>
            <w:proofErr w:type="spellEnd"/>
            <w:r w:rsidRPr="006D72F3">
              <w:rPr>
                <w:rFonts w:ascii="Times New Roman" w:eastAsia="Times New Roman" w:hAnsi="Times New Roman" w:cs="Times New Roman"/>
                <w:bCs/>
                <w:sz w:val="24"/>
                <w:szCs w:val="24"/>
                <w:lang w:eastAsia="ro-RO"/>
              </w:rPr>
              <w:t xml:space="preserve"> contribuie la consolidarea implicării companiilor selectate și a întreprinderilor agricole în conturarea sistemului VET orientat spre cerere, prin adoptarea elementelor învăţământului profesional dual, în strânsă cooperare cu furnizorii educației de stat.</w:t>
            </w:r>
          </w:p>
          <w:p w:rsidR="006D72F3" w:rsidRPr="006D72F3" w:rsidRDefault="006D72F3" w:rsidP="006D72F3">
            <w:pPr>
              <w:rPr>
                <w:rFonts w:ascii="Times New Roman" w:eastAsia="Calibri" w:hAnsi="Times New Roman" w:cs="Times New Roman"/>
                <w:sz w:val="24"/>
                <w:szCs w:val="24"/>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Îmbunătățirea Calității și Eficienței Serviciilor Medicale în Republica Moldova</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Perioada: 2014-2017, buget: 3,0 mil Euro</w:t>
            </w:r>
          </w:p>
          <w:p w:rsidR="006D72F3" w:rsidRPr="006D72F3" w:rsidRDefault="006D72F3" w:rsidP="0072092E">
            <w:pPr>
              <w:rPr>
                <w:rFonts w:ascii="Times New Roman" w:eastAsia="Calibri" w:hAnsi="Times New Roman" w:cs="Times New Roman"/>
                <w:sz w:val="24"/>
                <w:szCs w:val="24"/>
              </w:rPr>
            </w:pPr>
            <w:r w:rsidRPr="006D72F3">
              <w:rPr>
                <w:rStyle w:val="Strong"/>
                <w:rFonts w:ascii="Times New Roman" w:hAnsi="Times New Roman" w:cs="Times New Roman"/>
                <w:sz w:val="24"/>
                <w:szCs w:val="24"/>
                <w:shd w:val="clear" w:color="auto" w:fill="FFFFFF"/>
              </w:rPr>
              <w:lastRenderedPageBreak/>
              <w:t xml:space="preserve">Obiectivul </w:t>
            </w:r>
            <w:r w:rsidRPr="006D72F3">
              <w:rPr>
                <w:rFonts w:ascii="Times New Roman" w:hAnsi="Times New Roman" w:cs="Times New Roman"/>
                <w:sz w:val="24"/>
                <w:szCs w:val="24"/>
                <w:shd w:val="clear" w:color="auto" w:fill="FFFFFF"/>
              </w:rPr>
              <w:t>Îmbunătățirea calității și eficienței asistenței medicale în spitalele selectate.</w:t>
            </w:r>
          </w:p>
          <w:p w:rsidR="006D72F3" w:rsidRPr="006D72F3" w:rsidRDefault="006D72F3" w:rsidP="006D72F3">
            <w:pPr>
              <w:rPr>
                <w:rFonts w:ascii="Times New Roman" w:eastAsia="Calibri" w:hAnsi="Times New Roman" w:cs="Times New Roman"/>
                <w:bCs/>
                <w:sz w:val="24"/>
                <w:szCs w:val="24"/>
                <w:shd w:val="clear" w:color="auto" w:fill="FFFFFF"/>
              </w:rPr>
            </w:pPr>
            <w:r w:rsidRPr="006D72F3">
              <w:rPr>
                <w:rFonts w:ascii="Times New Roman" w:eastAsia="Calibri" w:hAnsi="Times New Roman" w:cs="Times New Roman"/>
                <w:b/>
                <w:bCs/>
                <w:sz w:val="24"/>
                <w:szCs w:val="24"/>
                <w:shd w:val="clear" w:color="auto" w:fill="FFFFFF"/>
              </w:rPr>
              <w:t>Domenii de intervenție</w:t>
            </w:r>
            <w:r w:rsidRPr="006D72F3">
              <w:rPr>
                <w:rFonts w:ascii="Times New Roman" w:eastAsia="Calibri" w:hAnsi="Times New Roman" w:cs="Times New Roman"/>
                <w:bCs/>
                <w:sz w:val="24"/>
                <w:szCs w:val="24"/>
                <w:shd w:val="clear" w:color="auto" w:fill="FFFFFF"/>
              </w:rPr>
              <w:t xml:space="preserve"> ale proiectului sunt: </w:t>
            </w:r>
          </w:p>
          <w:p w:rsidR="006D72F3" w:rsidRPr="006D72F3" w:rsidRDefault="006D72F3" w:rsidP="006D72F3">
            <w:pPr>
              <w:rPr>
                <w:rFonts w:ascii="Times New Roman" w:eastAsia="Calibri" w:hAnsi="Times New Roman" w:cs="Times New Roman"/>
                <w:bCs/>
                <w:sz w:val="24"/>
                <w:szCs w:val="24"/>
                <w:shd w:val="clear" w:color="auto" w:fill="FFFFFF"/>
              </w:rPr>
            </w:pPr>
            <w:r w:rsidRPr="006D72F3">
              <w:rPr>
                <w:rFonts w:ascii="Times New Roman" w:eastAsia="Calibri" w:hAnsi="Times New Roman" w:cs="Times New Roman"/>
                <w:bCs/>
                <w:sz w:val="24"/>
                <w:szCs w:val="24"/>
                <w:shd w:val="clear" w:color="auto" w:fill="FFFFFF"/>
              </w:rPr>
              <w:t>1.Managementul calității – proiectul ajută spitalele pentru a stabili a cultură viabilă în ceea ce ţine de calitate.</w:t>
            </w:r>
          </w:p>
          <w:p w:rsidR="006D72F3" w:rsidRPr="006D72F3" w:rsidRDefault="006D72F3" w:rsidP="006D72F3">
            <w:pPr>
              <w:rPr>
                <w:rFonts w:ascii="Times New Roman" w:eastAsia="Calibri" w:hAnsi="Times New Roman" w:cs="Times New Roman"/>
                <w:bCs/>
                <w:sz w:val="24"/>
                <w:szCs w:val="24"/>
                <w:shd w:val="clear" w:color="auto" w:fill="FFFFFF"/>
              </w:rPr>
            </w:pPr>
            <w:r w:rsidRPr="006D72F3">
              <w:rPr>
                <w:rFonts w:ascii="Times New Roman" w:eastAsia="Calibri" w:hAnsi="Times New Roman" w:cs="Times New Roman"/>
                <w:bCs/>
                <w:sz w:val="24"/>
                <w:szCs w:val="24"/>
                <w:shd w:val="clear" w:color="auto" w:fill="FFFFFF"/>
              </w:rPr>
              <w:t>2.Integrarea tratamentului pentru îngrijire pe termen lung – proiectul contribuie la dezvoltarea și punerea în aplicare a modelelor pilot de cooperare a spitalelor pentru tratamentul unei boli specifice.</w:t>
            </w:r>
          </w:p>
          <w:p w:rsidR="006D72F3" w:rsidRPr="006D72F3" w:rsidRDefault="006D72F3" w:rsidP="006D72F3">
            <w:pPr>
              <w:rPr>
                <w:rFonts w:ascii="Times New Roman" w:eastAsia="Calibri" w:hAnsi="Times New Roman" w:cs="Times New Roman"/>
                <w:bCs/>
                <w:sz w:val="24"/>
                <w:szCs w:val="24"/>
                <w:shd w:val="clear" w:color="auto" w:fill="FFFFFF"/>
              </w:rPr>
            </w:pPr>
            <w:r w:rsidRPr="006D72F3">
              <w:rPr>
                <w:rFonts w:ascii="Times New Roman" w:eastAsia="Calibri" w:hAnsi="Times New Roman" w:cs="Times New Roman"/>
                <w:bCs/>
                <w:sz w:val="24"/>
                <w:szCs w:val="24"/>
                <w:shd w:val="clear" w:color="auto" w:fill="FFFFFF"/>
              </w:rPr>
              <w:t>3.Planificare regională și punerea în aplicare a îngrijirii de către asistența medicală în spital – proiectul intenționează să dezvolte abilități și mecanisme de planificare și o mai bună gestionare a serviciilor de sănătate.</w:t>
            </w:r>
          </w:p>
          <w:p w:rsidR="006D72F3" w:rsidRPr="006D72F3" w:rsidRDefault="006D72F3" w:rsidP="006D72F3">
            <w:pPr>
              <w:rPr>
                <w:rFonts w:ascii="Times New Roman" w:eastAsia="Calibri" w:hAnsi="Times New Roman" w:cs="Times New Roman"/>
                <w:b/>
                <w:bCs/>
                <w:sz w:val="24"/>
                <w:szCs w:val="24"/>
              </w:rPr>
            </w:pP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Gestionarea resurselor de apă pe Nistru</w:t>
            </w:r>
          </w:p>
          <w:p w:rsidR="006D72F3" w:rsidRPr="006D72F3" w:rsidRDefault="006D72F3" w:rsidP="006D72F3">
            <w:pPr>
              <w:ind w:firstLine="708"/>
              <w:rPr>
                <w:rFonts w:ascii="Times New Roman" w:eastAsia="Calibri" w:hAnsi="Times New Roman" w:cs="Times New Roman"/>
                <w:b/>
                <w:sz w:val="24"/>
                <w:szCs w:val="24"/>
              </w:rPr>
            </w:pPr>
            <w:r w:rsidRPr="006D72F3">
              <w:rPr>
                <w:rFonts w:ascii="Times New Roman" w:eastAsia="Calibri" w:hAnsi="Times New Roman" w:cs="Times New Roman"/>
                <w:b/>
                <w:sz w:val="24"/>
                <w:szCs w:val="24"/>
              </w:rPr>
              <w:t>Perioada: 2016 – 2018, buget: 2,0 mil Euro</w:t>
            </w:r>
          </w:p>
          <w:p w:rsidR="006D72F3" w:rsidRPr="006D72F3" w:rsidRDefault="006D72F3" w:rsidP="006D72F3">
            <w:pPr>
              <w:rPr>
                <w:rFonts w:ascii="Times New Roman" w:eastAsia="Calibri" w:hAnsi="Times New Roman" w:cs="Times New Roman"/>
                <w:sz w:val="24"/>
                <w:szCs w:val="24"/>
              </w:rPr>
            </w:pPr>
            <w:r w:rsidRPr="006D72F3">
              <w:rPr>
                <w:rFonts w:ascii="Times New Roman" w:eastAsia="Calibri" w:hAnsi="Times New Roman" w:cs="Times New Roman"/>
                <w:sz w:val="24"/>
                <w:szCs w:val="24"/>
              </w:rPr>
              <w:t xml:space="preserve">Proiectul acordă suportul în aplicarea pe termen lung a unui proces de schimbare a situației în sectorul AAC existent în regiune, prin susținerea dezvoltării participative, a bunei guvernări și prin măsuri de promovare a dialogului, împreună fiind bazate pe îmbunătățirea cadrului instituțional de cooperare inter-municipală. Aceste măsuri sunt conforme cerințelor "Strategiei Naționale de Aprovizionare cu Apă și Canalizare 2014-2028", care este documentul fundamental de politici pentru acest sector. </w:t>
            </w:r>
          </w:p>
          <w:p w:rsidR="006D72F3" w:rsidRPr="006D72F3" w:rsidRDefault="006D72F3" w:rsidP="006D72F3">
            <w:pPr>
              <w:rPr>
                <w:rFonts w:ascii="Times New Roman" w:eastAsia="Calibri" w:hAnsi="Times New Roman" w:cs="Times New Roman"/>
                <w:sz w:val="24"/>
                <w:szCs w:val="24"/>
              </w:rPr>
            </w:pPr>
            <w:r w:rsidRPr="006D72F3">
              <w:rPr>
                <w:rFonts w:ascii="Times New Roman" w:eastAsia="Calibri" w:hAnsi="Times New Roman" w:cs="Times New Roman"/>
                <w:sz w:val="24"/>
                <w:szCs w:val="24"/>
              </w:rPr>
              <w:t>Proiectul cuprinde trei domenii de intervenție:</w:t>
            </w:r>
          </w:p>
          <w:p w:rsidR="006D72F3" w:rsidRPr="006D72F3" w:rsidRDefault="006D72F3" w:rsidP="006D72F3">
            <w:pPr>
              <w:numPr>
                <w:ilvl w:val="0"/>
                <w:numId w:val="8"/>
              </w:numPr>
              <w:rPr>
                <w:rFonts w:ascii="Times New Roman" w:eastAsia="Calibri" w:hAnsi="Times New Roman" w:cs="Times New Roman"/>
                <w:sz w:val="24"/>
                <w:szCs w:val="24"/>
              </w:rPr>
            </w:pPr>
            <w:r w:rsidRPr="006D72F3">
              <w:rPr>
                <w:rFonts w:ascii="Times New Roman" w:eastAsia="Calibri" w:hAnsi="Times New Roman" w:cs="Times New Roman"/>
                <w:bCs/>
                <w:sz w:val="24"/>
                <w:szCs w:val="24"/>
              </w:rPr>
              <w:t>Consolidarea încrederii prin măsuri de cooperare inter-municipală în gestionarea resurselor de apă.</w:t>
            </w:r>
            <w:r w:rsidRPr="006D72F3">
              <w:rPr>
                <w:rFonts w:ascii="Times New Roman" w:eastAsia="Calibri" w:hAnsi="Times New Roman" w:cs="Times New Roman"/>
                <w:sz w:val="24"/>
                <w:szCs w:val="24"/>
              </w:rPr>
              <w:t> </w:t>
            </w:r>
          </w:p>
          <w:p w:rsidR="006D72F3" w:rsidRPr="006D72F3" w:rsidRDefault="006D72F3" w:rsidP="006D72F3">
            <w:pPr>
              <w:numPr>
                <w:ilvl w:val="0"/>
                <w:numId w:val="8"/>
              </w:numPr>
              <w:rPr>
                <w:rFonts w:ascii="Times New Roman" w:eastAsia="Calibri" w:hAnsi="Times New Roman" w:cs="Times New Roman"/>
                <w:sz w:val="24"/>
                <w:szCs w:val="24"/>
              </w:rPr>
            </w:pPr>
            <w:r w:rsidRPr="006D72F3">
              <w:rPr>
                <w:rFonts w:ascii="Times New Roman" w:eastAsia="Calibri" w:hAnsi="Times New Roman" w:cs="Times New Roman"/>
                <w:bCs/>
                <w:sz w:val="24"/>
                <w:szCs w:val="24"/>
              </w:rPr>
              <w:t xml:space="preserve"> Consolidarea capacităților operatorilor AAC întru îmbunătățirea serviciilor de aprovizionare cu apă și canalizare. </w:t>
            </w:r>
          </w:p>
          <w:p w:rsidR="006D72F3" w:rsidRPr="0072092E" w:rsidRDefault="006D72F3" w:rsidP="006D72F3">
            <w:pPr>
              <w:numPr>
                <w:ilvl w:val="0"/>
                <w:numId w:val="8"/>
              </w:numPr>
              <w:rPr>
                <w:rFonts w:ascii="Times New Roman" w:eastAsia="Calibri" w:hAnsi="Times New Roman" w:cs="Times New Roman"/>
                <w:b/>
                <w:sz w:val="24"/>
                <w:szCs w:val="24"/>
              </w:rPr>
            </w:pPr>
            <w:r w:rsidRPr="006D72F3">
              <w:rPr>
                <w:rFonts w:ascii="Times New Roman" w:eastAsia="Calibri" w:hAnsi="Times New Roman" w:cs="Times New Roman"/>
                <w:bCs/>
                <w:sz w:val="24"/>
                <w:szCs w:val="24"/>
              </w:rPr>
              <w:t xml:space="preserve"> Dezvoltarea pachetelor investiționale pentru servicii îmbunătățite de aprovizionare cu apă și canalizare. </w:t>
            </w:r>
            <w:r w:rsidRPr="006D72F3">
              <w:rPr>
                <w:rFonts w:ascii="Times New Roman" w:eastAsia="Calibri" w:hAnsi="Times New Roman" w:cs="Times New Roman"/>
                <w:b/>
                <w:sz w:val="24"/>
                <w:szCs w:val="24"/>
              </w:rPr>
              <w:t xml:space="preserve"> </w:t>
            </w:r>
          </w:p>
          <w:p w:rsidR="006D72F3" w:rsidRPr="006D72F3" w:rsidRDefault="006D72F3" w:rsidP="006D72F3">
            <w:pPr>
              <w:rPr>
                <w:rFonts w:ascii="Times New Roman" w:hAnsi="Times New Roman" w:cs="Times New Roman"/>
                <w:sz w:val="24"/>
                <w:szCs w:val="24"/>
              </w:rPr>
            </w:pPr>
            <w:r w:rsidRPr="006D72F3">
              <w:rPr>
                <w:rFonts w:ascii="Times New Roman" w:hAnsi="Times New Roman" w:cs="Times New Roman"/>
                <w:sz w:val="24"/>
                <w:szCs w:val="24"/>
              </w:rPr>
              <w:t xml:space="preserve">Începând cu 2010, </w:t>
            </w:r>
            <w:r w:rsidRPr="006D72F3">
              <w:rPr>
                <w:rFonts w:ascii="Times New Roman" w:hAnsi="Times New Roman" w:cs="Times New Roman"/>
                <w:i/>
                <w:sz w:val="24"/>
                <w:szCs w:val="24"/>
              </w:rPr>
              <w:t>Echipa Economică Germană în Moldova (“GET Moldova”)</w:t>
            </w:r>
            <w:r w:rsidRPr="006D72F3">
              <w:rPr>
                <w:rFonts w:ascii="Times New Roman" w:hAnsi="Times New Roman" w:cs="Times New Roman"/>
                <w:sz w:val="24"/>
                <w:szCs w:val="24"/>
              </w:rPr>
              <w:t xml:space="preserve"> susține Guvernul Republicii Moldova în domeniul stabilizării dezvoltării economice și modelării proceselor necesare pentru reformele economice. În cadrul unui dialog continuu cu decidenții politici de rang înalt, sunt identificate problemele economice curente și înaintate recomandări ulterioare bazate pe o analiză independentă.</w:t>
            </w:r>
          </w:p>
          <w:p w:rsidR="006D72F3" w:rsidRPr="006D72F3" w:rsidRDefault="006D72F3" w:rsidP="006D72F3">
            <w:pPr>
              <w:rPr>
                <w:rFonts w:ascii="Times New Roman" w:hAnsi="Times New Roman" w:cs="Times New Roman"/>
                <w:sz w:val="24"/>
                <w:szCs w:val="24"/>
              </w:rPr>
            </w:pPr>
            <w:r w:rsidRPr="006D72F3">
              <w:rPr>
                <w:rFonts w:ascii="Times New Roman" w:hAnsi="Times New Roman" w:cs="Times New Roman"/>
                <w:sz w:val="24"/>
                <w:szCs w:val="24"/>
              </w:rPr>
              <w:t>Ca parte a activităților sale de consultanță, GET Moldova cooperează cu instituții de cercetare economică proeminente din Moldova și menține legături strânse cu organizațiile internaționale și părțile interesate din cadrul societății civile.</w:t>
            </w:r>
          </w:p>
          <w:p w:rsidR="006D72F3" w:rsidRPr="006D72F3" w:rsidRDefault="006D72F3" w:rsidP="006D72F3">
            <w:pPr>
              <w:rPr>
                <w:rFonts w:ascii="Times New Roman" w:hAnsi="Times New Roman" w:cs="Times New Roman"/>
                <w:sz w:val="24"/>
                <w:szCs w:val="24"/>
              </w:rPr>
            </w:pPr>
            <w:r w:rsidRPr="006D72F3">
              <w:rPr>
                <w:rFonts w:ascii="Times New Roman" w:hAnsi="Times New Roman" w:cs="Times New Roman"/>
                <w:sz w:val="24"/>
                <w:szCs w:val="24"/>
              </w:rPr>
              <w:t>GET Moldova de asemenea folosește expertiza și cunoștințele vaste în domeniul situației economice din Moldova pentru a susține organizațiile germane în domeniul politicilor, administrației publice și afacerilor.</w:t>
            </w:r>
          </w:p>
          <w:p w:rsidR="006D72F3" w:rsidRDefault="006D72F3" w:rsidP="006D72F3">
            <w:pPr>
              <w:rPr>
                <w:rFonts w:ascii="Times New Roman" w:hAnsi="Times New Roman" w:cs="Times New Roman"/>
                <w:sz w:val="24"/>
                <w:szCs w:val="24"/>
              </w:rPr>
            </w:pPr>
            <w:r w:rsidRPr="006D72F3">
              <w:rPr>
                <w:rFonts w:ascii="Times New Roman" w:hAnsi="Times New Roman" w:cs="Times New Roman"/>
                <w:sz w:val="24"/>
                <w:szCs w:val="24"/>
              </w:rPr>
              <w:t xml:space="preserve">GET Moldova constituie o parte a proiectului „Consultanță guvernamentală la nivel înalt în numele Ministerului Federal al Economiei și Energiei“, care de asemenea include Ucraina, </w:t>
            </w:r>
            <w:proofErr w:type="spellStart"/>
            <w:r w:rsidRPr="006D72F3">
              <w:rPr>
                <w:rFonts w:ascii="Times New Roman" w:hAnsi="Times New Roman" w:cs="Times New Roman"/>
                <w:sz w:val="24"/>
                <w:szCs w:val="24"/>
              </w:rPr>
              <w:t>Belarusi</w:t>
            </w:r>
            <w:proofErr w:type="spellEnd"/>
            <w:r w:rsidRPr="006D72F3">
              <w:rPr>
                <w:rFonts w:ascii="Times New Roman" w:hAnsi="Times New Roman" w:cs="Times New Roman"/>
                <w:sz w:val="24"/>
                <w:szCs w:val="24"/>
              </w:rPr>
              <w:t xml:space="preserve"> și Georgia.</w:t>
            </w:r>
          </w:p>
          <w:p w:rsidR="0072092E" w:rsidRPr="006D72F3" w:rsidRDefault="0072092E" w:rsidP="006D72F3">
            <w:pPr>
              <w:rPr>
                <w:rFonts w:ascii="Times New Roman" w:hAnsi="Times New Roman" w:cs="Times New Roman"/>
                <w:sz w:val="24"/>
                <w:szCs w:val="24"/>
              </w:rPr>
            </w:pPr>
          </w:p>
          <w:p w:rsidR="006D72F3" w:rsidRPr="006333E5" w:rsidRDefault="006D72F3" w:rsidP="006D72F3">
            <w:pPr>
              <w:rPr>
                <w:rFonts w:ascii="Times New Roman" w:hAnsi="Times New Roman" w:cs="Times New Roman"/>
                <w:b/>
                <w:sz w:val="24"/>
                <w:szCs w:val="24"/>
                <w:u w:val="single"/>
              </w:rPr>
            </w:pPr>
            <w:r w:rsidRPr="006D72F3">
              <w:rPr>
                <w:rFonts w:ascii="Times New Roman" w:hAnsi="Times New Roman" w:cs="Times New Roman"/>
                <w:b/>
                <w:sz w:val="24"/>
                <w:szCs w:val="24"/>
                <w:u w:val="single"/>
              </w:rPr>
              <w:t>Propuneri pentru asistență</w:t>
            </w:r>
            <w:r w:rsidR="006333E5">
              <w:rPr>
                <w:rFonts w:ascii="Times New Roman" w:hAnsi="Times New Roman" w:cs="Times New Roman"/>
                <w:b/>
                <w:sz w:val="24"/>
                <w:szCs w:val="24"/>
                <w:u w:val="single"/>
              </w:rPr>
              <w:t>:</w:t>
            </w:r>
          </w:p>
          <w:p w:rsidR="006D72F3" w:rsidRPr="006D72F3" w:rsidRDefault="006D72F3" w:rsidP="006D72F3">
            <w:pPr>
              <w:numPr>
                <w:ilvl w:val="0"/>
                <w:numId w:val="9"/>
              </w:numPr>
              <w:spacing w:line="276" w:lineRule="auto"/>
              <w:jc w:val="both"/>
              <w:rPr>
                <w:rFonts w:ascii="Times New Roman" w:eastAsia="Calibri" w:hAnsi="Times New Roman" w:cs="Times New Roman"/>
                <w:sz w:val="24"/>
                <w:szCs w:val="24"/>
              </w:rPr>
            </w:pPr>
            <w:r w:rsidRPr="006D72F3">
              <w:rPr>
                <w:rFonts w:ascii="Times New Roman" w:eastAsia="Calibri" w:hAnsi="Times New Roman" w:cs="Times New Roman"/>
                <w:sz w:val="24"/>
                <w:szCs w:val="24"/>
              </w:rPr>
              <w:t>facilitare schimbului de informație și experiență în domeniul competitivității;</w:t>
            </w:r>
          </w:p>
          <w:p w:rsidR="006D72F3" w:rsidRPr="006D72F3" w:rsidRDefault="006D72F3" w:rsidP="006D72F3">
            <w:pPr>
              <w:numPr>
                <w:ilvl w:val="0"/>
                <w:numId w:val="9"/>
              </w:numPr>
              <w:spacing w:line="276" w:lineRule="auto"/>
              <w:jc w:val="both"/>
              <w:rPr>
                <w:rFonts w:ascii="Times New Roman" w:eastAsia="Calibri" w:hAnsi="Times New Roman" w:cs="Times New Roman"/>
                <w:sz w:val="24"/>
                <w:szCs w:val="24"/>
              </w:rPr>
            </w:pPr>
            <w:r w:rsidRPr="006D72F3">
              <w:rPr>
                <w:rFonts w:ascii="Times New Roman" w:eastAsia="Calibri" w:hAnsi="Times New Roman" w:cs="Times New Roman"/>
                <w:sz w:val="24"/>
                <w:szCs w:val="24"/>
              </w:rPr>
              <w:t>acordarea asistenței pentru întreprinderile mici și mijlocii din Republica Moldova pentru a intra pe piețe noi;</w:t>
            </w:r>
          </w:p>
          <w:p w:rsidR="006D72F3" w:rsidRPr="006D72F3" w:rsidRDefault="006D72F3" w:rsidP="006D72F3">
            <w:pPr>
              <w:numPr>
                <w:ilvl w:val="0"/>
                <w:numId w:val="9"/>
              </w:numPr>
              <w:spacing w:line="276" w:lineRule="auto"/>
              <w:jc w:val="both"/>
              <w:rPr>
                <w:rFonts w:ascii="Times New Roman" w:eastAsia="Calibri" w:hAnsi="Times New Roman" w:cs="Times New Roman"/>
                <w:sz w:val="24"/>
                <w:szCs w:val="24"/>
              </w:rPr>
            </w:pPr>
            <w:r w:rsidRPr="006D72F3">
              <w:rPr>
                <w:rFonts w:ascii="Times New Roman" w:eastAsia="Calibri" w:hAnsi="Times New Roman" w:cs="Times New Roman"/>
                <w:sz w:val="24"/>
                <w:szCs w:val="24"/>
              </w:rPr>
              <w:t xml:space="preserve">actualizarea standardelor locurilor de muncă şi </w:t>
            </w:r>
            <w:proofErr w:type="spellStart"/>
            <w:r w:rsidRPr="006D72F3">
              <w:rPr>
                <w:rFonts w:ascii="Times New Roman" w:eastAsia="Calibri" w:hAnsi="Times New Roman" w:cs="Times New Roman"/>
                <w:sz w:val="24"/>
                <w:szCs w:val="24"/>
              </w:rPr>
              <w:t>curriculei</w:t>
            </w:r>
            <w:proofErr w:type="spellEnd"/>
            <w:r w:rsidRPr="006D72F3">
              <w:rPr>
                <w:rFonts w:ascii="Times New Roman" w:eastAsia="Calibri" w:hAnsi="Times New Roman" w:cs="Times New Roman"/>
                <w:sz w:val="24"/>
                <w:szCs w:val="24"/>
              </w:rPr>
              <w:t xml:space="preserve"> corespunzătoare în permanentă coordonare economică, educaţională şi a forţei de muncă între ministere; </w:t>
            </w:r>
          </w:p>
          <w:p w:rsidR="006D72F3" w:rsidRPr="006D72F3" w:rsidRDefault="006D72F3" w:rsidP="006D72F3">
            <w:pPr>
              <w:numPr>
                <w:ilvl w:val="0"/>
                <w:numId w:val="9"/>
              </w:numPr>
              <w:spacing w:line="276" w:lineRule="auto"/>
              <w:jc w:val="both"/>
              <w:rPr>
                <w:rFonts w:ascii="Times New Roman" w:eastAsia="Calibri" w:hAnsi="Times New Roman" w:cs="Times New Roman"/>
                <w:sz w:val="24"/>
                <w:szCs w:val="24"/>
              </w:rPr>
            </w:pPr>
            <w:r w:rsidRPr="006D72F3">
              <w:rPr>
                <w:rFonts w:ascii="Times New Roman" w:eastAsia="Calibri" w:hAnsi="Times New Roman" w:cs="Times New Roman"/>
                <w:sz w:val="24"/>
                <w:szCs w:val="24"/>
              </w:rPr>
              <w:t>organizarea a cursurilor de instruire avansate pe tot parcursul vieții (LLL) pentru persoane fără loc de muncă;</w:t>
            </w:r>
          </w:p>
          <w:p w:rsidR="006D72F3" w:rsidRPr="006D72F3" w:rsidRDefault="006D72F3" w:rsidP="006D72F3">
            <w:pPr>
              <w:numPr>
                <w:ilvl w:val="0"/>
                <w:numId w:val="9"/>
              </w:numPr>
              <w:spacing w:line="276" w:lineRule="auto"/>
              <w:jc w:val="both"/>
              <w:rPr>
                <w:rFonts w:ascii="Times New Roman" w:eastAsia="Calibri" w:hAnsi="Times New Roman" w:cs="Times New Roman"/>
                <w:sz w:val="24"/>
                <w:szCs w:val="24"/>
              </w:rPr>
            </w:pPr>
            <w:r w:rsidRPr="006D72F3">
              <w:rPr>
                <w:rFonts w:ascii="Times New Roman" w:eastAsia="Calibri" w:hAnsi="Times New Roman" w:cs="Times New Roman"/>
                <w:sz w:val="24"/>
                <w:szCs w:val="24"/>
              </w:rPr>
              <w:t>elaborarea manualelor şi instrucţiunilor precum şi a parteneriatelor dintre instituţiile educaţionale şi mediul de afaceri pentru stagiile de practică a studenţilor;</w:t>
            </w:r>
          </w:p>
          <w:p w:rsidR="006D72F3" w:rsidRPr="00053753" w:rsidRDefault="006D72F3" w:rsidP="006D72F3">
            <w:pPr>
              <w:numPr>
                <w:ilvl w:val="0"/>
                <w:numId w:val="9"/>
              </w:numPr>
              <w:spacing w:line="276" w:lineRule="auto"/>
              <w:jc w:val="both"/>
              <w:rPr>
                <w:rFonts w:ascii="Times New Roman" w:hAnsi="Times New Roman" w:cs="Times New Roman"/>
                <w:sz w:val="24"/>
                <w:szCs w:val="24"/>
              </w:rPr>
            </w:pPr>
            <w:r w:rsidRPr="006D72F3">
              <w:rPr>
                <w:rFonts w:ascii="Times New Roman" w:eastAsia="Calibri" w:hAnsi="Times New Roman" w:cs="Times New Roman"/>
                <w:sz w:val="24"/>
                <w:szCs w:val="24"/>
              </w:rPr>
              <w:t>analiza potenţialului (în termeni de locuri de muncă, cifra de afaceri, salarii, taxe) ale diferitelor sub sectoare (bazate pe sectoare din studiul de segmentare a IMM-urilor).</w:t>
            </w:r>
          </w:p>
        </w:tc>
      </w:tr>
    </w:tbl>
    <w:p w:rsidR="00AA0A70" w:rsidRDefault="00AA0A70" w:rsidP="004D0F19">
      <w:pPr>
        <w:rPr>
          <w:rFonts w:ascii="Times New Roman" w:hAnsi="Times New Roman" w:cs="Times New Roman"/>
          <w:sz w:val="24"/>
          <w:szCs w:val="24"/>
        </w:rPr>
      </w:pPr>
    </w:p>
    <w:p w:rsidR="00C60BB1" w:rsidRPr="00E673F2" w:rsidRDefault="00C60BB1" w:rsidP="004D0F19">
      <w:pPr>
        <w:rPr>
          <w:rFonts w:ascii="Times New Roman" w:hAnsi="Times New Roman" w:cs="Times New Roman"/>
          <w:sz w:val="24"/>
          <w:szCs w:val="24"/>
        </w:rPr>
      </w:pPr>
    </w:p>
    <w:p w:rsidR="000066FC" w:rsidRPr="00E673F2" w:rsidRDefault="000066FC" w:rsidP="004010F9">
      <w:pPr>
        <w:jc w:val="right"/>
        <w:rPr>
          <w:rFonts w:ascii="Times New Roman" w:hAnsi="Times New Roman" w:cs="Times New Roman"/>
          <w:sz w:val="24"/>
          <w:szCs w:val="24"/>
        </w:rPr>
      </w:pPr>
      <w:r w:rsidRPr="00E673F2">
        <w:rPr>
          <w:rFonts w:ascii="Times New Roman" w:hAnsi="Times New Roman" w:cs="Times New Roman"/>
          <w:sz w:val="24"/>
          <w:szCs w:val="24"/>
        </w:rPr>
        <w:t>Anexa 1</w:t>
      </w:r>
    </w:p>
    <w:p w:rsidR="000066FC" w:rsidRPr="002A08C2" w:rsidRDefault="000066FC" w:rsidP="000066FC">
      <w:pPr>
        <w:spacing w:after="0" w:line="240" w:lineRule="auto"/>
        <w:jc w:val="center"/>
        <w:rPr>
          <w:rFonts w:ascii="Times New Roman" w:hAnsi="Times New Roman" w:cs="Times New Roman"/>
          <w:b/>
          <w:sz w:val="24"/>
          <w:szCs w:val="24"/>
          <w:lang w:eastAsia="ru-RU"/>
        </w:rPr>
      </w:pPr>
      <w:r w:rsidRPr="002A08C2">
        <w:rPr>
          <w:rFonts w:ascii="Times New Roman" w:hAnsi="Times New Roman" w:cs="Times New Roman"/>
          <w:b/>
          <w:sz w:val="24"/>
          <w:szCs w:val="24"/>
          <w:lang w:eastAsia="ru-RU"/>
        </w:rPr>
        <w:t xml:space="preserve">Evoluţia schimburilor comerciale între Moldova şi </w:t>
      </w:r>
      <w:r w:rsidR="00AA0A70" w:rsidRPr="002A08C2">
        <w:rPr>
          <w:rFonts w:ascii="Times New Roman" w:hAnsi="Times New Roman" w:cs="Times New Roman"/>
          <w:b/>
          <w:sz w:val="24"/>
          <w:szCs w:val="24"/>
          <w:lang w:eastAsia="ru-RU"/>
        </w:rPr>
        <w:t>Republica Federală Germană</w:t>
      </w:r>
    </w:p>
    <w:p w:rsidR="000066FC" w:rsidRDefault="000066FC" w:rsidP="000066FC">
      <w:pPr>
        <w:jc w:val="center"/>
        <w:rPr>
          <w:rFonts w:ascii="Times New Roman" w:hAnsi="Times New Roman" w:cs="Times New Roman"/>
          <w:b/>
          <w:sz w:val="24"/>
          <w:szCs w:val="24"/>
          <w:lang w:eastAsia="ru-RU"/>
        </w:rPr>
      </w:pPr>
      <w:r w:rsidRPr="002A08C2">
        <w:rPr>
          <w:rFonts w:ascii="Times New Roman" w:hAnsi="Times New Roman" w:cs="Times New Roman"/>
          <w:b/>
          <w:sz w:val="24"/>
          <w:szCs w:val="24"/>
          <w:lang w:eastAsia="ru-RU"/>
        </w:rPr>
        <w:t xml:space="preserve">în perioada </w:t>
      </w:r>
      <w:r w:rsidR="002A08C2" w:rsidRPr="002A08C2">
        <w:rPr>
          <w:rFonts w:ascii="Times New Roman" w:hAnsi="Times New Roman" w:cs="Times New Roman"/>
          <w:b/>
          <w:sz w:val="24"/>
          <w:szCs w:val="24"/>
          <w:lang w:eastAsia="ru-RU"/>
        </w:rPr>
        <w:t xml:space="preserve">anilor 2015-2016 și în perioada ianuarie-aprilie </w:t>
      </w:r>
      <w:r w:rsidR="0041552B">
        <w:rPr>
          <w:rFonts w:ascii="Times New Roman" w:hAnsi="Times New Roman" w:cs="Times New Roman"/>
          <w:b/>
          <w:sz w:val="24"/>
          <w:szCs w:val="24"/>
          <w:lang w:eastAsia="ru-RU"/>
        </w:rPr>
        <w:t>2016-</w:t>
      </w:r>
      <w:r w:rsidR="002A08C2" w:rsidRPr="002A08C2">
        <w:rPr>
          <w:rFonts w:ascii="Times New Roman" w:hAnsi="Times New Roman" w:cs="Times New Roman"/>
          <w:b/>
          <w:sz w:val="24"/>
          <w:szCs w:val="24"/>
          <w:lang w:eastAsia="ru-RU"/>
        </w:rPr>
        <w:t>2017</w:t>
      </w:r>
    </w:p>
    <w:p w:rsidR="002A08C2" w:rsidRDefault="002A08C2" w:rsidP="002A08C2">
      <w:pPr>
        <w:rPr>
          <w:rFonts w:ascii="Times New Roman" w:hAnsi="Times New Roman" w:cs="Times New Roman"/>
          <w:b/>
          <w:sz w:val="24"/>
          <w:szCs w:val="24"/>
          <w:u w:val="single"/>
        </w:rPr>
      </w:pPr>
      <w:r w:rsidRPr="003C62BA">
        <w:rPr>
          <w:rFonts w:ascii="Times New Roman" w:hAnsi="Times New Roman" w:cs="Times New Roman"/>
          <w:b/>
          <w:sz w:val="24"/>
          <w:szCs w:val="24"/>
          <w:u w:val="single"/>
        </w:rPr>
        <w:t xml:space="preserve">Comerțul bilateral în </w:t>
      </w:r>
      <w:r w:rsidR="0041552B">
        <w:rPr>
          <w:rFonts w:ascii="Times New Roman" w:hAnsi="Times New Roman" w:cs="Times New Roman"/>
          <w:b/>
          <w:sz w:val="24"/>
          <w:szCs w:val="24"/>
          <w:u w:val="single"/>
        </w:rPr>
        <w:t>perioada ianuarie-aprilie</w:t>
      </w:r>
      <w:r w:rsidRPr="003C62BA">
        <w:rPr>
          <w:rFonts w:ascii="Times New Roman" w:hAnsi="Times New Roman" w:cs="Times New Roman"/>
          <w:b/>
          <w:sz w:val="24"/>
          <w:szCs w:val="24"/>
          <w:u w:val="single"/>
        </w:rPr>
        <w:t xml:space="preserve"> </w:t>
      </w:r>
      <w:r w:rsidR="0041552B">
        <w:rPr>
          <w:rFonts w:ascii="Times New Roman" w:hAnsi="Times New Roman" w:cs="Times New Roman"/>
          <w:b/>
          <w:sz w:val="24"/>
          <w:szCs w:val="24"/>
          <w:u w:val="single"/>
        </w:rPr>
        <w:t>2016-</w:t>
      </w:r>
      <w:r w:rsidRPr="003C62BA">
        <w:rPr>
          <w:rFonts w:ascii="Times New Roman" w:hAnsi="Times New Roman" w:cs="Times New Roman"/>
          <w:b/>
          <w:sz w:val="24"/>
          <w:szCs w:val="24"/>
          <w:u w:val="single"/>
        </w:rPr>
        <w:t>201</w:t>
      </w:r>
      <w:r w:rsidR="0041552B">
        <w:rPr>
          <w:rFonts w:ascii="Times New Roman" w:hAnsi="Times New Roman" w:cs="Times New Roman"/>
          <w:b/>
          <w:sz w:val="24"/>
          <w:szCs w:val="24"/>
          <w:u w:val="single"/>
        </w:rPr>
        <w:t>7</w:t>
      </w:r>
    </w:p>
    <w:p w:rsidR="0041552B" w:rsidRPr="003C62BA" w:rsidRDefault="0041552B" w:rsidP="0041552B">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în </w:t>
      </w:r>
      <w:r w:rsidR="00FB3E32">
        <w:rPr>
          <w:rFonts w:ascii="Times New Roman" w:hAnsi="Times New Roman" w:cs="Times New Roman"/>
          <w:sz w:val="24"/>
          <w:szCs w:val="24"/>
        </w:rPr>
        <w:t xml:space="preserve">perioada </w:t>
      </w:r>
      <w:r w:rsidR="00FB3E32" w:rsidRPr="00601CAB">
        <w:rPr>
          <w:rFonts w:ascii="Times New Roman" w:hAnsi="Times New Roman" w:cs="Times New Roman"/>
          <w:b/>
          <w:sz w:val="24"/>
          <w:szCs w:val="24"/>
        </w:rPr>
        <w:t>ianuarie-aprilie 2017</w:t>
      </w:r>
      <w:r w:rsidR="00FB3E32">
        <w:rPr>
          <w:rFonts w:ascii="Times New Roman" w:hAnsi="Times New Roman" w:cs="Times New Roman"/>
          <w:sz w:val="24"/>
          <w:szCs w:val="24"/>
        </w:rPr>
        <w:t>,</w:t>
      </w:r>
      <w:r w:rsidRPr="003C62BA">
        <w:rPr>
          <w:rFonts w:ascii="Times New Roman" w:hAnsi="Times New Roman" w:cs="Times New Roman"/>
          <w:sz w:val="24"/>
          <w:szCs w:val="24"/>
        </w:rPr>
        <w:t xml:space="preserve"> a înregistrat suma de </w:t>
      </w:r>
      <w:r w:rsidR="00FB3E32">
        <w:rPr>
          <w:rFonts w:ascii="Times New Roman" w:hAnsi="Times New Roman" w:cs="Times New Roman"/>
          <w:b/>
          <w:sz w:val="24"/>
          <w:szCs w:val="24"/>
        </w:rPr>
        <w:t>157,5</w:t>
      </w:r>
      <w:r w:rsidRPr="003C62BA">
        <w:rPr>
          <w:rFonts w:ascii="Times New Roman" w:hAnsi="Times New Roman" w:cs="Times New Roman"/>
          <w:b/>
          <w:sz w:val="24"/>
          <w:szCs w:val="24"/>
        </w:rPr>
        <w:t xml:space="preserve"> mil. USD</w:t>
      </w:r>
      <w:r w:rsidRPr="003C62BA">
        <w:rPr>
          <w:rFonts w:ascii="Times New Roman" w:hAnsi="Times New Roman" w:cs="Times New Roman"/>
          <w:sz w:val="24"/>
          <w:szCs w:val="24"/>
        </w:rPr>
        <w:t xml:space="preserve"> </w:t>
      </w:r>
      <w:r w:rsidRPr="006E6A97">
        <w:rPr>
          <w:rFonts w:ascii="Times New Roman" w:hAnsi="Times New Roman" w:cs="Times New Roman"/>
          <w:sz w:val="24"/>
          <w:szCs w:val="24"/>
        </w:rPr>
        <w:t>(+1</w:t>
      </w:r>
      <w:r w:rsidR="006E6A97" w:rsidRPr="006E6A97">
        <w:rPr>
          <w:rFonts w:ascii="Times New Roman" w:hAnsi="Times New Roman" w:cs="Times New Roman"/>
          <w:sz w:val="24"/>
          <w:szCs w:val="24"/>
        </w:rPr>
        <w:t>6,5</w:t>
      </w:r>
      <w:r w:rsidRPr="006E6A97">
        <w:rPr>
          <w:rFonts w:ascii="Times New Roman" w:hAnsi="Times New Roman" w:cs="Times New Roman"/>
          <w:sz w:val="24"/>
          <w:szCs w:val="24"/>
        </w:rPr>
        <w:t>% în comparaţie cu anul 2015)</w:t>
      </w:r>
      <w:r w:rsidRPr="003C62BA">
        <w:rPr>
          <w:rFonts w:ascii="Times New Roman" w:hAnsi="Times New Roman" w:cs="Times New Roman"/>
          <w:sz w:val="24"/>
          <w:szCs w:val="24"/>
        </w:rPr>
        <w:t xml:space="preserve">. După valoarea volumului schimburilor comerciale,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sidR="00FB3E32">
        <w:rPr>
          <w:rFonts w:ascii="Times New Roman" w:hAnsi="Times New Roman" w:cs="Times New Roman"/>
          <w:b/>
          <w:sz w:val="24"/>
          <w:szCs w:val="24"/>
        </w:rPr>
        <w:t>3</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w:t>
      </w:r>
      <w:r w:rsidR="00FB3E32">
        <w:rPr>
          <w:rFonts w:ascii="Times New Roman" w:hAnsi="Times New Roman" w:cs="Times New Roman"/>
          <w:sz w:val="24"/>
          <w:szCs w:val="24"/>
        </w:rPr>
        <w:t xml:space="preserve">după România și Federația Rusă, </w:t>
      </w:r>
      <w:r w:rsidRPr="003C62BA">
        <w:rPr>
          <w:rFonts w:ascii="Times New Roman" w:hAnsi="Times New Roman" w:cs="Times New Roman"/>
          <w:sz w:val="24"/>
          <w:szCs w:val="24"/>
        </w:rPr>
        <w:t xml:space="preserve">deţinând o pondere de </w:t>
      </w:r>
      <w:r>
        <w:rPr>
          <w:rFonts w:ascii="Times New Roman" w:hAnsi="Times New Roman" w:cs="Times New Roman"/>
          <w:b/>
          <w:sz w:val="24"/>
          <w:szCs w:val="24"/>
        </w:rPr>
        <w:t>7,</w:t>
      </w:r>
      <w:r w:rsidR="00FB3E32">
        <w:rPr>
          <w:rFonts w:ascii="Times New Roman" w:hAnsi="Times New Roman" w:cs="Times New Roman"/>
          <w:b/>
          <w:sz w:val="24"/>
          <w:szCs w:val="24"/>
        </w:rPr>
        <w:t>6</w:t>
      </w:r>
      <w:r w:rsidRPr="003C62BA">
        <w:rPr>
          <w:rFonts w:ascii="Times New Roman" w:hAnsi="Times New Roman" w:cs="Times New Roman"/>
          <w:b/>
          <w:sz w:val="24"/>
          <w:szCs w:val="24"/>
        </w:rPr>
        <w:t>%</w:t>
      </w:r>
      <w:r>
        <w:rPr>
          <w:rFonts w:ascii="Times New Roman" w:hAnsi="Times New Roman" w:cs="Times New Roman"/>
          <w:sz w:val="24"/>
          <w:szCs w:val="24"/>
        </w:rPr>
        <w:t xml:space="preserve"> în co</w:t>
      </w:r>
      <w:r w:rsidR="00FB3E32">
        <w:rPr>
          <w:rFonts w:ascii="Times New Roman" w:hAnsi="Times New Roman" w:cs="Times New Roman"/>
          <w:sz w:val="24"/>
          <w:szCs w:val="24"/>
        </w:rPr>
        <w:t>merțul total al RM.</w:t>
      </w:r>
    </w:p>
    <w:p w:rsidR="006E6A97" w:rsidRPr="003C62BA" w:rsidRDefault="006E6A97" w:rsidP="006E6A97">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64,5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Germaniei</w:t>
      </w:r>
      <w:r w:rsidRPr="003C62BA">
        <w:rPr>
          <w:rFonts w:ascii="Times New Roman" w:hAnsi="Times New Roman" w:cs="Times New Roman"/>
          <w:sz w:val="24"/>
          <w:szCs w:val="24"/>
        </w:rPr>
        <w:t>.</w:t>
      </w:r>
    </w:p>
    <w:p w:rsidR="0041552B" w:rsidRDefault="006E6A97" w:rsidP="002A08C2">
      <w:pPr>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46,5</w:t>
      </w:r>
      <w:r w:rsidRPr="003C62BA">
        <w:rPr>
          <w:rFonts w:ascii="Times New Roman" w:hAnsi="Times New Roman" w:cs="Times New Roman"/>
          <w:b/>
          <w:sz w:val="24"/>
          <w:szCs w:val="24"/>
        </w:rPr>
        <w:t xml:space="preserve"> mil. USD </w:t>
      </w:r>
      <w:r w:rsidRPr="006E6A97">
        <w:rPr>
          <w:rFonts w:ascii="Times New Roman" w:hAnsi="Times New Roman" w:cs="Times New Roman"/>
          <w:sz w:val="24"/>
          <w:szCs w:val="24"/>
        </w:rPr>
        <w:t>(</w:t>
      </w:r>
      <w:r w:rsidRPr="003C62BA">
        <w:rPr>
          <w:rFonts w:ascii="Times New Roman" w:hAnsi="Times New Roman" w:cs="Times New Roman"/>
          <w:b/>
          <w:sz w:val="24"/>
          <w:szCs w:val="24"/>
        </w:rPr>
        <w:t>+</w:t>
      </w:r>
      <w:r>
        <w:rPr>
          <w:rFonts w:ascii="Times New Roman" w:hAnsi="Times New Roman" w:cs="Times New Roman"/>
          <w:sz w:val="24"/>
          <w:szCs w:val="24"/>
        </w:rPr>
        <w:t>19,4</w:t>
      </w:r>
      <w:r>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w:t>
      </w:r>
    </w:p>
    <w:p w:rsidR="006E6A97" w:rsidRPr="003C62BA" w:rsidRDefault="006E6A97" w:rsidP="002A08C2">
      <w:pPr>
        <w:rPr>
          <w:rFonts w:ascii="Times New Roman" w:hAnsi="Times New Roman" w:cs="Times New Roman"/>
          <w:b/>
          <w:sz w:val="24"/>
          <w:szCs w:val="24"/>
          <w:u w:val="single"/>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 xml:space="preserve">316,4 mil. USD </w:t>
      </w:r>
      <w:r>
        <w:rPr>
          <w:rFonts w:ascii="Times New Roman" w:hAnsi="Times New Roman" w:cs="Times New Roman"/>
          <w:sz w:val="24"/>
          <w:szCs w:val="24"/>
        </w:rPr>
        <w:t>(+15,3</w:t>
      </w:r>
      <w:r w:rsidRPr="006E6A97">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w:t>
      </w:r>
    </w:p>
    <w:p w:rsidR="0041552B" w:rsidRPr="002178B8" w:rsidRDefault="0041552B" w:rsidP="0041552B">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Evoluţia schimb</w:t>
      </w:r>
      <w:bookmarkStart w:id="0" w:name="_GoBack"/>
      <w:bookmarkEnd w:id="0"/>
      <w:r w:rsidRPr="002178B8">
        <w:rPr>
          <w:rFonts w:ascii="Times New Roman" w:eastAsia="Times New Roman" w:hAnsi="Times New Roman" w:cs="Times New Roman"/>
          <w:b/>
          <w:bCs/>
          <w:sz w:val="24"/>
          <w:szCs w:val="24"/>
        </w:rPr>
        <w:t xml:space="preserve">urilor comerciale </w:t>
      </w:r>
    </w:p>
    <w:p w:rsidR="0041552B" w:rsidRPr="002178B8" w:rsidRDefault="0041552B" w:rsidP="0041552B">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Republica Moldova şi Republica </w:t>
      </w:r>
      <w:r>
        <w:rPr>
          <w:rFonts w:ascii="Times New Roman" w:eastAsia="Times New Roman" w:hAnsi="Times New Roman" w:cs="Times New Roman"/>
          <w:b/>
          <w:bCs/>
          <w:sz w:val="24"/>
          <w:szCs w:val="24"/>
        </w:rPr>
        <w:t xml:space="preserve">Federală Germană în perioada </w:t>
      </w:r>
      <w:r>
        <w:rPr>
          <w:rFonts w:ascii="Times New Roman" w:eastAsia="Times New Roman" w:hAnsi="Times New Roman" w:cs="Times New Roman"/>
          <w:b/>
          <w:bCs/>
          <w:sz w:val="24"/>
          <w:szCs w:val="24"/>
        </w:rPr>
        <w:t>ianuarie-aprilie</w:t>
      </w:r>
      <w:r>
        <w:rPr>
          <w:rFonts w:ascii="Times New Roman" w:eastAsia="Times New Roman" w:hAnsi="Times New Roman" w:cs="Times New Roman"/>
          <w:b/>
          <w:bCs/>
          <w:sz w:val="24"/>
          <w:szCs w:val="24"/>
        </w:rPr>
        <w:t xml:space="preserve"> 201</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-201</w:t>
      </w:r>
      <w:r>
        <w:rPr>
          <w:rFonts w:ascii="Times New Roman" w:eastAsia="Times New Roman" w:hAnsi="Times New Roman" w:cs="Times New Roman"/>
          <w:b/>
          <w:bCs/>
          <w:sz w:val="24"/>
          <w:szCs w:val="24"/>
        </w:rPr>
        <w:t>7</w:t>
      </w:r>
    </w:p>
    <w:p w:rsidR="0041552B" w:rsidRPr="002178B8" w:rsidRDefault="0041552B" w:rsidP="004155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mil</w:t>
      </w:r>
      <w:r w:rsidRPr="002178B8">
        <w:rPr>
          <w:rFonts w:ascii="Times New Roman" w:eastAsia="Times New Roman" w:hAnsi="Times New Roman" w:cs="Times New Roman"/>
          <w:bCs/>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41552B" w:rsidRPr="003C62BA" w:rsidTr="00943B66">
        <w:trPr>
          <w:trHeight w:val="649"/>
          <w:jc w:val="center"/>
        </w:trPr>
        <w:tc>
          <w:tcPr>
            <w:tcW w:w="1275" w:type="dxa"/>
            <w:tcBorders>
              <w:top w:val="single" w:sz="6" w:space="0" w:color="auto"/>
            </w:tcBorders>
            <w:vAlign w:val="center"/>
          </w:tcPr>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41552B" w:rsidRDefault="0041552B" w:rsidP="00943B6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Ianuarie-aprilie </w:t>
            </w:r>
          </w:p>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r>
              <w:rPr>
                <w:rFonts w:ascii="Times New Roman" w:hAnsi="Times New Roman" w:cs="Times New Roman"/>
                <w:b/>
                <w:i/>
                <w:sz w:val="24"/>
                <w:szCs w:val="24"/>
              </w:rPr>
              <w:t>2016</w:t>
            </w:r>
          </w:p>
        </w:tc>
        <w:tc>
          <w:tcPr>
            <w:tcW w:w="2381" w:type="dxa"/>
            <w:tcBorders>
              <w:top w:val="single" w:sz="6" w:space="0" w:color="auto"/>
            </w:tcBorders>
            <w:shd w:val="clear" w:color="auto" w:fill="D9D9D9"/>
            <w:vAlign w:val="center"/>
          </w:tcPr>
          <w:p w:rsidR="0041552B" w:rsidRDefault="0041552B" w:rsidP="00943B6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Ianuarie-aprilie</w:t>
            </w:r>
          </w:p>
          <w:p w:rsidR="0041552B" w:rsidRPr="003C62BA" w:rsidRDefault="0041552B" w:rsidP="00943B66">
            <w:pPr>
              <w:spacing w:after="0" w:line="240" w:lineRule="auto"/>
              <w:jc w:val="center"/>
              <w:rPr>
                <w:rFonts w:ascii="Times New Roman" w:hAnsi="Times New Roman" w:cs="Times New Roman"/>
                <w:b/>
                <w:i/>
                <w:color w:val="000000"/>
                <w:sz w:val="24"/>
                <w:szCs w:val="24"/>
                <w:lang w:eastAsia="ru-RU"/>
              </w:rPr>
            </w:pPr>
            <w:r>
              <w:rPr>
                <w:rFonts w:ascii="Times New Roman" w:hAnsi="Times New Roman" w:cs="Times New Roman"/>
                <w:b/>
                <w:i/>
                <w:sz w:val="24"/>
                <w:szCs w:val="24"/>
              </w:rPr>
              <w:t xml:space="preserve"> 2017</w:t>
            </w:r>
          </w:p>
        </w:tc>
        <w:tc>
          <w:tcPr>
            <w:tcW w:w="2010" w:type="dxa"/>
            <w:tcBorders>
              <w:top w:val="single" w:sz="6" w:space="0" w:color="auto"/>
            </w:tcBorders>
            <w:vAlign w:val="center"/>
          </w:tcPr>
          <w:p w:rsidR="0041552B" w:rsidRPr="003C62BA" w:rsidRDefault="0041552B" w:rsidP="0041552B">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Dinamica 201</w:t>
            </w:r>
            <w:r>
              <w:rPr>
                <w:rFonts w:ascii="Times New Roman" w:hAnsi="Times New Roman" w:cs="Times New Roman"/>
                <w:b/>
                <w:i/>
                <w:color w:val="000000"/>
                <w:sz w:val="24"/>
                <w:szCs w:val="24"/>
                <w:lang w:eastAsia="ru-RU"/>
              </w:rPr>
              <w:t>7</w:t>
            </w:r>
            <w:r w:rsidRPr="003C62BA">
              <w:rPr>
                <w:rFonts w:ascii="Times New Roman" w:hAnsi="Times New Roman" w:cs="Times New Roman"/>
                <w:b/>
                <w:i/>
                <w:color w:val="000000"/>
                <w:sz w:val="24"/>
                <w:szCs w:val="24"/>
                <w:lang w:eastAsia="ru-RU"/>
              </w:rPr>
              <w:t>/201</w:t>
            </w:r>
            <w:r>
              <w:rPr>
                <w:rFonts w:ascii="Times New Roman" w:hAnsi="Times New Roman" w:cs="Times New Roman"/>
                <w:b/>
                <w:i/>
                <w:color w:val="000000"/>
                <w:sz w:val="24"/>
                <w:szCs w:val="24"/>
                <w:lang w:eastAsia="ru-RU"/>
              </w:rPr>
              <w:t>6</w:t>
            </w:r>
            <w:r w:rsidRPr="003C62BA">
              <w:rPr>
                <w:rFonts w:ascii="Times New Roman" w:hAnsi="Times New Roman" w:cs="Times New Roman"/>
                <w:b/>
                <w:i/>
                <w:color w:val="000000"/>
                <w:sz w:val="24"/>
                <w:szCs w:val="24"/>
                <w:lang w:eastAsia="ru-RU"/>
              </w:rPr>
              <w:t>, %</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6E6A97" w:rsidRPr="006E6A97" w:rsidRDefault="006E6A97" w:rsidP="006E6A97">
            <w:pPr>
              <w:jc w:val="center"/>
              <w:rPr>
                <w:rFonts w:ascii="Times New Roman" w:hAnsi="Times New Roman" w:cs="Times New Roman"/>
                <w:b/>
                <w:sz w:val="24"/>
                <w:szCs w:val="24"/>
              </w:rPr>
            </w:pPr>
            <w:r w:rsidRPr="006E6A97">
              <w:rPr>
                <w:rFonts w:ascii="Times New Roman" w:hAnsi="Times New Roman" w:cs="Times New Roman"/>
                <w:b/>
                <w:sz w:val="24"/>
                <w:szCs w:val="24"/>
              </w:rPr>
              <w:t>135,252</w:t>
            </w:r>
          </w:p>
          <w:p w:rsidR="0041552B" w:rsidRPr="006E6A97" w:rsidRDefault="0041552B" w:rsidP="0041552B">
            <w:pPr>
              <w:jc w:val="center"/>
              <w:rPr>
                <w:rFonts w:ascii="Times New Roman" w:hAnsi="Times New Roman" w:cs="Times New Roman"/>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1552B" w:rsidRPr="0041552B" w:rsidRDefault="0041552B" w:rsidP="0041552B">
            <w:pPr>
              <w:jc w:val="center"/>
              <w:rPr>
                <w:rFonts w:ascii="Times New Roman" w:hAnsi="Times New Roman" w:cs="Times New Roman"/>
                <w:b/>
                <w:sz w:val="24"/>
                <w:szCs w:val="24"/>
              </w:rPr>
            </w:pPr>
            <w:r w:rsidRPr="0041552B">
              <w:rPr>
                <w:rFonts w:ascii="Times New Roman" w:hAnsi="Times New Roman" w:cs="Times New Roman"/>
                <w:b/>
                <w:sz w:val="24"/>
                <w:szCs w:val="24"/>
              </w:rPr>
              <w:t>157,547</w:t>
            </w:r>
          </w:p>
          <w:p w:rsidR="0041552B" w:rsidRPr="0041552B" w:rsidRDefault="0041552B" w:rsidP="0041552B">
            <w:pPr>
              <w:jc w:val="center"/>
              <w:rPr>
                <w:rFonts w:ascii="Times New Roman" w:hAnsi="Times New Roman" w:cs="Times New Roman"/>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41552B" w:rsidRPr="0041552B" w:rsidRDefault="006E6A97" w:rsidP="00943B6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+16,5</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6E6A97" w:rsidRPr="006E6A97" w:rsidRDefault="006E6A97" w:rsidP="006E6A97">
            <w:pPr>
              <w:jc w:val="center"/>
              <w:rPr>
                <w:rFonts w:ascii="Times New Roman" w:hAnsi="Times New Roman" w:cs="Times New Roman"/>
                <w:sz w:val="24"/>
                <w:szCs w:val="24"/>
              </w:rPr>
            </w:pPr>
            <w:r w:rsidRPr="006E6A97">
              <w:rPr>
                <w:rFonts w:ascii="Times New Roman" w:hAnsi="Times New Roman" w:cs="Times New Roman"/>
                <w:sz w:val="24"/>
                <w:szCs w:val="24"/>
              </w:rPr>
              <w:t>38,965</w:t>
            </w:r>
          </w:p>
          <w:p w:rsidR="0041552B" w:rsidRPr="006E6A97"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41552B" w:rsidRPr="0041552B" w:rsidRDefault="0041552B" w:rsidP="0041552B">
            <w:pPr>
              <w:jc w:val="center"/>
              <w:rPr>
                <w:rFonts w:ascii="Times New Roman" w:hAnsi="Times New Roman" w:cs="Times New Roman"/>
                <w:sz w:val="24"/>
                <w:szCs w:val="24"/>
              </w:rPr>
            </w:pPr>
            <w:r w:rsidRPr="0041552B">
              <w:rPr>
                <w:rFonts w:ascii="Times New Roman" w:hAnsi="Times New Roman" w:cs="Times New Roman"/>
                <w:sz w:val="24"/>
                <w:szCs w:val="24"/>
              </w:rPr>
              <w:t>46,518</w:t>
            </w:r>
          </w:p>
          <w:p w:rsidR="0041552B" w:rsidRPr="0041552B" w:rsidRDefault="0041552B" w:rsidP="0041552B">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6E6A97"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+19,4</w:t>
            </w:r>
          </w:p>
        </w:tc>
      </w:tr>
      <w:tr w:rsidR="0041552B" w:rsidRPr="003C62BA" w:rsidTr="00943B66">
        <w:trPr>
          <w:trHeight w:hRule="exact" w:val="340"/>
          <w:jc w:val="center"/>
        </w:trPr>
        <w:tc>
          <w:tcPr>
            <w:tcW w:w="1275" w:type="dxa"/>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6E6A97" w:rsidRPr="006E6A97" w:rsidRDefault="006E6A97" w:rsidP="006E6A97">
            <w:pPr>
              <w:jc w:val="center"/>
              <w:rPr>
                <w:rFonts w:ascii="Times New Roman" w:hAnsi="Times New Roman" w:cs="Times New Roman"/>
                <w:sz w:val="24"/>
                <w:szCs w:val="24"/>
              </w:rPr>
            </w:pPr>
            <w:r w:rsidRPr="006E6A97">
              <w:rPr>
                <w:rFonts w:ascii="Times New Roman" w:hAnsi="Times New Roman" w:cs="Times New Roman"/>
                <w:sz w:val="24"/>
                <w:szCs w:val="24"/>
              </w:rPr>
              <w:t>96,287</w:t>
            </w:r>
          </w:p>
          <w:p w:rsidR="0041552B" w:rsidRPr="006E6A97"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41552B" w:rsidRPr="0041552B" w:rsidRDefault="0041552B" w:rsidP="0041552B">
            <w:pPr>
              <w:jc w:val="center"/>
              <w:rPr>
                <w:rFonts w:ascii="Times New Roman" w:hAnsi="Times New Roman" w:cs="Times New Roman"/>
                <w:sz w:val="24"/>
                <w:szCs w:val="24"/>
              </w:rPr>
            </w:pPr>
            <w:r w:rsidRPr="0041552B">
              <w:rPr>
                <w:rFonts w:ascii="Times New Roman" w:hAnsi="Times New Roman" w:cs="Times New Roman"/>
                <w:sz w:val="24"/>
                <w:szCs w:val="24"/>
              </w:rPr>
              <w:t>111,028</w:t>
            </w:r>
          </w:p>
          <w:p w:rsidR="0041552B" w:rsidRPr="0041552B" w:rsidRDefault="0041552B" w:rsidP="0041552B">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6E6A97"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41552B" w:rsidRPr="003C62BA" w:rsidTr="00943B66">
        <w:trPr>
          <w:trHeight w:hRule="exact" w:val="340"/>
          <w:jc w:val="center"/>
        </w:trPr>
        <w:tc>
          <w:tcPr>
            <w:tcW w:w="1275" w:type="dxa"/>
            <w:tcBorders>
              <w:bottom w:val="single" w:sz="6" w:space="0" w:color="auto"/>
            </w:tcBorders>
          </w:tcPr>
          <w:p w:rsidR="0041552B" w:rsidRPr="003C62BA" w:rsidRDefault="0041552B"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6E6A97" w:rsidRPr="006E6A97" w:rsidRDefault="006E6A97" w:rsidP="006E6A97">
            <w:pPr>
              <w:jc w:val="center"/>
              <w:rPr>
                <w:rFonts w:ascii="Times New Roman" w:hAnsi="Times New Roman" w:cs="Times New Roman"/>
                <w:sz w:val="24"/>
                <w:szCs w:val="24"/>
              </w:rPr>
            </w:pPr>
            <w:r w:rsidRPr="006E6A97">
              <w:rPr>
                <w:rFonts w:ascii="Times New Roman" w:hAnsi="Times New Roman" w:cs="Times New Roman"/>
                <w:sz w:val="24"/>
                <w:szCs w:val="24"/>
              </w:rPr>
              <w:t>-57,322</w:t>
            </w:r>
          </w:p>
          <w:p w:rsidR="0041552B" w:rsidRPr="006E6A97" w:rsidRDefault="0041552B" w:rsidP="0041552B">
            <w:pPr>
              <w:jc w:val="center"/>
              <w:rPr>
                <w:rFonts w:ascii="Times New Roman" w:hAnsi="Times New Roman" w:cs="Times New Roman"/>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41552B" w:rsidRPr="0041552B" w:rsidRDefault="0041552B" w:rsidP="0041552B">
            <w:pPr>
              <w:jc w:val="center"/>
              <w:rPr>
                <w:rFonts w:ascii="Times New Roman" w:hAnsi="Times New Roman" w:cs="Times New Roman"/>
                <w:sz w:val="24"/>
                <w:szCs w:val="24"/>
              </w:rPr>
            </w:pPr>
            <w:r w:rsidRPr="0041552B">
              <w:rPr>
                <w:rFonts w:ascii="Times New Roman" w:hAnsi="Times New Roman" w:cs="Times New Roman"/>
                <w:sz w:val="24"/>
                <w:szCs w:val="24"/>
              </w:rPr>
              <w:t>-64,509</w:t>
            </w:r>
          </w:p>
          <w:p w:rsidR="0041552B" w:rsidRPr="0041552B" w:rsidRDefault="0041552B" w:rsidP="0041552B">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41552B" w:rsidRPr="0041552B" w:rsidRDefault="0041552B" w:rsidP="00943B66">
            <w:pPr>
              <w:jc w:val="center"/>
              <w:rPr>
                <w:rFonts w:ascii="Times New Roman" w:hAnsi="Times New Roman" w:cs="Times New Roman"/>
                <w:color w:val="000000"/>
                <w:sz w:val="24"/>
                <w:szCs w:val="24"/>
              </w:rPr>
            </w:pPr>
          </w:p>
        </w:tc>
      </w:tr>
    </w:tbl>
    <w:p w:rsidR="002A08C2" w:rsidRPr="002A08C2" w:rsidRDefault="002A08C2" w:rsidP="0041552B">
      <w:pPr>
        <w:rPr>
          <w:rFonts w:ascii="Times New Roman" w:hAnsi="Times New Roman" w:cs="Times New Roman"/>
          <w:sz w:val="24"/>
          <w:szCs w:val="24"/>
        </w:rPr>
      </w:pPr>
    </w:p>
    <w:p w:rsidR="002A08C2" w:rsidRPr="003C62BA" w:rsidRDefault="002A08C2" w:rsidP="002A08C2">
      <w:pPr>
        <w:rPr>
          <w:rFonts w:ascii="Times New Roman" w:hAnsi="Times New Roman" w:cs="Times New Roman"/>
          <w:b/>
          <w:sz w:val="24"/>
          <w:szCs w:val="24"/>
          <w:u w:val="single"/>
        </w:rPr>
      </w:pPr>
      <w:r w:rsidRPr="003C62BA">
        <w:rPr>
          <w:rFonts w:ascii="Times New Roman" w:hAnsi="Times New Roman" w:cs="Times New Roman"/>
          <w:b/>
          <w:sz w:val="24"/>
          <w:szCs w:val="24"/>
          <w:u w:val="single"/>
        </w:rPr>
        <w:t>Comerțul bilateral în anul 2016</w:t>
      </w:r>
    </w:p>
    <w:p w:rsidR="002A08C2" w:rsidRPr="003C62BA"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443,06</w:t>
      </w:r>
      <w:r w:rsidRPr="003C62BA">
        <w:rPr>
          <w:rFonts w:ascii="Times New Roman" w:hAnsi="Times New Roman" w:cs="Times New Roman"/>
          <w:b/>
          <w:sz w:val="24"/>
          <w:szCs w:val="24"/>
        </w:rPr>
        <w:t xml:space="preserve"> mil. USD</w:t>
      </w:r>
      <w:r w:rsidRPr="003C62BA">
        <w:rPr>
          <w:rFonts w:ascii="Times New Roman" w:hAnsi="Times New Roman" w:cs="Times New Roman"/>
          <w:sz w:val="24"/>
          <w:szCs w:val="24"/>
        </w:rPr>
        <w:t xml:space="preserve"> (+</w:t>
      </w:r>
      <w:r>
        <w:rPr>
          <w:rFonts w:ascii="Times New Roman" w:hAnsi="Times New Roman" w:cs="Times New Roman"/>
          <w:sz w:val="24"/>
          <w:szCs w:val="24"/>
        </w:rPr>
        <w:t>1,038</w:t>
      </w:r>
      <w:r w:rsidRPr="003C62BA">
        <w:rPr>
          <w:rFonts w:ascii="Times New Roman" w:hAnsi="Times New Roman" w:cs="Times New Roman"/>
          <w:sz w:val="24"/>
          <w:szCs w:val="24"/>
        </w:rPr>
        <w:t xml:space="preserve">% în comparaţie cu anul 2015). După valoarea volumului schimburilor comerciale, </w:t>
      </w:r>
      <w:r>
        <w:rPr>
          <w:rFonts w:ascii="Times New Roman" w:hAnsi="Times New Roman" w:cs="Times New Roman"/>
          <w:sz w:val="24"/>
          <w:szCs w:val="24"/>
        </w:rPr>
        <w:t>Republica Federală Germană</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4</w:t>
      </w:r>
      <w:r w:rsidRPr="003C62BA">
        <w:rPr>
          <w:rFonts w:ascii="Times New Roman" w:hAnsi="Times New Roman" w:cs="Times New Roman"/>
          <w:sz w:val="24"/>
          <w:szCs w:val="24"/>
        </w:rPr>
        <w:t xml:space="preserve"> între țările partenere </w:t>
      </w:r>
      <w:r>
        <w:rPr>
          <w:rFonts w:ascii="Times New Roman" w:hAnsi="Times New Roman" w:cs="Times New Roman"/>
          <w:sz w:val="24"/>
          <w:szCs w:val="24"/>
        </w:rPr>
        <w:t>la nivel mondial</w:t>
      </w:r>
      <w:r w:rsidRPr="003C62BA">
        <w:rPr>
          <w:rFonts w:ascii="Times New Roman" w:hAnsi="Times New Roman" w:cs="Times New Roman"/>
          <w:sz w:val="24"/>
          <w:szCs w:val="24"/>
        </w:rPr>
        <w:t xml:space="preserve"> cu care Republica Moldova întreţine relaţii comerciale, deţinând o pondere de </w:t>
      </w:r>
      <w:r>
        <w:rPr>
          <w:rFonts w:ascii="Times New Roman" w:hAnsi="Times New Roman" w:cs="Times New Roman"/>
          <w:b/>
          <w:sz w:val="24"/>
          <w:szCs w:val="24"/>
        </w:rPr>
        <w:t>7,3</w:t>
      </w:r>
      <w:r w:rsidRPr="003C62BA">
        <w:rPr>
          <w:rFonts w:ascii="Times New Roman" w:hAnsi="Times New Roman" w:cs="Times New Roman"/>
          <w:b/>
          <w:sz w:val="24"/>
          <w:szCs w:val="24"/>
        </w:rPr>
        <w:t>%</w:t>
      </w:r>
      <w:r>
        <w:rPr>
          <w:rFonts w:ascii="Times New Roman" w:hAnsi="Times New Roman" w:cs="Times New Roman"/>
          <w:sz w:val="24"/>
          <w:szCs w:val="24"/>
        </w:rPr>
        <w:t xml:space="preserve"> în comerțul total al RM, iar printre partenerii comerciali din cadrul UE, Germania se situează pe locul 3 după România și Italia.</w:t>
      </w:r>
    </w:p>
    <w:p w:rsidR="002A08C2" w:rsidRPr="003C62BA"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189,8</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Germaniei</w:t>
      </w:r>
      <w:r w:rsidRPr="003C62BA">
        <w:rPr>
          <w:rFonts w:ascii="Times New Roman" w:hAnsi="Times New Roman" w:cs="Times New Roman"/>
          <w:sz w:val="24"/>
          <w:szCs w:val="24"/>
        </w:rPr>
        <w:t>.</w:t>
      </w:r>
    </w:p>
    <w:p w:rsidR="002A08C2" w:rsidRPr="0072092E"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126,6</w:t>
      </w:r>
      <w:r w:rsidRPr="003C62BA">
        <w:rPr>
          <w:rFonts w:ascii="Times New Roman" w:hAnsi="Times New Roman" w:cs="Times New Roman"/>
          <w:b/>
          <w:sz w:val="24"/>
          <w:szCs w:val="24"/>
        </w:rPr>
        <w:t xml:space="preserve"> mil. USD (+</w:t>
      </w:r>
      <w:r>
        <w:rPr>
          <w:rFonts w:ascii="Times New Roman" w:hAnsi="Times New Roman" w:cs="Times New Roman"/>
          <w:sz w:val="24"/>
          <w:szCs w:val="24"/>
        </w:rPr>
        <w:t>8,03%</w:t>
      </w:r>
      <w:r w:rsidRPr="003C62BA">
        <w:rPr>
          <w:rFonts w:ascii="Times New Roman" w:hAnsi="Times New Roman" w:cs="Times New Roman"/>
          <w:sz w:val="24"/>
          <w:szCs w:val="24"/>
        </w:rPr>
        <w:t xml:space="preserve"> în comparație cu anul 2015). </w:t>
      </w:r>
      <w:r w:rsidRPr="0072092E">
        <w:rPr>
          <w:rFonts w:ascii="Times New Roman" w:hAnsi="Times New Roman" w:cs="Times New Roman"/>
          <w:b/>
          <w:sz w:val="24"/>
          <w:szCs w:val="24"/>
        </w:rPr>
        <w:t xml:space="preserve">Principale mărfuri exportate: </w:t>
      </w:r>
      <w:r w:rsidRPr="0072092E">
        <w:rPr>
          <w:rFonts w:ascii="Times New Roman" w:hAnsi="Times New Roman" w:cs="Times New Roman"/>
          <w:sz w:val="24"/>
          <w:szCs w:val="24"/>
        </w:rPr>
        <w:t>scaune; alte fructe cu coajă, proaspete sau uscate, chiar decojite sau fără pieliță; costume sau compleuri, ansambluri, jachete, sacouri, pantaloni, salopete cu bretele, pantaloni scurți și șorțuri; pentru bărbați sau băieți; autoturisme și alte autovehicule, proiectate în principal pentru transportul persoanelor; deșeuri și resturi de cupru; sucuri de fructe (inclusiv mustul de struguri) și sucuri de legume, nefermentate, fără adaos de alcool, cu sau fără adaos de zahăr sau de alți îndulcitori,etc.</w:t>
      </w:r>
    </w:p>
    <w:p w:rsidR="002A08C2" w:rsidRPr="0072092E" w:rsidRDefault="002A08C2" w:rsidP="002A08C2">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316,4 mil. USD (-1,5</w:t>
      </w:r>
      <w:r w:rsidRPr="003C62BA">
        <w:rPr>
          <w:rFonts w:ascii="Times New Roman" w:hAnsi="Times New Roman" w:cs="Times New Roman"/>
          <w:sz w:val="24"/>
          <w:szCs w:val="24"/>
        </w:rPr>
        <w:t xml:space="preserve">% în comparație cu anul 2015). </w:t>
      </w:r>
      <w:r w:rsidRPr="0072092E">
        <w:rPr>
          <w:rFonts w:ascii="Times New Roman" w:hAnsi="Times New Roman" w:cs="Times New Roman"/>
          <w:b/>
          <w:sz w:val="24"/>
          <w:szCs w:val="24"/>
        </w:rPr>
        <w:t>Principale mărfuri importate</w:t>
      </w:r>
      <w:r w:rsidRPr="0072092E">
        <w:rPr>
          <w:rFonts w:ascii="Times New Roman" w:hAnsi="Times New Roman" w:cs="Times New Roman"/>
          <w:sz w:val="24"/>
          <w:szCs w:val="24"/>
        </w:rPr>
        <w:t>:</w:t>
      </w:r>
      <w:r w:rsidRPr="0010678E">
        <w:rPr>
          <w:rFonts w:ascii="Times New Roman" w:hAnsi="Times New Roman" w:cs="Times New Roman"/>
          <w:color w:val="FF0000"/>
          <w:sz w:val="24"/>
          <w:szCs w:val="24"/>
        </w:rPr>
        <w:t xml:space="preserve"> </w:t>
      </w:r>
      <w:r w:rsidRPr="0072092E">
        <w:rPr>
          <w:rFonts w:ascii="Times New Roman" w:hAnsi="Times New Roman" w:cs="Times New Roman"/>
          <w:sz w:val="24"/>
          <w:szCs w:val="24"/>
        </w:rPr>
        <w:t xml:space="preserve">fire, cabluri (inclusiv cabluri coaxiale) și alte conductoare electrice izolate, cu sau fără conectori; cabluri din fibre optice, constituite din fibre izolate individual, chiar echipate cu conductoare electrice sau prevăzute cu conectori; autoturisme și alte autovehicule, proiectate în </w:t>
      </w:r>
      <w:r w:rsidRPr="0072092E">
        <w:rPr>
          <w:rFonts w:ascii="Times New Roman" w:hAnsi="Times New Roman" w:cs="Times New Roman"/>
          <w:sz w:val="24"/>
          <w:szCs w:val="24"/>
        </w:rPr>
        <w:lastRenderedPageBreak/>
        <w:t xml:space="preserve">principal pentru transportul persoanelor; medicamente constituite din produse amestecate sau neamestecate, preparate în scopuri terapeutice sau profilactice, prezentate sub formă de doze sau condiționate pentru </w:t>
      </w:r>
      <w:proofErr w:type="spellStart"/>
      <w:r w:rsidRPr="0072092E">
        <w:rPr>
          <w:rFonts w:ascii="Times New Roman" w:hAnsi="Times New Roman" w:cs="Times New Roman"/>
          <w:sz w:val="24"/>
          <w:szCs w:val="24"/>
        </w:rPr>
        <w:t>vînzarea</w:t>
      </w:r>
      <w:proofErr w:type="spellEnd"/>
      <w:r w:rsidRPr="0072092E">
        <w:rPr>
          <w:rFonts w:ascii="Times New Roman" w:hAnsi="Times New Roman" w:cs="Times New Roman"/>
          <w:sz w:val="24"/>
          <w:szCs w:val="24"/>
        </w:rPr>
        <w:t xml:space="preserve"> cu amănuntul; insecticide, rodenticide, fungicide, erbicide, inhibitori de germinare și regulatori de creștere pentru plante, dezinfectanți și produse similare, prezentate în forme sau ambalaje pentru </w:t>
      </w:r>
      <w:proofErr w:type="spellStart"/>
      <w:r w:rsidRPr="0072092E">
        <w:rPr>
          <w:rFonts w:ascii="Times New Roman" w:hAnsi="Times New Roman" w:cs="Times New Roman"/>
          <w:sz w:val="24"/>
          <w:szCs w:val="24"/>
        </w:rPr>
        <w:t>vînzarea</w:t>
      </w:r>
      <w:proofErr w:type="spellEnd"/>
      <w:r w:rsidRPr="0072092E">
        <w:rPr>
          <w:rFonts w:ascii="Times New Roman" w:hAnsi="Times New Roman" w:cs="Times New Roman"/>
          <w:sz w:val="24"/>
          <w:szCs w:val="24"/>
        </w:rPr>
        <w:t xml:space="preserve"> cu amănuntul sau ca preparate sau ca articole</w:t>
      </w:r>
      <w:r>
        <w:rPr>
          <w:rFonts w:ascii="Times New Roman" w:hAnsi="Times New Roman" w:cs="Times New Roman"/>
          <w:sz w:val="24"/>
          <w:szCs w:val="24"/>
        </w:rPr>
        <w:t>; etc.</w:t>
      </w:r>
    </w:p>
    <w:p w:rsidR="002A08C2" w:rsidRPr="002178B8" w:rsidRDefault="002A08C2" w:rsidP="002A08C2">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Evoluţia schimburilor comerciale </w:t>
      </w:r>
    </w:p>
    <w:p w:rsidR="002A08C2" w:rsidRPr="002178B8" w:rsidRDefault="002A08C2" w:rsidP="002A08C2">
      <w:pPr>
        <w:spacing w:after="0" w:line="240" w:lineRule="auto"/>
        <w:jc w:val="center"/>
        <w:rPr>
          <w:rFonts w:ascii="Times New Roman" w:eastAsia="Times New Roman" w:hAnsi="Times New Roman" w:cs="Times New Roman"/>
          <w:b/>
          <w:bCs/>
          <w:sz w:val="24"/>
          <w:szCs w:val="24"/>
        </w:rPr>
      </w:pPr>
      <w:r w:rsidRPr="002178B8">
        <w:rPr>
          <w:rFonts w:ascii="Times New Roman" w:eastAsia="Times New Roman" w:hAnsi="Times New Roman" w:cs="Times New Roman"/>
          <w:b/>
          <w:bCs/>
          <w:sz w:val="24"/>
          <w:szCs w:val="24"/>
        </w:rPr>
        <w:t xml:space="preserve">Republica Moldova şi Republica </w:t>
      </w:r>
      <w:r>
        <w:rPr>
          <w:rFonts w:ascii="Times New Roman" w:eastAsia="Times New Roman" w:hAnsi="Times New Roman" w:cs="Times New Roman"/>
          <w:b/>
          <w:bCs/>
          <w:sz w:val="24"/>
          <w:szCs w:val="24"/>
        </w:rPr>
        <w:t>Federală Germană în perioada anilor 2015-2016</w:t>
      </w:r>
    </w:p>
    <w:p w:rsidR="002A08C2" w:rsidRPr="002178B8" w:rsidRDefault="002A08C2" w:rsidP="002A08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mil</w:t>
      </w:r>
      <w:r w:rsidRPr="002178B8">
        <w:rPr>
          <w:rFonts w:ascii="Times New Roman" w:eastAsia="Times New Roman" w:hAnsi="Times New Roman" w:cs="Times New Roman"/>
          <w:bCs/>
          <w:sz w:val="24"/>
          <w:szCs w:val="24"/>
        </w:rPr>
        <w:t xml:space="preserve">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2A08C2" w:rsidRPr="003C62BA" w:rsidTr="00943B66">
        <w:trPr>
          <w:trHeight w:val="649"/>
          <w:jc w:val="center"/>
        </w:trPr>
        <w:tc>
          <w:tcPr>
            <w:tcW w:w="1275"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2015</w:t>
            </w:r>
          </w:p>
        </w:tc>
        <w:tc>
          <w:tcPr>
            <w:tcW w:w="2381" w:type="dxa"/>
            <w:tcBorders>
              <w:top w:val="single" w:sz="6" w:space="0" w:color="auto"/>
            </w:tcBorders>
            <w:shd w:val="clear" w:color="auto" w:fill="D9D9D9"/>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2016</w:t>
            </w:r>
          </w:p>
        </w:tc>
        <w:tc>
          <w:tcPr>
            <w:tcW w:w="2010" w:type="dxa"/>
            <w:tcBorders>
              <w:top w:val="single" w:sz="6" w:space="0" w:color="auto"/>
            </w:tcBorders>
            <w:vAlign w:val="center"/>
          </w:tcPr>
          <w:p w:rsidR="002A08C2" w:rsidRPr="003C62BA" w:rsidRDefault="002A08C2" w:rsidP="00943B66">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Dinamica 2016/2015, %</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2A08C2" w:rsidRPr="00AA0A70" w:rsidRDefault="002A08C2" w:rsidP="00943B66">
            <w:pPr>
              <w:jc w:val="center"/>
              <w:rPr>
                <w:rFonts w:ascii="Times New Roman" w:hAnsi="Times New Roman" w:cs="Times New Roman"/>
                <w:b/>
                <w:sz w:val="24"/>
                <w:szCs w:val="24"/>
              </w:rPr>
            </w:pPr>
            <w:r w:rsidRPr="00AA0A70">
              <w:rPr>
                <w:rFonts w:ascii="Times New Roman" w:hAnsi="Times New Roman" w:cs="Times New Roman"/>
                <w:b/>
                <w:sz w:val="24"/>
                <w:szCs w:val="24"/>
              </w:rPr>
              <w:t>438,509</w:t>
            </w:r>
          </w:p>
          <w:p w:rsidR="002A08C2" w:rsidRPr="00AA0A70" w:rsidRDefault="002A08C2" w:rsidP="00943B66">
            <w:pPr>
              <w:jc w:val="center"/>
              <w:rPr>
                <w:rFonts w:ascii="Times New Roman" w:hAnsi="Times New Roman" w:cs="Times New Roman"/>
                <w:b/>
                <w:color w:val="000000"/>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2A08C2" w:rsidRPr="00AA0A70" w:rsidRDefault="002A08C2" w:rsidP="00943B66">
            <w:pPr>
              <w:jc w:val="center"/>
              <w:rPr>
                <w:rFonts w:ascii="Times New Roman" w:hAnsi="Times New Roman" w:cs="Times New Roman"/>
                <w:b/>
                <w:sz w:val="24"/>
                <w:szCs w:val="24"/>
              </w:rPr>
            </w:pPr>
            <w:r w:rsidRPr="00AA0A70">
              <w:rPr>
                <w:rFonts w:ascii="Times New Roman" w:hAnsi="Times New Roman" w:cs="Times New Roman"/>
                <w:b/>
                <w:sz w:val="24"/>
                <w:szCs w:val="24"/>
              </w:rPr>
              <w:t>443,064</w:t>
            </w:r>
          </w:p>
          <w:p w:rsidR="002A08C2" w:rsidRPr="00AA0A70" w:rsidRDefault="002A08C2" w:rsidP="00943B66">
            <w:pPr>
              <w:jc w:val="center"/>
              <w:rPr>
                <w:rFonts w:ascii="Times New Roman" w:hAnsi="Times New Roman" w:cs="Times New Roman"/>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2A08C2" w:rsidRPr="00AA0A70" w:rsidRDefault="002A08C2" w:rsidP="00943B6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+1,038</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117,212</w:t>
            </w:r>
          </w:p>
          <w:p w:rsidR="002A08C2" w:rsidRPr="00AA0A70" w:rsidRDefault="002A08C2" w:rsidP="00943B66">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126,623</w:t>
            </w:r>
          </w:p>
          <w:p w:rsidR="002A08C2" w:rsidRPr="00AA0A70" w:rsidRDefault="002A08C2" w:rsidP="00943B66">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2A08C2" w:rsidRPr="003C62BA" w:rsidRDefault="002A08C2"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+8,029</w:t>
            </w:r>
          </w:p>
        </w:tc>
      </w:tr>
      <w:tr w:rsidR="002A08C2" w:rsidRPr="003C62BA" w:rsidTr="00943B66">
        <w:trPr>
          <w:trHeight w:hRule="exact" w:val="340"/>
          <w:jc w:val="center"/>
        </w:trPr>
        <w:tc>
          <w:tcPr>
            <w:tcW w:w="1275" w:type="dxa"/>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321,297</w:t>
            </w:r>
          </w:p>
          <w:p w:rsidR="002A08C2" w:rsidRPr="00AA0A70" w:rsidRDefault="002A08C2" w:rsidP="00943B66">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316,440</w:t>
            </w:r>
          </w:p>
          <w:p w:rsidR="002A08C2" w:rsidRPr="00AA0A70" w:rsidRDefault="002A08C2" w:rsidP="00943B66">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2A08C2" w:rsidRPr="003C62BA" w:rsidRDefault="002A08C2" w:rsidP="00943B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-1,512</w:t>
            </w:r>
          </w:p>
        </w:tc>
      </w:tr>
      <w:tr w:rsidR="002A08C2" w:rsidRPr="003C62BA" w:rsidTr="00943B66">
        <w:trPr>
          <w:trHeight w:hRule="exact" w:val="340"/>
          <w:jc w:val="center"/>
        </w:trPr>
        <w:tc>
          <w:tcPr>
            <w:tcW w:w="1275" w:type="dxa"/>
            <w:tcBorders>
              <w:bottom w:val="single" w:sz="6" w:space="0" w:color="auto"/>
            </w:tcBorders>
          </w:tcPr>
          <w:p w:rsidR="002A08C2" w:rsidRPr="003C62BA" w:rsidRDefault="002A08C2" w:rsidP="00943B66">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-204,084</w:t>
            </w:r>
          </w:p>
          <w:p w:rsidR="002A08C2" w:rsidRPr="00AA0A70" w:rsidRDefault="002A08C2" w:rsidP="00943B66">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2A08C2" w:rsidRPr="00AA0A70" w:rsidRDefault="002A08C2" w:rsidP="00943B66">
            <w:pPr>
              <w:jc w:val="center"/>
              <w:rPr>
                <w:rFonts w:ascii="Times New Roman" w:hAnsi="Times New Roman" w:cs="Times New Roman"/>
                <w:sz w:val="24"/>
                <w:szCs w:val="24"/>
              </w:rPr>
            </w:pPr>
            <w:r w:rsidRPr="00AA0A70">
              <w:rPr>
                <w:rFonts w:ascii="Times New Roman" w:hAnsi="Times New Roman" w:cs="Times New Roman"/>
                <w:sz w:val="24"/>
                <w:szCs w:val="24"/>
              </w:rPr>
              <w:t>-189,816</w:t>
            </w:r>
          </w:p>
          <w:p w:rsidR="002A08C2" w:rsidRPr="00AA0A70" w:rsidRDefault="002A08C2" w:rsidP="00943B66">
            <w:pPr>
              <w:jc w:val="center"/>
              <w:rPr>
                <w:rFonts w:ascii="Times New Roman" w:hAnsi="Times New Roman" w:cs="Times New Roman"/>
                <w:sz w:val="24"/>
                <w:szCs w:val="24"/>
              </w:rPr>
            </w:pPr>
          </w:p>
        </w:tc>
        <w:tc>
          <w:tcPr>
            <w:tcW w:w="2010" w:type="dxa"/>
            <w:tcBorders>
              <w:top w:val="nil"/>
              <w:left w:val="nil"/>
              <w:bottom w:val="single" w:sz="4" w:space="0" w:color="auto"/>
              <w:right w:val="single" w:sz="4" w:space="0" w:color="auto"/>
            </w:tcBorders>
            <w:shd w:val="clear" w:color="auto" w:fill="auto"/>
            <w:vAlign w:val="bottom"/>
          </w:tcPr>
          <w:p w:rsidR="002A08C2" w:rsidRPr="003C62BA" w:rsidRDefault="002A08C2" w:rsidP="00943B66">
            <w:pPr>
              <w:jc w:val="center"/>
              <w:rPr>
                <w:rFonts w:ascii="Times New Roman" w:hAnsi="Times New Roman" w:cs="Times New Roman"/>
                <w:color w:val="000000"/>
                <w:sz w:val="24"/>
                <w:szCs w:val="24"/>
              </w:rPr>
            </w:pPr>
          </w:p>
        </w:tc>
      </w:tr>
    </w:tbl>
    <w:p w:rsidR="000066FC" w:rsidRPr="00E673F2" w:rsidRDefault="000066FC" w:rsidP="00AA0A70">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exportate</w:t>
      </w:r>
      <w:r w:rsidR="002A08C2">
        <w:rPr>
          <w:rFonts w:ascii="Times New Roman" w:hAnsi="Times New Roman" w:cs="Times New Roman"/>
          <w:b/>
          <w:sz w:val="24"/>
          <w:szCs w:val="24"/>
        </w:rPr>
        <w:t xml:space="preserve"> în anul 2016</w:t>
      </w:r>
      <w:r w:rsidRPr="00E673F2">
        <w:rPr>
          <w:rFonts w:ascii="Times New Roman" w:hAnsi="Times New Roman" w:cs="Times New Roman"/>
          <w:b/>
          <w:sz w:val="24"/>
          <w:szCs w:val="24"/>
        </w:rPr>
        <w:t xml:space="preserve"> (</w:t>
      </w:r>
      <w:r w:rsidRPr="00E673F2">
        <w:rPr>
          <w:rFonts w:ascii="Times New Roman" w:hAnsi="Times New Roman" w:cs="Times New Roman"/>
          <w:b/>
          <w:sz w:val="24"/>
          <w:szCs w:val="24"/>
          <w:lang w:eastAsia="ru-RU"/>
        </w:rPr>
        <w:t>mil. USD)</w:t>
      </w:r>
      <w:r w:rsidRPr="00E673F2">
        <w:rPr>
          <w:rFonts w:ascii="Times New Roman" w:hAnsi="Times New Roman" w:cs="Times New Roman"/>
          <w:b/>
          <w:sz w:val="24"/>
          <w:szCs w:val="24"/>
        </w:rPr>
        <w:t>:</w:t>
      </w:r>
    </w:p>
    <w:tbl>
      <w:tblPr>
        <w:tblW w:w="9762" w:type="dxa"/>
        <w:jc w:val="center"/>
        <w:tblLook w:val="00A0" w:firstRow="1" w:lastRow="0" w:firstColumn="1" w:lastColumn="0" w:noHBand="0" w:noVBand="0"/>
      </w:tblPr>
      <w:tblGrid>
        <w:gridCol w:w="656"/>
        <w:gridCol w:w="3624"/>
        <w:gridCol w:w="1452"/>
        <w:gridCol w:w="1440"/>
        <w:gridCol w:w="1158"/>
        <w:gridCol w:w="1432"/>
      </w:tblGrid>
      <w:tr w:rsidR="000066FC" w:rsidRPr="00601CAB" w:rsidTr="00BB4001">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01CAB" w:rsidRDefault="000066FC" w:rsidP="00FE770A">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vAlign w:val="center"/>
          </w:tcPr>
          <w:p w:rsidR="000066FC" w:rsidRPr="00601CAB" w:rsidRDefault="000066FC" w:rsidP="00FE770A">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0066FC" w:rsidRPr="00601CAB" w:rsidRDefault="000066FC" w:rsidP="00FE770A">
            <w:pPr>
              <w:spacing w:after="0" w:line="240" w:lineRule="auto"/>
              <w:jc w:val="center"/>
              <w:rPr>
                <w:rFonts w:ascii="Times New Roman" w:hAnsi="Times New Roman" w:cs="Times New Roman"/>
                <w:b/>
                <w:i/>
                <w:color w:val="000000"/>
                <w:sz w:val="22"/>
                <w:szCs w:val="22"/>
                <w:lang w:eastAsia="ru-RU"/>
              </w:rPr>
            </w:pPr>
            <w:r w:rsidRPr="00601CAB">
              <w:rPr>
                <w:rFonts w:ascii="Times New Roman" w:hAnsi="Times New Roman" w:cs="Times New Roman"/>
                <w:b/>
                <w:bCs/>
                <w:sz w:val="22"/>
                <w:szCs w:val="22"/>
                <w:lang w:eastAsia="ru-RU"/>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066FC" w:rsidRPr="00601CAB" w:rsidRDefault="000066FC" w:rsidP="00FE770A">
            <w:pPr>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066FC" w:rsidRPr="00601CAB"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Dinamica</w:t>
            </w:r>
          </w:p>
          <w:p w:rsidR="000066FC" w:rsidRPr="00601CAB"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066FC" w:rsidRPr="00601CAB"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Cota din totalul exporturilor %</w:t>
            </w:r>
          </w:p>
        </w:tc>
      </w:tr>
      <w:tr w:rsidR="00CF6A8C" w:rsidRPr="00601CAB" w:rsidTr="006A281C">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CF6A8C" w:rsidRPr="00601CAB" w:rsidRDefault="00CF6A8C" w:rsidP="00CF6A8C">
            <w:pPr>
              <w:spacing w:after="0" w:line="240" w:lineRule="auto"/>
              <w:rPr>
                <w:rFonts w:ascii="Times New Roman" w:hAnsi="Times New Roman" w:cs="Times New Roman"/>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CF6A8C" w:rsidRPr="00601CAB" w:rsidRDefault="00CF6A8C" w:rsidP="00CF6A8C">
            <w:pPr>
              <w:spacing w:after="0" w:line="240" w:lineRule="auto"/>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CF6A8C" w:rsidRPr="00601CAB" w:rsidRDefault="006A281C" w:rsidP="006A281C">
            <w:pPr>
              <w:spacing w:after="0" w:line="240" w:lineRule="auto"/>
              <w:jc w:val="center"/>
              <w:rPr>
                <w:rFonts w:ascii="Times New Roman" w:hAnsi="Times New Roman" w:cs="Times New Roman"/>
                <w:b/>
                <w:sz w:val="22"/>
                <w:szCs w:val="22"/>
              </w:rPr>
            </w:pPr>
            <w:r w:rsidRPr="00601CAB">
              <w:rPr>
                <w:rFonts w:ascii="Times New Roman" w:hAnsi="Times New Roman" w:cs="Times New Roman"/>
                <w:b/>
                <w:sz w:val="22"/>
                <w:szCs w:val="22"/>
              </w:rPr>
              <w:t>117,212</w:t>
            </w:r>
          </w:p>
        </w:tc>
        <w:tc>
          <w:tcPr>
            <w:tcW w:w="1440" w:type="dxa"/>
            <w:tcBorders>
              <w:top w:val="nil"/>
              <w:left w:val="nil"/>
              <w:bottom w:val="single" w:sz="4" w:space="0" w:color="auto"/>
              <w:right w:val="single" w:sz="4" w:space="0" w:color="auto"/>
            </w:tcBorders>
            <w:shd w:val="clear" w:color="auto" w:fill="auto"/>
            <w:noWrap/>
            <w:vAlign w:val="center"/>
          </w:tcPr>
          <w:p w:rsidR="00CF6A8C" w:rsidRPr="00601CAB" w:rsidRDefault="006A281C" w:rsidP="006A281C">
            <w:pPr>
              <w:spacing w:after="0" w:line="240" w:lineRule="auto"/>
              <w:jc w:val="center"/>
              <w:rPr>
                <w:rFonts w:ascii="Times New Roman" w:hAnsi="Times New Roman" w:cs="Times New Roman"/>
                <w:b/>
                <w:sz w:val="22"/>
                <w:szCs w:val="22"/>
              </w:rPr>
            </w:pPr>
            <w:r w:rsidRPr="00601CAB">
              <w:rPr>
                <w:rFonts w:ascii="Times New Roman" w:hAnsi="Times New Roman" w:cs="Times New Roman"/>
                <w:b/>
                <w:sz w:val="22"/>
                <w:szCs w:val="22"/>
              </w:rPr>
              <w:t>126,623</w:t>
            </w:r>
          </w:p>
        </w:tc>
        <w:tc>
          <w:tcPr>
            <w:tcW w:w="1158" w:type="dxa"/>
            <w:tcBorders>
              <w:top w:val="nil"/>
              <w:left w:val="nil"/>
              <w:bottom w:val="single" w:sz="4" w:space="0" w:color="auto"/>
              <w:right w:val="single" w:sz="4" w:space="0" w:color="auto"/>
            </w:tcBorders>
            <w:shd w:val="clear" w:color="auto" w:fill="auto"/>
            <w:noWrap/>
            <w:vAlign w:val="center"/>
          </w:tcPr>
          <w:p w:rsidR="00CF6A8C" w:rsidRPr="00601CAB" w:rsidRDefault="006A281C" w:rsidP="006A281C">
            <w:pPr>
              <w:spacing w:after="0" w:line="240" w:lineRule="auto"/>
              <w:jc w:val="center"/>
              <w:rPr>
                <w:rFonts w:ascii="Times New Roman" w:hAnsi="Times New Roman" w:cs="Times New Roman"/>
                <w:b/>
                <w:sz w:val="22"/>
                <w:szCs w:val="22"/>
              </w:rPr>
            </w:pPr>
            <w:r w:rsidRPr="00601CAB">
              <w:rPr>
                <w:rFonts w:ascii="Times New Roman" w:hAnsi="Times New Roman" w:cs="Times New Roman"/>
                <w:b/>
                <w:sz w:val="22"/>
                <w:szCs w:val="22"/>
              </w:rPr>
              <w:t>+8,029</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CF6A8C" w:rsidRPr="00601CAB" w:rsidRDefault="00CF6A8C" w:rsidP="00CF6A8C">
            <w:pPr>
              <w:spacing w:after="0" w:line="240" w:lineRule="auto"/>
              <w:jc w:val="center"/>
              <w:rPr>
                <w:rFonts w:ascii="Times New Roman" w:hAnsi="Times New Roman" w:cs="Times New Roman"/>
                <w:b/>
                <w:sz w:val="22"/>
                <w:szCs w:val="22"/>
              </w:rPr>
            </w:pPr>
            <w:r w:rsidRPr="00601CAB">
              <w:rPr>
                <w:rFonts w:ascii="Times New Roman" w:hAnsi="Times New Roman" w:cs="Times New Roman"/>
                <w:b/>
                <w:sz w:val="22"/>
                <w:szCs w:val="22"/>
              </w:rPr>
              <w:t>100</w:t>
            </w:r>
          </w:p>
        </w:tc>
      </w:tr>
      <w:tr w:rsidR="00561280" w:rsidRPr="00601CAB" w:rsidTr="00561280">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9401</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Scaune (cu </w:t>
            </w:r>
            <w:proofErr w:type="spellStart"/>
            <w:r w:rsidRPr="00601CAB">
              <w:rPr>
                <w:rFonts w:ascii="Times New Roman" w:hAnsi="Times New Roman" w:cs="Times New Roman"/>
                <w:b/>
                <w:bCs/>
                <w:sz w:val="22"/>
                <w:szCs w:val="22"/>
              </w:rPr>
              <w:t>exceptia</w:t>
            </w:r>
            <w:proofErr w:type="spellEnd"/>
            <w:r w:rsidRPr="00601CAB">
              <w:rPr>
                <w:rFonts w:ascii="Times New Roman" w:hAnsi="Times New Roman" w:cs="Times New Roman"/>
                <w:b/>
                <w:bCs/>
                <w:sz w:val="22"/>
                <w:szCs w:val="22"/>
              </w:rPr>
              <w:t xml:space="preserve"> celor de la </w:t>
            </w:r>
            <w:proofErr w:type="spellStart"/>
            <w:r w:rsidRPr="00601CAB">
              <w:rPr>
                <w:rFonts w:ascii="Times New Roman" w:hAnsi="Times New Roman" w:cs="Times New Roman"/>
                <w:b/>
                <w:bCs/>
                <w:sz w:val="22"/>
                <w:szCs w:val="22"/>
              </w:rPr>
              <w:t>pozitia</w:t>
            </w:r>
            <w:proofErr w:type="spellEnd"/>
            <w:r w:rsidRPr="00601CAB">
              <w:rPr>
                <w:rFonts w:ascii="Times New Roman" w:hAnsi="Times New Roman" w:cs="Times New Roman"/>
                <w:b/>
                <w:bCs/>
                <w:sz w:val="22"/>
                <w:szCs w:val="22"/>
              </w:rPr>
              <w:t xml:space="preserve"> 9402), chiar transformabile in paturi, si </w:t>
            </w:r>
            <w:proofErr w:type="spellStart"/>
            <w:r w:rsidRPr="00601CAB">
              <w:rPr>
                <w:rFonts w:ascii="Times New Roman" w:hAnsi="Times New Roman" w:cs="Times New Roman"/>
                <w:b/>
                <w:bCs/>
                <w:sz w:val="22"/>
                <w:szCs w:val="22"/>
              </w:rPr>
              <w:t>partile</w:t>
            </w:r>
            <w:proofErr w:type="spellEnd"/>
            <w:r w:rsidRPr="00601CAB">
              <w:rPr>
                <w:rFonts w:ascii="Times New Roman" w:hAnsi="Times New Roman" w:cs="Times New Roman"/>
                <w:b/>
                <w:bCs/>
                <w:sz w:val="22"/>
                <w:szCs w:val="22"/>
              </w:rPr>
              <w:t xml:space="preserve"> lor:</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39,683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47,941</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20</w:t>
            </w:r>
            <w:r w:rsidRPr="00601CAB">
              <w:rPr>
                <w:rFonts w:ascii="Times New Roman" w:hAnsi="Times New Roman" w:cs="Times New Roman"/>
                <w:sz w:val="22"/>
                <w:szCs w:val="22"/>
              </w:rPr>
              <w:t>,</w:t>
            </w:r>
            <w:r w:rsidRPr="00601CAB">
              <w:rPr>
                <w:rFonts w:ascii="Times New Roman" w:hAnsi="Times New Roman" w:cs="Times New Roman"/>
                <w:sz w:val="22"/>
                <w:szCs w:val="22"/>
              </w:rPr>
              <w:t>81</w:t>
            </w:r>
          </w:p>
        </w:tc>
        <w:tc>
          <w:tcPr>
            <w:tcW w:w="1432" w:type="dxa"/>
            <w:tcBorders>
              <w:top w:val="single" w:sz="4" w:space="0" w:color="auto"/>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37,86</w:t>
            </w:r>
          </w:p>
        </w:tc>
      </w:tr>
      <w:tr w:rsidR="00561280" w:rsidRPr="00601CAB" w:rsidTr="00561280">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0802</w:t>
            </w:r>
          </w:p>
        </w:tc>
        <w:tc>
          <w:tcPr>
            <w:tcW w:w="3624" w:type="dxa"/>
            <w:tcBorders>
              <w:top w:val="nil"/>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Alte fructe cu coaja, proaspete sau uscate, chiar decojite sau </w:t>
            </w:r>
            <w:proofErr w:type="spellStart"/>
            <w:r w:rsidRPr="00601CAB">
              <w:rPr>
                <w:rFonts w:ascii="Times New Roman" w:hAnsi="Times New Roman" w:cs="Times New Roman"/>
                <w:b/>
                <w:bCs/>
                <w:sz w:val="22"/>
                <w:szCs w:val="22"/>
              </w:rPr>
              <w:t>fara</w:t>
            </w:r>
            <w:proofErr w:type="spellEnd"/>
            <w:r w:rsidRPr="00601CAB">
              <w:rPr>
                <w:rFonts w:ascii="Times New Roman" w:hAnsi="Times New Roman" w:cs="Times New Roman"/>
                <w:b/>
                <w:bCs/>
                <w:sz w:val="22"/>
                <w:szCs w:val="22"/>
              </w:rPr>
              <w:t xml:space="preserve"> pielita:</w:t>
            </w:r>
          </w:p>
        </w:tc>
        <w:tc>
          <w:tcPr>
            <w:tcW w:w="1452"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11,070</w:t>
            </w:r>
          </w:p>
        </w:tc>
        <w:tc>
          <w:tcPr>
            <w:tcW w:w="1440"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9,159</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-17</w:t>
            </w:r>
            <w:r w:rsidRPr="00601CAB">
              <w:rPr>
                <w:rFonts w:ascii="Times New Roman" w:hAnsi="Times New Roman" w:cs="Times New Roman"/>
                <w:sz w:val="22"/>
                <w:szCs w:val="22"/>
              </w:rPr>
              <w:t>,</w:t>
            </w:r>
            <w:r w:rsidRPr="00601CAB">
              <w:rPr>
                <w:rFonts w:ascii="Times New Roman" w:hAnsi="Times New Roman" w:cs="Times New Roman"/>
                <w:sz w:val="22"/>
                <w:szCs w:val="22"/>
              </w:rPr>
              <w:t>26</w:t>
            </w:r>
          </w:p>
        </w:tc>
        <w:tc>
          <w:tcPr>
            <w:tcW w:w="1432"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7,23</w:t>
            </w:r>
          </w:p>
        </w:tc>
      </w:tr>
      <w:tr w:rsidR="00561280" w:rsidRPr="00601CAB" w:rsidTr="00561280">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6203</w:t>
            </w:r>
          </w:p>
        </w:tc>
        <w:tc>
          <w:tcPr>
            <w:tcW w:w="3624" w:type="dxa"/>
            <w:tcBorders>
              <w:top w:val="nil"/>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Costume sau compleuri, ansambluri, jachete, sacouri, pantaloni, salopete cu bretele, pantaloni </w:t>
            </w:r>
            <w:proofErr w:type="spellStart"/>
            <w:r w:rsidRPr="00601CAB">
              <w:rPr>
                <w:rFonts w:ascii="Times New Roman" w:hAnsi="Times New Roman" w:cs="Times New Roman"/>
                <w:b/>
                <w:bCs/>
                <w:sz w:val="22"/>
                <w:szCs w:val="22"/>
              </w:rPr>
              <w:t>scurti</w:t>
            </w:r>
            <w:proofErr w:type="spellEnd"/>
            <w:r w:rsidRPr="00601CAB">
              <w:rPr>
                <w:rFonts w:ascii="Times New Roman" w:hAnsi="Times New Roman" w:cs="Times New Roman"/>
                <w:b/>
                <w:bCs/>
                <w:sz w:val="22"/>
                <w:szCs w:val="22"/>
              </w:rPr>
              <w:t xml:space="preserve"> si sorturi (altele </w:t>
            </w:r>
            <w:proofErr w:type="spellStart"/>
            <w:r w:rsidRPr="00601CAB">
              <w:rPr>
                <w:rFonts w:ascii="Times New Roman" w:hAnsi="Times New Roman" w:cs="Times New Roman"/>
                <w:b/>
                <w:bCs/>
                <w:sz w:val="22"/>
                <w:szCs w:val="22"/>
              </w:rPr>
              <w:t>decit</w:t>
            </w:r>
            <w:proofErr w:type="spellEnd"/>
            <w:r w:rsidRPr="00601CAB">
              <w:rPr>
                <w:rFonts w:ascii="Times New Roman" w:hAnsi="Times New Roman" w:cs="Times New Roman"/>
                <w:b/>
                <w:bCs/>
                <w:sz w:val="22"/>
                <w:szCs w:val="22"/>
              </w:rPr>
              <w:t xml:space="preserve"> cele pentru baie), pentru </w:t>
            </w:r>
            <w:proofErr w:type="spellStart"/>
            <w:r w:rsidRPr="00601CAB">
              <w:rPr>
                <w:rFonts w:ascii="Times New Roman" w:hAnsi="Times New Roman" w:cs="Times New Roman"/>
                <w:b/>
                <w:bCs/>
                <w:sz w:val="22"/>
                <w:szCs w:val="22"/>
              </w:rPr>
              <w:t>barbati</w:t>
            </w:r>
            <w:proofErr w:type="spellEnd"/>
            <w:r w:rsidRPr="00601CAB">
              <w:rPr>
                <w:rFonts w:ascii="Times New Roman" w:hAnsi="Times New Roman" w:cs="Times New Roman"/>
                <w:b/>
                <w:bCs/>
                <w:sz w:val="22"/>
                <w:szCs w:val="22"/>
              </w:rPr>
              <w:t xml:space="preserve"> sau </w:t>
            </w:r>
            <w:proofErr w:type="spellStart"/>
            <w:r w:rsidRPr="00601CAB">
              <w:rPr>
                <w:rFonts w:ascii="Times New Roman" w:hAnsi="Times New Roman" w:cs="Times New Roman"/>
                <w:b/>
                <w:bCs/>
                <w:sz w:val="22"/>
                <w:szCs w:val="22"/>
              </w:rPr>
              <w:t>baieti</w:t>
            </w:r>
            <w:proofErr w:type="spellEnd"/>
            <w:r w:rsidRPr="00601CAB">
              <w:rPr>
                <w:rFonts w:ascii="Times New Roman" w:hAnsi="Times New Roman" w:cs="Times New Roman"/>
                <w:b/>
                <w:bCs/>
                <w:sz w:val="22"/>
                <w:szCs w:val="22"/>
              </w:rPr>
              <w:t>:</w:t>
            </w:r>
          </w:p>
        </w:tc>
        <w:tc>
          <w:tcPr>
            <w:tcW w:w="1452" w:type="dxa"/>
            <w:tcBorders>
              <w:top w:val="nil"/>
              <w:left w:val="nil"/>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8,774</w:t>
            </w:r>
          </w:p>
        </w:tc>
        <w:tc>
          <w:tcPr>
            <w:tcW w:w="1440"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8,143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-7</w:t>
            </w:r>
            <w:r w:rsidRPr="00601CAB">
              <w:rPr>
                <w:rFonts w:ascii="Times New Roman" w:hAnsi="Times New Roman" w:cs="Times New Roman"/>
                <w:sz w:val="22"/>
                <w:szCs w:val="22"/>
              </w:rPr>
              <w:t>,</w:t>
            </w:r>
            <w:r w:rsidRPr="00601CAB">
              <w:rPr>
                <w:rFonts w:ascii="Times New Roman" w:hAnsi="Times New Roman" w:cs="Times New Roman"/>
                <w:sz w:val="22"/>
                <w:szCs w:val="22"/>
              </w:rPr>
              <w:t>19</w:t>
            </w:r>
          </w:p>
        </w:tc>
        <w:tc>
          <w:tcPr>
            <w:tcW w:w="1432"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6,43</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8703</w:t>
            </w:r>
          </w:p>
        </w:tc>
        <w:tc>
          <w:tcPr>
            <w:tcW w:w="3624" w:type="dxa"/>
            <w:tcBorders>
              <w:top w:val="nil"/>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Autoturisme si alte autovehicule, proiectate in principal pentru transportul persoanelor (altele </w:t>
            </w:r>
            <w:proofErr w:type="spellStart"/>
            <w:r w:rsidRPr="00601CAB">
              <w:rPr>
                <w:rFonts w:ascii="Times New Roman" w:hAnsi="Times New Roman" w:cs="Times New Roman"/>
                <w:b/>
                <w:bCs/>
                <w:sz w:val="22"/>
                <w:szCs w:val="22"/>
              </w:rPr>
              <w:t>decit</w:t>
            </w:r>
            <w:proofErr w:type="spellEnd"/>
            <w:r w:rsidRPr="00601CAB">
              <w:rPr>
                <w:rFonts w:ascii="Times New Roman" w:hAnsi="Times New Roman" w:cs="Times New Roman"/>
                <w:b/>
                <w:bCs/>
                <w:sz w:val="22"/>
                <w:szCs w:val="22"/>
              </w:rPr>
              <w:t xml:space="preserve"> cele de la </w:t>
            </w:r>
            <w:proofErr w:type="spellStart"/>
            <w:r w:rsidRPr="00601CAB">
              <w:rPr>
                <w:rFonts w:ascii="Times New Roman" w:hAnsi="Times New Roman" w:cs="Times New Roman"/>
                <w:b/>
                <w:bCs/>
                <w:sz w:val="22"/>
                <w:szCs w:val="22"/>
              </w:rPr>
              <w:t>pozitia</w:t>
            </w:r>
            <w:proofErr w:type="spellEnd"/>
            <w:r w:rsidRPr="00601CAB">
              <w:rPr>
                <w:rFonts w:ascii="Times New Roman" w:hAnsi="Times New Roman" w:cs="Times New Roman"/>
                <w:b/>
                <w:bCs/>
                <w:sz w:val="22"/>
                <w:szCs w:val="22"/>
              </w:rPr>
              <w:t xml:space="preserve"> 8702), inclusiv </w:t>
            </w:r>
            <w:proofErr w:type="spellStart"/>
            <w:r w:rsidRPr="00601CAB">
              <w:rPr>
                <w:rFonts w:ascii="Times New Roman" w:hAnsi="Times New Roman" w:cs="Times New Roman"/>
                <w:b/>
                <w:bCs/>
                <w:sz w:val="22"/>
                <w:szCs w:val="22"/>
              </w:rPr>
              <w:t>masinile</w:t>
            </w:r>
            <w:proofErr w:type="spellEnd"/>
            <w:r w:rsidRPr="00601CAB">
              <w:rPr>
                <w:rFonts w:ascii="Times New Roman" w:hAnsi="Times New Roman" w:cs="Times New Roman"/>
                <w:b/>
                <w:bCs/>
                <w:sz w:val="22"/>
                <w:szCs w:val="22"/>
              </w:rPr>
              <w:t xml:space="preserve"> de tip „break” si </w:t>
            </w:r>
            <w:proofErr w:type="spellStart"/>
            <w:r w:rsidRPr="00601CAB">
              <w:rPr>
                <w:rFonts w:ascii="Times New Roman" w:hAnsi="Times New Roman" w:cs="Times New Roman"/>
                <w:b/>
                <w:bCs/>
                <w:sz w:val="22"/>
                <w:szCs w:val="22"/>
              </w:rPr>
              <w:t>masinile</w:t>
            </w:r>
            <w:proofErr w:type="spellEnd"/>
            <w:r w:rsidRPr="00601CAB">
              <w:rPr>
                <w:rFonts w:ascii="Times New Roman" w:hAnsi="Times New Roman" w:cs="Times New Roman"/>
                <w:b/>
                <w:bCs/>
                <w:sz w:val="22"/>
                <w:szCs w:val="22"/>
              </w:rPr>
              <w:t xml:space="preserve"> de curse</w:t>
            </w:r>
          </w:p>
        </w:tc>
        <w:tc>
          <w:tcPr>
            <w:tcW w:w="1452" w:type="dxa"/>
            <w:tcBorders>
              <w:top w:val="nil"/>
              <w:left w:val="nil"/>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0,941</w:t>
            </w:r>
          </w:p>
        </w:tc>
        <w:tc>
          <w:tcPr>
            <w:tcW w:w="1440" w:type="dxa"/>
            <w:tcBorders>
              <w:top w:val="nil"/>
              <w:left w:val="nil"/>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7,436</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+7,9 ori</w:t>
            </w:r>
          </w:p>
        </w:tc>
        <w:tc>
          <w:tcPr>
            <w:tcW w:w="1432"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5,87</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7404</w:t>
            </w:r>
          </w:p>
        </w:tc>
        <w:tc>
          <w:tcPr>
            <w:tcW w:w="3624" w:type="dxa"/>
            <w:tcBorders>
              <w:top w:val="nil"/>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proofErr w:type="spellStart"/>
            <w:r w:rsidRPr="00601CAB">
              <w:rPr>
                <w:rFonts w:ascii="Times New Roman" w:hAnsi="Times New Roman" w:cs="Times New Roman"/>
                <w:b/>
                <w:bCs/>
                <w:sz w:val="22"/>
                <w:szCs w:val="22"/>
              </w:rPr>
              <w:t>Deseuri</w:t>
            </w:r>
            <w:proofErr w:type="spellEnd"/>
            <w:r w:rsidRPr="00601CAB">
              <w:rPr>
                <w:rFonts w:ascii="Times New Roman" w:hAnsi="Times New Roman" w:cs="Times New Roman"/>
                <w:b/>
                <w:bCs/>
                <w:sz w:val="22"/>
                <w:szCs w:val="22"/>
              </w:rPr>
              <w:t xml:space="preserve"> si resturi de cupru:</w:t>
            </w:r>
          </w:p>
        </w:tc>
        <w:tc>
          <w:tcPr>
            <w:tcW w:w="1452"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10,251</w:t>
            </w:r>
          </w:p>
        </w:tc>
        <w:tc>
          <w:tcPr>
            <w:tcW w:w="1440"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6,237</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-39,15</w:t>
            </w:r>
          </w:p>
        </w:tc>
        <w:tc>
          <w:tcPr>
            <w:tcW w:w="1432"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4,92</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2009</w:t>
            </w:r>
          </w:p>
        </w:tc>
        <w:tc>
          <w:tcPr>
            <w:tcW w:w="3624" w:type="dxa"/>
            <w:tcBorders>
              <w:top w:val="nil"/>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Sucuri de fructe (inclusiv mustul de struguri) si sucuri de legume, nefermentate, </w:t>
            </w:r>
            <w:proofErr w:type="spellStart"/>
            <w:r w:rsidRPr="00601CAB">
              <w:rPr>
                <w:rFonts w:ascii="Times New Roman" w:hAnsi="Times New Roman" w:cs="Times New Roman"/>
                <w:b/>
                <w:bCs/>
                <w:sz w:val="22"/>
                <w:szCs w:val="22"/>
              </w:rPr>
              <w:t>fara</w:t>
            </w:r>
            <w:proofErr w:type="spellEnd"/>
            <w:r w:rsidRPr="00601CAB">
              <w:rPr>
                <w:rFonts w:ascii="Times New Roman" w:hAnsi="Times New Roman" w:cs="Times New Roman"/>
                <w:b/>
                <w:bCs/>
                <w:sz w:val="22"/>
                <w:szCs w:val="22"/>
              </w:rPr>
              <w:t xml:space="preserve"> adaos de alcool, cu sau </w:t>
            </w:r>
            <w:proofErr w:type="spellStart"/>
            <w:r w:rsidRPr="00601CAB">
              <w:rPr>
                <w:rFonts w:ascii="Times New Roman" w:hAnsi="Times New Roman" w:cs="Times New Roman"/>
                <w:b/>
                <w:bCs/>
                <w:sz w:val="22"/>
                <w:szCs w:val="22"/>
              </w:rPr>
              <w:t>fara</w:t>
            </w:r>
            <w:proofErr w:type="spellEnd"/>
            <w:r w:rsidRPr="00601CAB">
              <w:rPr>
                <w:rFonts w:ascii="Times New Roman" w:hAnsi="Times New Roman" w:cs="Times New Roman"/>
                <w:b/>
                <w:bCs/>
                <w:sz w:val="22"/>
                <w:szCs w:val="22"/>
              </w:rPr>
              <w:t xml:space="preserve"> adaos de zahar sau de </w:t>
            </w:r>
            <w:proofErr w:type="spellStart"/>
            <w:r w:rsidRPr="00601CAB">
              <w:rPr>
                <w:rFonts w:ascii="Times New Roman" w:hAnsi="Times New Roman" w:cs="Times New Roman"/>
                <w:b/>
                <w:bCs/>
                <w:sz w:val="22"/>
                <w:szCs w:val="22"/>
              </w:rPr>
              <w:t>alti</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indulcitori</w:t>
            </w:r>
            <w:proofErr w:type="spellEnd"/>
            <w:r w:rsidRPr="00601CAB">
              <w:rPr>
                <w:rFonts w:ascii="Times New Roman" w:hAnsi="Times New Roman" w:cs="Times New Roman"/>
                <w:b/>
                <w:bCs/>
                <w:sz w:val="22"/>
                <w:szCs w:val="22"/>
              </w:rPr>
              <w:t>:</w:t>
            </w:r>
          </w:p>
        </w:tc>
        <w:tc>
          <w:tcPr>
            <w:tcW w:w="1452"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8,188</w:t>
            </w:r>
          </w:p>
        </w:tc>
        <w:tc>
          <w:tcPr>
            <w:tcW w:w="1440" w:type="dxa"/>
            <w:tcBorders>
              <w:top w:val="nil"/>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5,673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-30,72</w:t>
            </w:r>
          </w:p>
        </w:tc>
        <w:tc>
          <w:tcPr>
            <w:tcW w:w="1432"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4,48</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6204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Taioare, ansambluri, jachete, </w:t>
            </w:r>
            <w:r w:rsidRPr="00601CAB">
              <w:rPr>
                <w:rFonts w:ascii="Times New Roman" w:hAnsi="Times New Roman" w:cs="Times New Roman"/>
                <w:b/>
                <w:bCs/>
                <w:sz w:val="22"/>
                <w:szCs w:val="22"/>
              </w:rPr>
              <w:lastRenderedPageBreak/>
              <w:t xml:space="preserve">sacouri, rochii, fuste, fuste-pantalon, pantaloni, salopete cu bretele, pantaloni </w:t>
            </w:r>
            <w:proofErr w:type="spellStart"/>
            <w:r w:rsidRPr="00601CAB">
              <w:rPr>
                <w:rFonts w:ascii="Times New Roman" w:hAnsi="Times New Roman" w:cs="Times New Roman"/>
                <w:b/>
                <w:bCs/>
                <w:sz w:val="22"/>
                <w:szCs w:val="22"/>
              </w:rPr>
              <w:t>scurti</w:t>
            </w:r>
            <w:proofErr w:type="spellEnd"/>
            <w:r w:rsidRPr="00601CAB">
              <w:rPr>
                <w:rFonts w:ascii="Times New Roman" w:hAnsi="Times New Roman" w:cs="Times New Roman"/>
                <w:b/>
                <w:bCs/>
                <w:sz w:val="22"/>
                <w:szCs w:val="22"/>
              </w:rPr>
              <w:t xml:space="preserve"> si sorturi (altele </w:t>
            </w:r>
            <w:proofErr w:type="spellStart"/>
            <w:r w:rsidRPr="00601CAB">
              <w:rPr>
                <w:rFonts w:ascii="Times New Roman" w:hAnsi="Times New Roman" w:cs="Times New Roman"/>
                <w:b/>
                <w:bCs/>
                <w:sz w:val="22"/>
                <w:szCs w:val="22"/>
              </w:rPr>
              <w:t>decit</w:t>
            </w:r>
            <w:proofErr w:type="spellEnd"/>
            <w:r w:rsidRPr="00601CAB">
              <w:rPr>
                <w:rFonts w:ascii="Times New Roman" w:hAnsi="Times New Roman" w:cs="Times New Roman"/>
                <w:b/>
                <w:bCs/>
                <w:sz w:val="22"/>
                <w:szCs w:val="22"/>
              </w:rPr>
              <w:t xml:space="preserve"> pentru baie), pentru femei si fete: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lastRenderedPageBreak/>
              <w:t>5,966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4,910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-17,7</w:t>
            </w:r>
          </w:p>
        </w:tc>
        <w:tc>
          <w:tcPr>
            <w:tcW w:w="1432" w:type="dxa"/>
            <w:tcBorders>
              <w:top w:val="single" w:sz="4" w:space="0" w:color="auto"/>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3,87</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lastRenderedPageBreak/>
              <w:t>1206</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proofErr w:type="spellStart"/>
            <w:r w:rsidRPr="00601CAB">
              <w:rPr>
                <w:rFonts w:ascii="Times New Roman" w:hAnsi="Times New Roman" w:cs="Times New Roman"/>
                <w:b/>
                <w:bCs/>
                <w:sz w:val="22"/>
                <w:szCs w:val="22"/>
              </w:rPr>
              <w:t>Seminte</w:t>
            </w:r>
            <w:proofErr w:type="spellEnd"/>
            <w:r w:rsidRPr="00601CAB">
              <w:rPr>
                <w:rFonts w:ascii="Times New Roman" w:hAnsi="Times New Roman" w:cs="Times New Roman"/>
                <w:b/>
                <w:bCs/>
                <w:sz w:val="22"/>
                <w:szCs w:val="22"/>
              </w:rPr>
              <w:t xml:space="preserve"> de floarea-soarelui, chiar </w:t>
            </w:r>
            <w:proofErr w:type="spellStart"/>
            <w:r w:rsidRPr="00601CAB">
              <w:rPr>
                <w:rFonts w:ascii="Times New Roman" w:hAnsi="Times New Roman" w:cs="Times New Roman"/>
                <w:b/>
                <w:bCs/>
                <w:sz w:val="22"/>
                <w:szCs w:val="22"/>
              </w:rPr>
              <w:t>sfarimate</w:t>
            </w:r>
            <w:proofErr w:type="spellEnd"/>
            <w:r w:rsidRPr="00601CAB">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2,731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3,322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21,64</w:t>
            </w:r>
          </w:p>
        </w:tc>
        <w:tc>
          <w:tcPr>
            <w:tcW w:w="1432" w:type="dxa"/>
            <w:tcBorders>
              <w:top w:val="single" w:sz="4" w:space="0" w:color="auto"/>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2,62</w:t>
            </w:r>
          </w:p>
        </w:tc>
      </w:tr>
      <w:tr w:rsidR="00561280" w:rsidRPr="00601CAB" w:rsidTr="00561280">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561280" w:rsidRPr="00601CAB" w:rsidRDefault="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3301</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561280" w:rsidRPr="00601CAB" w:rsidRDefault="00561280">
            <w:pPr>
              <w:rPr>
                <w:rFonts w:ascii="Times New Roman" w:hAnsi="Times New Roman" w:cs="Times New Roman"/>
                <w:b/>
                <w:bCs/>
                <w:sz w:val="22"/>
                <w:szCs w:val="22"/>
              </w:rPr>
            </w:pPr>
            <w:r w:rsidRPr="00601CAB">
              <w:rPr>
                <w:rFonts w:ascii="Times New Roman" w:hAnsi="Times New Roman" w:cs="Times New Roman"/>
                <w:b/>
                <w:bCs/>
                <w:sz w:val="22"/>
                <w:szCs w:val="22"/>
              </w:rPr>
              <w:t xml:space="preserve">Uleiuri </w:t>
            </w:r>
            <w:proofErr w:type="spellStart"/>
            <w:r w:rsidRPr="00601CAB">
              <w:rPr>
                <w:rFonts w:ascii="Times New Roman" w:hAnsi="Times New Roman" w:cs="Times New Roman"/>
                <w:b/>
                <w:bCs/>
                <w:sz w:val="22"/>
                <w:szCs w:val="22"/>
              </w:rPr>
              <w:t>esentiale</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deterpenizate</w:t>
            </w:r>
            <w:proofErr w:type="spellEnd"/>
            <w:r w:rsidRPr="00601CAB">
              <w:rPr>
                <w:rFonts w:ascii="Times New Roman" w:hAnsi="Times New Roman" w:cs="Times New Roman"/>
                <w:b/>
                <w:bCs/>
                <w:sz w:val="22"/>
                <w:szCs w:val="22"/>
              </w:rPr>
              <w:t xml:space="preserve"> sau nu), inclusiv cele </w:t>
            </w:r>
            <w:proofErr w:type="spellStart"/>
            <w:r w:rsidRPr="00601CAB">
              <w:rPr>
                <w:rFonts w:ascii="Times New Roman" w:hAnsi="Times New Roman" w:cs="Times New Roman"/>
                <w:b/>
                <w:bCs/>
                <w:sz w:val="22"/>
                <w:szCs w:val="22"/>
              </w:rPr>
              <w:t>asa-zise</w:t>
            </w:r>
            <w:proofErr w:type="spellEnd"/>
            <w:r w:rsidRPr="00601CAB">
              <w:rPr>
                <w:rFonts w:ascii="Times New Roman" w:hAnsi="Times New Roman" w:cs="Times New Roman"/>
                <w:b/>
                <w:bCs/>
                <w:sz w:val="22"/>
                <w:szCs w:val="22"/>
              </w:rPr>
              <w:t xml:space="preserve"> „concrete” sau „absolute”; </w:t>
            </w:r>
            <w:proofErr w:type="spellStart"/>
            <w:r w:rsidRPr="00601CAB">
              <w:rPr>
                <w:rFonts w:ascii="Times New Roman" w:hAnsi="Times New Roman" w:cs="Times New Roman"/>
                <w:b/>
                <w:bCs/>
                <w:sz w:val="22"/>
                <w:szCs w:val="22"/>
              </w:rPr>
              <w:t>rezinoide</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oleorasini</w:t>
            </w:r>
            <w:proofErr w:type="spellEnd"/>
            <w:r w:rsidRPr="00601CAB">
              <w:rPr>
                <w:rFonts w:ascii="Times New Roman" w:hAnsi="Times New Roman" w:cs="Times New Roman"/>
                <w:b/>
                <w:bCs/>
                <w:sz w:val="22"/>
                <w:szCs w:val="22"/>
              </w:rPr>
              <w:t xml:space="preserve"> de </w:t>
            </w:r>
            <w:proofErr w:type="spellStart"/>
            <w:r w:rsidRPr="00601CAB">
              <w:rPr>
                <w:rFonts w:ascii="Times New Roman" w:hAnsi="Times New Roman" w:cs="Times New Roman"/>
                <w:b/>
                <w:bCs/>
                <w:sz w:val="22"/>
                <w:szCs w:val="22"/>
              </w:rPr>
              <w:t>extractie</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solutii</w:t>
            </w:r>
            <w:proofErr w:type="spellEnd"/>
            <w:r w:rsidRPr="00601CAB">
              <w:rPr>
                <w:rFonts w:ascii="Times New Roman" w:hAnsi="Times New Roman" w:cs="Times New Roman"/>
                <w:b/>
                <w:bCs/>
                <w:sz w:val="22"/>
                <w:szCs w:val="22"/>
              </w:rPr>
              <w:t xml:space="preserve"> concentrate de uleiuri </w:t>
            </w:r>
            <w:proofErr w:type="spellStart"/>
            <w:r w:rsidRPr="00601CAB">
              <w:rPr>
                <w:rFonts w:ascii="Times New Roman" w:hAnsi="Times New Roman" w:cs="Times New Roman"/>
                <w:b/>
                <w:bCs/>
                <w:sz w:val="22"/>
                <w:szCs w:val="22"/>
              </w:rPr>
              <w:t>esentiale</w:t>
            </w:r>
            <w:proofErr w:type="spellEnd"/>
            <w:r w:rsidRPr="00601CAB">
              <w:rPr>
                <w:rFonts w:ascii="Times New Roman" w:hAnsi="Times New Roman" w:cs="Times New Roman"/>
                <w:b/>
                <w:bCs/>
                <w:sz w:val="22"/>
                <w:szCs w:val="22"/>
              </w:rPr>
              <w:t xml:space="preserve"> in </w:t>
            </w:r>
            <w:proofErr w:type="spellStart"/>
            <w:r w:rsidRPr="00601CAB">
              <w:rPr>
                <w:rFonts w:ascii="Times New Roman" w:hAnsi="Times New Roman" w:cs="Times New Roman"/>
                <w:b/>
                <w:bCs/>
                <w:sz w:val="22"/>
                <w:szCs w:val="22"/>
              </w:rPr>
              <w:t>grasimi</w:t>
            </w:r>
            <w:proofErr w:type="spellEnd"/>
            <w:r w:rsidRPr="00601CAB">
              <w:rPr>
                <w:rFonts w:ascii="Times New Roman" w:hAnsi="Times New Roman" w:cs="Times New Roman"/>
                <w:b/>
                <w:bCs/>
                <w:sz w:val="22"/>
                <w:szCs w:val="22"/>
              </w:rPr>
              <w:t xml:space="preserve">, in uleiuri stabilizate, in ceara sau in </w:t>
            </w:r>
            <w:proofErr w:type="spellStart"/>
            <w:r w:rsidRPr="00601CAB">
              <w:rPr>
                <w:rFonts w:ascii="Times New Roman" w:hAnsi="Times New Roman" w:cs="Times New Roman"/>
                <w:b/>
                <w:bCs/>
                <w:sz w:val="22"/>
                <w:szCs w:val="22"/>
              </w:rPr>
              <w:t>substante</w:t>
            </w:r>
            <w:proofErr w:type="spellEnd"/>
            <w:r w:rsidRPr="00601CAB">
              <w:rPr>
                <w:rFonts w:ascii="Times New Roman" w:hAnsi="Times New Roman" w:cs="Times New Roman"/>
                <w:b/>
                <w:bCs/>
                <w:sz w:val="22"/>
                <w:szCs w:val="22"/>
              </w:rPr>
              <w:t xml:space="preserve"> similare, </w:t>
            </w:r>
            <w:proofErr w:type="spellStart"/>
            <w:r w:rsidRPr="00601CAB">
              <w:rPr>
                <w:rFonts w:ascii="Times New Roman" w:hAnsi="Times New Roman" w:cs="Times New Roman"/>
                <w:b/>
                <w:bCs/>
                <w:sz w:val="22"/>
                <w:szCs w:val="22"/>
              </w:rPr>
              <w:t>obtinute</w:t>
            </w:r>
            <w:proofErr w:type="spellEnd"/>
            <w:r w:rsidRPr="00601CAB">
              <w:rPr>
                <w:rFonts w:ascii="Times New Roman" w:hAnsi="Times New Roman" w:cs="Times New Roman"/>
                <w:b/>
                <w:bCs/>
                <w:sz w:val="22"/>
                <w:szCs w:val="22"/>
              </w:rPr>
              <w:t xml:space="preserve"> prin </w:t>
            </w:r>
            <w:proofErr w:type="spellStart"/>
            <w:r w:rsidRPr="00601CAB">
              <w:rPr>
                <w:rFonts w:ascii="Times New Roman" w:hAnsi="Times New Roman" w:cs="Times New Roman"/>
                <w:b/>
                <w:bCs/>
                <w:sz w:val="22"/>
                <w:szCs w:val="22"/>
              </w:rPr>
              <w:t>extractia</w:t>
            </w:r>
            <w:proofErr w:type="spellEnd"/>
            <w:r w:rsidRPr="00601CAB">
              <w:rPr>
                <w:rFonts w:ascii="Times New Roman" w:hAnsi="Times New Roman" w:cs="Times New Roman"/>
                <w:b/>
                <w:bCs/>
                <w:sz w:val="22"/>
                <w:szCs w:val="22"/>
              </w:rPr>
              <w:t xml:space="preserve"> din flori sau macerare, subproduse </w:t>
            </w:r>
            <w:proofErr w:type="spellStart"/>
            <w:r w:rsidRPr="00601CAB">
              <w:rPr>
                <w:rFonts w:ascii="Times New Roman" w:hAnsi="Times New Roman" w:cs="Times New Roman"/>
                <w:b/>
                <w:bCs/>
                <w:sz w:val="22"/>
                <w:szCs w:val="22"/>
              </w:rPr>
              <w:t>terpenice</w:t>
            </w:r>
            <w:proofErr w:type="spellEnd"/>
            <w:r w:rsidRPr="00601CAB">
              <w:rPr>
                <w:rFonts w:ascii="Times New Roman" w:hAnsi="Times New Roman" w:cs="Times New Roman"/>
                <w:b/>
                <w:bCs/>
                <w:sz w:val="22"/>
                <w:szCs w:val="22"/>
              </w:rPr>
              <w:t xml:space="preserve"> reziduale de la </w:t>
            </w:r>
            <w:proofErr w:type="spellStart"/>
            <w:r w:rsidRPr="00601CAB">
              <w:rPr>
                <w:rFonts w:ascii="Times New Roman" w:hAnsi="Times New Roman" w:cs="Times New Roman"/>
                <w:b/>
                <w:bCs/>
                <w:sz w:val="22"/>
                <w:szCs w:val="22"/>
              </w:rPr>
              <w:t>deterpenizarea</w:t>
            </w:r>
            <w:proofErr w:type="spellEnd"/>
            <w:r w:rsidRPr="00601CAB">
              <w:rPr>
                <w:rFonts w:ascii="Times New Roman" w:hAnsi="Times New Roman" w:cs="Times New Roman"/>
                <w:b/>
                <w:bCs/>
                <w:sz w:val="22"/>
                <w:szCs w:val="22"/>
              </w:rPr>
              <w:t xml:space="preserve"> uleiurilor </w:t>
            </w:r>
            <w:proofErr w:type="spellStart"/>
            <w:r w:rsidRPr="00601CAB">
              <w:rPr>
                <w:rFonts w:ascii="Times New Roman" w:hAnsi="Times New Roman" w:cs="Times New Roman"/>
                <w:b/>
                <w:bCs/>
                <w:sz w:val="22"/>
                <w:szCs w:val="22"/>
              </w:rPr>
              <w:t>esentiale</w:t>
            </w:r>
            <w:proofErr w:type="spellEnd"/>
            <w:r w:rsidRPr="00601CAB">
              <w:rPr>
                <w:rFonts w:ascii="Times New Roman" w:hAnsi="Times New Roman" w:cs="Times New Roman"/>
                <w:b/>
                <w:bCs/>
                <w:sz w:val="22"/>
                <w:szCs w:val="22"/>
              </w:rPr>
              <w:t xml:space="preserve">, ape distilate si </w:t>
            </w:r>
            <w:proofErr w:type="spellStart"/>
            <w:r w:rsidRPr="00601CAB">
              <w:rPr>
                <w:rFonts w:ascii="Times New Roman" w:hAnsi="Times New Roman" w:cs="Times New Roman"/>
                <w:b/>
                <w:bCs/>
                <w:sz w:val="22"/>
                <w:szCs w:val="22"/>
              </w:rPr>
              <w:t>solutii</w:t>
            </w:r>
            <w:proofErr w:type="spellEnd"/>
            <w:r w:rsidRPr="00601CAB">
              <w:rPr>
                <w:rFonts w:ascii="Times New Roman" w:hAnsi="Times New Roman" w:cs="Times New Roman"/>
                <w:b/>
                <w:bCs/>
                <w:sz w:val="22"/>
                <w:szCs w:val="22"/>
              </w:rPr>
              <w:t xml:space="preserve"> apoase ale uleiurilor </w:t>
            </w:r>
            <w:proofErr w:type="spellStart"/>
            <w:r w:rsidRPr="00601CAB">
              <w:rPr>
                <w:rFonts w:ascii="Times New Roman" w:hAnsi="Times New Roman" w:cs="Times New Roman"/>
                <w:b/>
                <w:bCs/>
                <w:sz w:val="22"/>
                <w:szCs w:val="22"/>
              </w:rPr>
              <w:t>esentiale</w:t>
            </w:r>
            <w:proofErr w:type="spellEnd"/>
            <w:r w:rsidRPr="00601CAB">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1,763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61280" w:rsidRPr="00601CAB" w:rsidRDefault="00561280" w:rsidP="000268AF">
            <w:pPr>
              <w:jc w:val="center"/>
              <w:rPr>
                <w:rFonts w:ascii="Times New Roman" w:hAnsi="Times New Roman" w:cs="Times New Roman"/>
                <w:sz w:val="22"/>
                <w:szCs w:val="22"/>
              </w:rPr>
            </w:pPr>
            <w:r w:rsidRPr="00601CAB">
              <w:rPr>
                <w:rFonts w:ascii="Times New Roman" w:hAnsi="Times New Roman" w:cs="Times New Roman"/>
                <w:sz w:val="22"/>
                <w:szCs w:val="22"/>
              </w:rPr>
              <w:t>2,407</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36,54</w:t>
            </w:r>
          </w:p>
        </w:tc>
        <w:tc>
          <w:tcPr>
            <w:tcW w:w="1432" w:type="dxa"/>
            <w:tcBorders>
              <w:top w:val="single" w:sz="4" w:space="0" w:color="auto"/>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sz w:val="22"/>
                <w:szCs w:val="22"/>
              </w:rPr>
            </w:pPr>
            <w:r w:rsidRPr="00601CAB">
              <w:rPr>
                <w:rFonts w:ascii="Times New Roman" w:hAnsi="Times New Roman" w:cs="Times New Roman"/>
                <w:sz w:val="22"/>
                <w:szCs w:val="22"/>
              </w:rPr>
              <w:t>1,9</w:t>
            </w:r>
          </w:p>
        </w:tc>
      </w:tr>
    </w:tbl>
    <w:p w:rsidR="000066FC" w:rsidRPr="00E673F2" w:rsidRDefault="000066FC" w:rsidP="00AA0A70">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importate</w:t>
      </w:r>
      <w:r w:rsidR="002A08C2">
        <w:rPr>
          <w:rFonts w:ascii="Times New Roman" w:hAnsi="Times New Roman" w:cs="Times New Roman"/>
          <w:b/>
          <w:sz w:val="24"/>
          <w:szCs w:val="24"/>
        </w:rPr>
        <w:t xml:space="preserve"> în anul 2016</w:t>
      </w:r>
      <w:r w:rsidRPr="00E673F2">
        <w:rPr>
          <w:rFonts w:ascii="Times New Roman" w:hAnsi="Times New Roman" w:cs="Times New Roman"/>
          <w:sz w:val="24"/>
          <w:szCs w:val="24"/>
        </w:rPr>
        <w:t xml:space="preserve"> </w:t>
      </w:r>
      <w:r w:rsidRPr="00E673F2">
        <w:rPr>
          <w:rFonts w:ascii="Times New Roman" w:hAnsi="Times New Roman" w:cs="Times New Roman"/>
          <w:b/>
          <w:sz w:val="24"/>
          <w:szCs w:val="24"/>
        </w:rPr>
        <w:t>(</w:t>
      </w:r>
      <w:r w:rsidRPr="00E673F2">
        <w:rPr>
          <w:rFonts w:ascii="Times New Roman" w:hAnsi="Times New Roman" w:cs="Times New Roman"/>
          <w:b/>
          <w:sz w:val="24"/>
          <w:szCs w:val="24"/>
          <w:lang w:eastAsia="ru-RU"/>
        </w:rPr>
        <w:t>mil. USD)</w:t>
      </w:r>
      <w:r w:rsidRPr="00E673F2">
        <w:rPr>
          <w:rFonts w:ascii="Times New Roman" w:hAnsi="Times New Roman" w:cs="Times New Roman"/>
          <w:b/>
          <w:sz w:val="24"/>
          <w:szCs w:val="24"/>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0066FC" w:rsidRPr="00601CAB" w:rsidTr="002546D1">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01CAB" w:rsidRDefault="000066FC" w:rsidP="00FE770A">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601CAB" w:rsidRDefault="000066FC" w:rsidP="00FE770A">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601CAB" w:rsidRDefault="000066FC" w:rsidP="00FE770A">
            <w:pPr>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601CAB" w:rsidRDefault="000066FC" w:rsidP="00FE770A">
            <w:pPr>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601CAB"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Dinamica</w:t>
            </w:r>
          </w:p>
          <w:p w:rsidR="000066FC" w:rsidRPr="00601CAB"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601CAB"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Cota din totalul importurilor</w:t>
            </w:r>
          </w:p>
          <w:p w:rsidR="000066FC" w:rsidRPr="00601CAB"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01CAB">
              <w:rPr>
                <w:rFonts w:ascii="Times New Roman" w:hAnsi="Times New Roman" w:cs="Times New Roman"/>
                <w:b/>
                <w:bCs/>
                <w:sz w:val="22"/>
                <w:szCs w:val="22"/>
                <w:lang w:eastAsia="ru-RU"/>
              </w:rPr>
              <w:t>%</w:t>
            </w:r>
          </w:p>
        </w:tc>
      </w:tr>
      <w:tr w:rsidR="00561280" w:rsidRPr="00601CAB" w:rsidTr="00601CAB">
        <w:trPr>
          <w:trHeight w:val="392"/>
        </w:trPr>
        <w:tc>
          <w:tcPr>
            <w:tcW w:w="847" w:type="dxa"/>
            <w:tcBorders>
              <w:top w:val="single" w:sz="4" w:space="0" w:color="auto"/>
              <w:left w:val="single" w:sz="4" w:space="0" w:color="auto"/>
              <w:bottom w:val="single" w:sz="4" w:space="0" w:color="auto"/>
              <w:right w:val="single" w:sz="4" w:space="0" w:color="auto"/>
            </w:tcBorders>
          </w:tcPr>
          <w:p w:rsidR="00561280" w:rsidRPr="00601CAB" w:rsidRDefault="00561280" w:rsidP="003B30A4">
            <w:pPr>
              <w:spacing w:after="0" w:line="240" w:lineRule="auto"/>
              <w:jc w:val="center"/>
              <w:rPr>
                <w:rFonts w:ascii="Times New Roman" w:hAnsi="Times New Roman" w:cs="Times New Roman"/>
                <w:bCs/>
                <w:color w:val="000000"/>
                <w:sz w:val="22"/>
                <w:szCs w:val="22"/>
                <w:lang w:eastAsia="ro-RO"/>
              </w:rPr>
            </w:pPr>
          </w:p>
        </w:tc>
        <w:tc>
          <w:tcPr>
            <w:tcW w:w="3548" w:type="dxa"/>
            <w:tcBorders>
              <w:top w:val="single" w:sz="4" w:space="0" w:color="auto"/>
              <w:left w:val="nil"/>
              <w:bottom w:val="single" w:sz="4" w:space="0" w:color="auto"/>
              <w:right w:val="single" w:sz="4" w:space="0" w:color="auto"/>
            </w:tcBorders>
            <w:vAlign w:val="center"/>
          </w:tcPr>
          <w:p w:rsidR="00561280" w:rsidRPr="00601CAB" w:rsidRDefault="00561280" w:rsidP="00561280">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561280" w:rsidRPr="00601CAB" w:rsidRDefault="00561280" w:rsidP="00601CAB">
            <w:pPr>
              <w:jc w:val="center"/>
              <w:rPr>
                <w:rFonts w:ascii="Times New Roman" w:hAnsi="Times New Roman" w:cs="Times New Roman"/>
                <w:b/>
                <w:bCs/>
                <w:sz w:val="22"/>
                <w:szCs w:val="22"/>
              </w:rPr>
            </w:pPr>
          </w:p>
          <w:p w:rsidR="00561280" w:rsidRPr="00601CAB" w:rsidRDefault="00561280" w:rsidP="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321,297</w:t>
            </w:r>
          </w:p>
          <w:p w:rsidR="00561280" w:rsidRPr="00601CAB" w:rsidRDefault="00561280" w:rsidP="00601CAB">
            <w:pPr>
              <w:jc w:val="center"/>
              <w:rPr>
                <w:rFonts w:ascii="Times New Roman" w:hAnsi="Times New Roman" w:cs="Times New Roman"/>
                <w:b/>
                <w:bCs/>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561280" w:rsidRPr="00601CAB" w:rsidRDefault="00561280" w:rsidP="00601CAB">
            <w:pPr>
              <w:jc w:val="center"/>
              <w:rPr>
                <w:rFonts w:ascii="Times New Roman" w:hAnsi="Times New Roman" w:cs="Times New Roman"/>
                <w:b/>
                <w:bCs/>
                <w:sz w:val="22"/>
                <w:szCs w:val="22"/>
              </w:rPr>
            </w:pPr>
          </w:p>
          <w:p w:rsidR="00561280" w:rsidRPr="00601CAB" w:rsidRDefault="00561280" w:rsidP="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316,440</w:t>
            </w:r>
          </w:p>
          <w:p w:rsidR="00561280" w:rsidRPr="00601CAB" w:rsidRDefault="00561280" w:rsidP="00601CAB">
            <w:pPr>
              <w:jc w:val="center"/>
              <w:rPr>
                <w:rFonts w:ascii="Times New Roman" w:hAnsi="Times New Roman" w:cs="Times New Roman"/>
                <w:b/>
                <w:bCs/>
                <w:sz w:val="22"/>
                <w:szCs w:val="22"/>
              </w:rPr>
            </w:pPr>
          </w:p>
        </w:tc>
        <w:tc>
          <w:tcPr>
            <w:tcW w:w="1276" w:type="dxa"/>
            <w:tcBorders>
              <w:top w:val="nil"/>
              <w:left w:val="nil"/>
              <w:bottom w:val="single" w:sz="4" w:space="0" w:color="auto"/>
              <w:right w:val="single" w:sz="4" w:space="0" w:color="auto"/>
            </w:tcBorders>
            <w:shd w:val="clear" w:color="auto" w:fill="auto"/>
            <w:vAlign w:val="center"/>
          </w:tcPr>
          <w:p w:rsidR="00561280" w:rsidRPr="00601CAB" w:rsidRDefault="00561280" w:rsidP="00561280">
            <w:pPr>
              <w:jc w:val="center"/>
              <w:rPr>
                <w:rFonts w:ascii="Times New Roman" w:hAnsi="Times New Roman" w:cs="Times New Roman"/>
                <w:b/>
                <w:bCs/>
                <w:sz w:val="22"/>
                <w:szCs w:val="22"/>
              </w:rPr>
            </w:pPr>
            <w:r w:rsidRPr="00601CAB">
              <w:rPr>
                <w:rFonts w:ascii="Times New Roman" w:hAnsi="Times New Roman" w:cs="Times New Roman"/>
                <w:b/>
                <w:bCs/>
                <w:sz w:val="22"/>
                <w:szCs w:val="22"/>
              </w:rPr>
              <w:t>-1,512</w:t>
            </w:r>
          </w:p>
        </w:tc>
        <w:tc>
          <w:tcPr>
            <w:tcW w:w="1418" w:type="dxa"/>
            <w:tcBorders>
              <w:top w:val="single" w:sz="4" w:space="0" w:color="auto"/>
              <w:left w:val="single" w:sz="4" w:space="0" w:color="auto"/>
              <w:bottom w:val="single" w:sz="4" w:space="0" w:color="auto"/>
              <w:right w:val="single" w:sz="4" w:space="0" w:color="auto"/>
            </w:tcBorders>
            <w:vAlign w:val="center"/>
          </w:tcPr>
          <w:p w:rsidR="00561280" w:rsidRPr="00601CAB" w:rsidRDefault="00561280" w:rsidP="003B30A4">
            <w:pPr>
              <w:spacing w:after="0" w:line="240" w:lineRule="auto"/>
              <w:jc w:val="center"/>
              <w:rPr>
                <w:rFonts w:ascii="Times New Roman" w:hAnsi="Times New Roman" w:cs="Times New Roman"/>
                <w:b/>
                <w:bCs/>
                <w:color w:val="000000"/>
                <w:sz w:val="22"/>
                <w:szCs w:val="22"/>
                <w:lang w:eastAsia="ro-RO"/>
              </w:rPr>
            </w:pPr>
            <w:r w:rsidRPr="00601CAB">
              <w:rPr>
                <w:rFonts w:ascii="Times New Roman" w:hAnsi="Times New Roman" w:cs="Times New Roman"/>
                <w:b/>
                <w:bCs/>
                <w:color w:val="000000"/>
                <w:sz w:val="22"/>
                <w:szCs w:val="22"/>
                <w:lang w:eastAsia="ro-RO"/>
              </w:rPr>
              <w:t>100</w:t>
            </w:r>
          </w:p>
        </w:tc>
      </w:tr>
      <w:tr w:rsidR="00601CAB" w:rsidRPr="00601CAB" w:rsidTr="00601CAB">
        <w:trPr>
          <w:trHeight w:val="200"/>
        </w:trPr>
        <w:tc>
          <w:tcPr>
            <w:tcW w:w="847" w:type="dxa"/>
            <w:tcBorders>
              <w:top w:val="nil"/>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8703</w:t>
            </w:r>
          </w:p>
        </w:tc>
        <w:tc>
          <w:tcPr>
            <w:tcW w:w="3548" w:type="dxa"/>
            <w:tcBorders>
              <w:top w:val="nil"/>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Autoturisme si alte autovehicule, proiectate in principal pentru transportul persoanelor (altele </w:t>
            </w:r>
            <w:proofErr w:type="spellStart"/>
            <w:r w:rsidRPr="00601CAB">
              <w:rPr>
                <w:rFonts w:ascii="Times New Roman" w:hAnsi="Times New Roman" w:cs="Times New Roman"/>
                <w:b/>
                <w:bCs/>
                <w:sz w:val="22"/>
                <w:szCs w:val="22"/>
              </w:rPr>
              <w:t>decit</w:t>
            </w:r>
            <w:proofErr w:type="spellEnd"/>
            <w:r w:rsidRPr="00601CAB">
              <w:rPr>
                <w:rFonts w:ascii="Times New Roman" w:hAnsi="Times New Roman" w:cs="Times New Roman"/>
                <w:b/>
                <w:bCs/>
                <w:sz w:val="22"/>
                <w:szCs w:val="22"/>
              </w:rPr>
              <w:t xml:space="preserve"> cele de la </w:t>
            </w:r>
            <w:proofErr w:type="spellStart"/>
            <w:r w:rsidRPr="00601CAB">
              <w:rPr>
                <w:rFonts w:ascii="Times New Roman" w:hAnsi="Times New Roman" w:cs="Times New Roman"/>
                <w:b/>
                <w:bCs/>
                <w:sz w:val="22"/>
                <w:szCs w:val="22"/>
              </w:rPr>
              <w:t>pozitia</w:t>
            </w:r>
            <w:proofErr w:type="spellEnd"/>
            <w:r w:rsidRPr="00601CAB">
              <w:rPr>
                <w:rFonts w:ascii="Times New Roman" w:hAnsi="Times New Roman" w:cs="Times New Roman"/>
                <w:b/>
                <w:bCs/>
                <w:sz w:val="22"/>
                <w:szCs w:val="22"/>
              </w:rPr>
              <w:t xml:space="preserve"> 8702), inclusiv </w:t>
            </w:r>
            <w:proofErr w:type="spellStart"/>
            <w:r w:rsidRPr="00601CAB">
              <w:rPr>
                <w:rFonts w:ascii="Times New Roman" w:hAnsi="Times New Roman" w:cs="Times New Roman"/>
                <w:b/>
                <w:bCs/>
                <w:sz w:val="22"/>
                <w:szCs w:val="22"/>
              </w:rPr>
              <w:t>masinile</w:t>
            </w:r>
            <w:proofErr w:type="spellEnd"/>
            <w:r w:rsidRPr="00601CAB">
              <w:rPr>
                <w:rFonts w:ascii="Times New Roman" w:hAnsi="Times New Roman" w:cs="Times New Roman"/>
                <w:b/>
                <w:bCs/>
                <w:sz w:val="22"/>
                <w:szCs w:val="22"/>
              </w:rPr>
              <w:t xml:space="preserve"> de tip „break” si </w:t>
            </w:r>
            <w:proofErr w:type="spellStart"/>
            <w:r w:rsidRPr="00601CAB">
              <w:rPr>
                <w:rFonts w:ascii="Times New Roman" w:hAnsi="Times New Roman" w:cs="Times New Roman"/>
                <w:b/>
                <w:bCs/>
                <w:sz w:val="22"/>
                <w:szCs w:val="22"/>
              </w:rPr>
              <w:t>masinile</w:t>
            </w:r>
            <w:proofErr w:type="spellEnd"/>
            <w:r w:rsidRPr="00601CAB">
              <w:rPr>
                <w:rFonts w:ascii="Times New Roman" w:hAnsi="Times New Roman" w:cs="Times New Roman"/>
                <w:b/>
                <w:bCs/>
                <w:sz w:val="22"/>
                <w:szCs w:val="22"/>
              </w:rPr>
              <w:t xml:space="preserve"> de curse</w:t>
            </w:r>
          </w:p>
        </w:tc>
        <w:tc>
          <w:tcPr>
            <w:tcW w:w="1418"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31,186</w:t>
            </w:r>
          </w:p>
        </w:tc>
        <w:tc>
          <w:tcPr>
            <w:tcW w:w="1275"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26,580</w:t>
            </w:r>
          </w:p>
        </w:tc>
        <w:tc>
          <w:tcPr>
            <w:tcW w:w="1276" w:type="dxa"/>
            <w:tcBorders>
              <w:top w:val="nil"/>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-14,7</w:t>
            </w:r>
          </w:p>
        </w:tc>
        <w:tc>
          <w:tcPr>
            <w:tcW w:w="1418" w:type="dxa"/>
            <w:tcBorders>
              <w:top w:val="nil"/>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8,39</w:t>
            </w:r>
          </w:p>
        </w:tc>
      </w:tr>
      <w:tr w:rsidR="00601CAB" w:rsidRPr="00601CAB" w:rsidTr="00601CAB">
        <w:trPr>
          <w:trHeight w:val="470"/>
        </w:trPr>
        <w:tc>
          <w:tcPr>
            <w:tcW w:w="847" w:type="dxa"/>
            <w:tcBorders>
              <w:top w:val="nil"/>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3004</w:t>
            </w:r>
          </w:p>
        </w:tc>
        <w:tc>
          <w:tcPr>
            <w:tcW w:w="3548" w:type="dxa"/>
            <w:tcBorders>
              <w:top w:val="nil"/>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Medicamente (cu </w:t>
            </w:r>
            <w:proofErr w:type="spellStart"/>
            <w:r w:rsidRPr="00601CAB">
              <w:rPr>
                <w:rFonts w:ascii="Times New Roman" w:hAnsi="Times New Roman" w:cs="Times New Roman"/>
                <w:b/>
                <w:bCs/>
                <w:sz w:val="22"/>
                <w:szCs w:val="22"/>
              </w:rPr>
              <w:t>exceptia</w:t>
            </w:r>
            <w:proofErr w:type="spellEnd"/>
            <w:r w:rsidRPr="00601CAB">
              <w:rPr>
                <w:rFonts w:ascii="Times New Roman" w:hAnsi="Times New Roman" w:cs="Times New Roman"/>
                <w:b/>
                <w:bCs/>
                <w:sz w:val="22"/>
                <w:szCs w:val="22"/>
              </w:rPr>
              <w:t xml:space="preserve"> produselor de la </w:t>
            </w:r>
            <w:proofErr w:type="spellStart"/>
            <w:r w:rsidRPr="00601CAB">
              <w:rPr>
                <w:rFonts w:ascii="Times New Roman" w:hAnsi="Times New Roman" w:cs="Times New Roman"/>
                <w:b/>
                <w:bCs/>
                <w:sz w:val="22"/>
                <w:szCs w:val="22"/>
              </w:rPr>
              <w:t>pozitiile</w:t>
            </w:r>
            <w:proofErr w:type="spellEnd"/>
            <w:r w:rsidRPr="00601CAB">
              <w:rPr>
                <w:rFonts w:ascii="Times New Roman" w:hAnsi="Times New Roman" w:cs="Times New Roman"/>
                <w:b/>
                <w:bCs/>
                <w:sz w:val="22"/>
                <w:szCs w:val="22"/>
              </w:rPr>
              <w:t xml:space="preserve"> 3002, 3005 sau 3006) constituite din produse amestecate sau neamestecate, preparate in scopuri terapeutice sau profilactice, prezentate sub forma de doze (inclusiv cele prezentate in forma de sistem terapeutic </w:t>
            </w:r>
            <w:proofErr w:type="spellStart"/>
            <w:r w:rsidRPr="00601CAB">
              <w:rPr>
                <w:rFonts w:ascii="Times New Roman" w:hAnsi="Times New Roman" w:cs="Times New Roman"/>
                <w:b/>
                <w:bCs/>
                <w:sz w:val="22"/>
                <w:szCs w:val="22"/>
              </w:rPr>
              <w:t>transdermic</w:t>
            </w:r>
            <w:proofErr w:type="spellEnd"/>
            <w:r w:rsidRPr="00601CAB">
              <w:rPr>
                <w:rFonts w:ascii="Times New Roman" w:hAnsi="Times New Roman" w:cs="Times New Roman"/>
                <w:b/>
                <w:bCs/>
                <w:sz w:val="22"/>
                <w:szCs w:val="22"/>
              </w:rPr>
              <w:t xml:space="preserve">) sau </w:t>
            </w:r>
            <w:proofErr w:type="spellStart"/>
            <w:r w:rsidRPr="00601CAB">
              <w:rPr>
                <w:rFonts w:ascii="Times New Roman" w:hAnsi="Times New Roman" w:cs="Times New Roman"/>
                <w:b/>
                <w:bCs/>
                <w:sz w:val="22"/>
                <w:szCs w:val="22"/>
              </w:rPr>
              <w:t>conditionate</w:t>
            </w:r>
            <w:proofErr w:type="spellEnd"/>
            <w:r w:rsidRPr="00601CAB">
              <w:rPr>
                <w:rFonts w:ascii="Times New Roman" w:hAnsi="Times New Roman" w:cs="Times New Roman"/>
                <w:b/>
                <w:bCs/>
                <w:sz w:val="22"/>
                <w:szCs w:val="22"/>
              </w:rPr>
              <w:t xml:space="preserve"> pentru </w:t>
            </w:r>
            <w:proofErr w:type="spellStart"/>
            <w:r w:rsidRPr="00601CAB">
              <w:rPr>
                <w:rFonts w:ascii="Times New Roman" w:hAnsi="Times New Roman" w:cs="Times New Roman"/>
                <w:b/>
                <w:bCs/>
                <w:sz w:val="22"/>
                <w:szCs w:val="22"/>
              </w:rPr>
              <w:t>vinzarea</w:t>
            </w:r>
            <w:proofErr w:type="spellEnd"/>
            <w:r w:rsidRPr="00601CAB">
              <w:rPr>
                <w:rFonts w:ascii="Times New Roman" w:hAnsi="Times New Roman" w:cs="Times New Roman"/>
                <w:b/>
                <w:bCs/>
                <w:sz w:val="22"/>
                <w:szCs w:val="22"/>
              </w:rPr>
              <w:t xml:space="preserve"> cu </w:t>
            </w:r>
            <w:proofErr w:type="spellStart"/>
            <w:r w:rsidRPr="00601CAB">
              <w:rPr>
                <w:rFonts w:ascii="Times New Roman" w:hAnsi="Times New Roman" w:cs="Times New Roman"/>
                <w:b/>
                <w:bCs/>
                <w:sz w:val="22"/>
                <w:szCs w:val="22"/>
              </w:rPr>
              <w:t>amanuntul</w:t>
            </w:r>
            <w:proofErr w:type="spellEnd"/>
            <w:r w:rsidRPr="00601CAB">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17,442</w:t>
            </w:r>
          </w:p>
        </w:tc>
        <w:tc>
          <w:tcPr>
            <w:tcW w:w="1275"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16,950</w:t>
            </w:r>
          </w:p>
        </w:tc>
        <w:tc>
          <w:tcPr>
            <w:tcW w:w="1276" w:type="dxa"/>
            <w:tcBorders>
              <w:top w:val="nil"/>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-2,82</w:t>
            </w:r>
          </w:p>
        </w:tc>
        <w:tc>
          <w:tcPr>
            <w:tcW w:w="1418" w:type="dxa"/>
            <w:tcBorders>
              <w:top w:val="nil"/>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5,35</w:t>
            </w:r>
          </w:p>
        </w:tc>
      </w:tr>
      <w:tr w:rsidR="00601CAB" w:rsidRPr="00601CAB" w:rsidTr="00601CAB">
        <w:trPr>
          <w:trHeight w:val="302"/>
        </w:trPr>
        <w:tc>
          <w:tcPr>
            <w:tcW w:w="847" w:type="dxa"/>
            <w:tcBorders>
              <w:top w:val="nil"/>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3808</w:t>
            </w:r>
          </w:p>
        </w:tc>
        <w:tc>
          <w:tcPr>
            <w:tcW w:w="3548" w:type="dxa"/>
            <w:tcBorders>
              <w:top w:val="nil"/>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Insecticide, rodenticide, fungicide, erbicide, inhibitori de germinare si regulatori de </w:t>
            </w:r>
            <w:proofErr w:type="spellStart"/>
            <w:r w:rsidRPr="00601CAB">
              <w:rPr>
                <w:rFonts w:ascii="Times New Roman" w:hAnsi="Times New Roman" w:cs="Times New Roman"/>
                <w:b/>
                <w:bCs/>
                <w:sz w:val="22"/>
                <w:szCs w:val="22"/>
              </w:rPr>
              <w:t>crestere</w:t>
            </w:r>
            <w:proofErr w:type="spellEnd"/>
            <w:r w:rsidRPr="00601CAB">
              <w:rPr>
                <w:rFonts w:ascii="Times New Roman" w:hAnsi="Times New Roman" w:cs="Times New Roman"/>
                <w:b/>
                <w:bCs/>
                <w:sz w:val="22"/>
                <w:szCs w:val="22"/>
              </w:rPr>
              <w:t xml:space="preserve"> pentru </w:t>
            </w:r>
            <w:r w:rsidRPr="00601CAB">
              <w:rPr>
                <w:rFonts w:ascii="Times New Roman" w:hAnsi="Times New Roman" w:cs="Times New Roman"/>
                <w:b/>
                <w:bCs/>
                <w:sz w:val="22"/>
                <w:szCs w:val="22"/>
              </w:rPr>
              <w:lastRenderedPageBreak/>
              <w:t xml:space="preserve">plante, </w:t>
            </w:r>
            <w:proofErr w:type="spellStart"/>
            <w:r w:rsidRPr="00601CAB">
              <w:rPr>
                <w:rFonts w:ascii="Times New Roman" w:hAnsi="Times New Roman" w:cs="Times New Roman"/>
                <w:b/>
                <w:bCs/>
                <w:sz w:val="22"/>
                <w:szCs w:val="22"/>
              </w:rPr>
              <w:t>dezinfectanti</w:t>
            </w:r>
            <w:proofErr w:type="spellEnd"/>
            <w:r w:rsidRPr="00601CAB">
              <w:rPr>
                <w:rFonts w:ascii="Times New Roman" w:hAnsi="Times New Roman" w:cs="Times New Roman"/>
                <w:b/>
                <w:bCs/>
                <w:sz w:val="22"/>
                <w:szCs w:val="22"/>
              </w:rPr>
              <w:t xml:space="preserve"> si produse similare, prezentate in forme sau ambalaje pentru </w:t>
            </w:r>
            <w:proofErr w:type="spellStart"/>
            <w:r w:rsidRPr="00601CAB">
              <w:rPr>
                <w:rFonts w:ascii="Times New Roman" w:hAnsi="Times New Roman" w:cs="Times New Roman"/>
                <w:b/>
                <w:bCs/>
                <w:sz w:val="22"/>
                <w:szCs w:val="22"/>
              </w:rPr>
              <w:t>vinzarea</w:t>
            </w:r>
            <w:proofErr w:type="spellEnd"/>
            <w:r w:rsidRPr="00601CAB">
              <w:rPr>
                <w:rFonts w:ascii="Times New Roman" w:hAnsi="Times New Roman" w:cs="Times New Roman"/>
                <w:b/>
                <w:bCs/>
                <w:sz w:val="22"/>
                <w:szCs w:val="22"/>
              </w:rPr>
              <w:t xml:space="preserve"> cu </w:t>
            </w:r>
            <w:proofErr w:type="spellStart"/>
            <w:r w:rsidRPr="00601CAB">
              <w:rPr>
                <w:rFonts w:ascii="Times New Roman" w:hAnsi="Times New Roman" w:cs="Times New Roman"/>
                <w:b/>
                <w:bCs/>
                <w:sz w:val="22"/>
                <w:szCs w:val="22"/>
              </w:rPr>
              <w:t>amanuntul</w:t>
            </w:r>
            <w:proofErr w:type="spellEnd"/>
            <w:r w:rsidRPr="00601CAB">
              <w:rPr>
                <w:rFonts w:ascii="Times New Roman" w:hAnsi="Times New Roman" w:cs="Times New Roman"/>
                <w:b/>
                <w:bCs/>
                <w:sz w:val="22"/>
                <w:szCs w:val="22"/>
              </w:rPr>
              <w:t xml:space="preserve"> sau ca preparate sau ca articole (de exemplu, panglici, mese si </w:t>
            </w:r>
            <w:proofErr w:type="spellStart"/>
            <w:r w:rsidRPr="00601CAB">
              <w:rPr>
                <w:rFonts w:ascii="Times New Roman" w:hAnsi="Times New Roman" w:cs="Times New Roman"/>
                <w:b/>
                <w:bCs/>
                <w:sz w:val="22"/>
                <w:szCs w:val="22"/>
              </w:rPr>
              <w:t>luminari</w:t>
            </w:r>
            <w:proofErr w:type="spellEnd"/>
            <w:r w:rsidRPr="00601CAB">
              <w:rPr>
                <w:rFonts w:ascii="Times New Roman" w:hAnsi="Times New Roman" w:cs="Times New Roman"/>
                <w:b/>
                <w:bCs/>
                <w:sz w:val="22"/>
                <w:szCs w:val="22"/>
              </w:rPr>
              <w:t xml:space="preserve"> cu sulf si </w:t>
            </w:r>
            <w:proofErr w:type="spellStart"/>
            <w:r w:rsidRPr="00601CAB">
              <w:rPr>
                <w:rFonts w:ascii="Times New Roman" w:hAnsi="Times New Roman" w:cs="Times New Roman"/>
                <w:b/>
                <w:bCs/>
                <w:sz w:val="22"/>
                <w:szCs w:val="22"/>
              </w:rPr>
              <w:t>hirtie</w:t>
            </w:r>
            <w:proofErr w:type="spellEnd"/>
            <w:r w:rsidRPr="00601CAB">
              <w:rPr>
                <w:rFonts w:ascii="Times New Roman" w:hAnsi="Times New Roman" w:cs="Times New Roman"/>
                <w:b/>
                <w:bCs/>
                <w:sz w:val="22"/>
                <w:szCs w:val="22"/>
              </w:rPr>
              <w:t xml:space="preserve"> speciala contra </w:t>
            </w:r>
            <w:proofErr w:type="spellStart"/>
            <w:r w:rsidRPr="00601CAB">
              <w:rPr>
                <w:rFonts w:ascii="Times New Roman" w:hAnsi="Times New Roman" w:cs="Times New Roman"/>
                <w:b/>
                <w:bCs/>
                <w:sz w:val="22"/>
                <w:szCs w:val="22"/>
              </w:rPr>
              <w:t>mustelor</w:t>
            </w:r>
            <w:proofErr w:type="spellEnd"/>
            <w:r w:rsidRPr="00601CAB">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lastRenderedPageBreak/>
              <w:t>13,130</w:t>
            </w:r>
          </w:p>
        </w:tc>
        <w:tc>
          <w:tcPr>
            <w:tcW w:w="1275"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13,839</w:t>
            </w:r>
          </w:p>
        </w:tc>
        <w:tc>
          <w:tcPr>
            <w:tcW w:w="1276" w:type="dxa"/>
            <w:tcBorders>
              <w:top w:val="nil"/>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5,39</w:t>
            </w:r>
          </w:p>
        </w:tc>
        <w:tc>
          <w:tcPr>
            <w:tcW w:w="1418" w:type="dxa"/>
            <w:tcBorders>
              <w:top w:val="nil"/>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4,37</w:t>
            </w:r>
          </w:p>
        </w:tc>
      </w:tr>
      <w:tr w:rsidR="00601CAB" w:rsidRPr="00601CAB" w:rsidTr="00601CAB">
        <w:trPr>
          <w:trHeight w:val="279"/>
        </w:trPr>
        <w:tc>
          <w:tcPr>
            <w:tcW w:w="847" w:type="dxa"/>
            <w:tcBorders>
              <w:top w:val="nil"/>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lastRenderedPageBreak/>
              <w:t>8536</w:t>
            </w:r>
          </w:p>
        </w:tc>
        <w:tc>
          <w:tcPr>
            <w:tcW w:w="3548" w:type="dxa"/>
            <w:tcBorders>
              <w:top w:val="nil"/>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Aparatura pentru comutarea, </w:t>
            </w:r>
            <w:proofErr w:type="spellStart"/>
            <w:r w:rsidRPr="00601CAB">
              <w:rPr>
                <w:rFonts w:ascii="Times New Roman" w:hAnsi="Times New Roman" w:cs="Times New Roman"/>
                <w:b/>
                <w:bCs/>
                <w:sz w:val="22"/>
                <w:szCs w:val="22"/>
              </w:rPr>
              <w:t>taierea</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protectia</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bransarea</w:t>
            </w:r>
            <w:proofErr w:type="spellEnd"/>
            <w:r w:rsidRPr="00601CAB">
              <w:rPr>
                <w:rFonts w:ascii="Times New Roman" w:hAnsi="Times New Roman" w:cs="Times New Roman"/>
                <w:b/>
                <w:bCs/>
                <w:sz w:val="22"/>
                <w:szCs w:val="22"/>
              </w:rPr>
              <w:t xml:space="preserve">, racordarea sau conectarea circuitelor electrice (de exemplu </w:t>
            </w:r>
            <w:proofErr w:type="spellStart"/>
            <w:r w:rsidRPr="00601CAB">
              <w:rPr>
                <w:rFonts w:ascii="Times New Roman" w:hAnsi="Times New Roman" w:cs="Times New Roman"/>
                <w:b/>
                <w:bCs/>
                <w:sz w:val="22"/>
                <w:szCs w:val="22"/>
              </w:rPr>
              <w:t>intrerupatoare</w:t>
            </w:r>
            <w:proofErr w:type="spellEnd"/>
            <w:r w:rsidRPr="00601CAB">
              <w:rPr>
                <w:rFonts w:ascii="Times New Roman" w:hAnsi="Times New Roman" w:cs="Times New Roman"/>
                <w:b/>
                <w:bCs/>
                <w:sz w:val="22"/>
                <w:szCs w:val="22"/>
              </w:rPr>
              <w:t xml:space="preserve">, comutatoare, relee, </w:t>
            </w:r>
            <w:proofErr w:type="spellStart"/>
            <w:r w:rsidRPr="00601CAB">
              <w:rPr>
                <w:rFonts w:ascii="Times New Roman" w:hAnsi="Times New Roman" w:cs="Times New Roman"/>
                <w:b/>
                <w:bCs/>
                <w:sz w:val="22"/>
                <w:szCs w:val="22"/>
              </w:rPr>
              <w:t>sigurante</w:t>
            </w:r>
            <w:proofErr w:type="spellEnd"/>
            <w:r w:rsidRPr="00601CAB">
              <w:rPr>
                <w:rFonts w:ascii="Times New Roman" w:hAnsi="Times New Roman" w:cs="Times New Roman"/>
                <w:b/>
                <w:bCs/>
                <w:sz w:val="22"/>
                <w:szCs w:val="22"/>
              </w:rPr>
              <w:t xml:space="preserve">, regulatoare de unda, fise, prize de curent, dulii pentru </w:t>
            </w:r>
            <w:proofErr w:type="spellStart"/>
            <w:r w:rsidRPr="00601CAB">
              <w:rPr>
                <w:rFonts w:ascii="Times New Roman" w:hAnsi="Times New Roman" w:cs="Times New Roman"/>
                <w:b/>
                <w:bCs/>
                <w:sz w:val="22"/>
                <w:szCs w:val="22"/>
              </w:rPr>
              <w:t>lampi</w:t>
            </w:r>
            <w:proofErr w:type="spellEnd"/>
            <w:r w:rsidRPr="00601CAB">
              <w:rPr>
                <w:rFonts w:ascii="Times New Roman" w:hAnsi="Times New Roman" w:cs="Times New Roman"/>
                <w:b/>
                <w:bCs/>
                <w:sz w:val="22"/>
                <w:szCs w:val="22"/>
              </w:rPr>
              <w:t xml:space="preserve"> si </w:t>
            </w:r>
            <w:proofErr w:type="spellStart"/>
            <w:r w:rsidRPr="00601CAB">
              <w:rPr>
                <w:rFonts w:ascii="Times New Roman" w:hAnsi="Times New Roman" w:cs="Times New Roman"/>
                <w:b/>
                <w:bCs/>
                <w:sz w:val="22"/>
                <w:szCs w:val="22"/>
              </w:rPr>
              <w:t>alti</w:t>
            </w:r>
            <w:proofErr w:type="spellEnd"/>
            <w:r w:rsidRPr="00601CAB">
              <w:rPr>
                <w:rFonts w:ascii="Times New Roman" w:hAnsi="Times New Roman" w:cs="Times New Roman"/>
                <w:b/>
                <w:bCs/>
                <w:sz w:val="22"/>
                <w:szCs w:val="22"/>
              </w:rPr>
              <w:t xml:space="preserve"> conectori, cutii de </w:t>
            </w:r>
            <w:proofErr w:type="spellStart"/>
            <w:r w:rsidRPr="00601CAB">
              <w:rPr>
                <w:rFonts w:ascii="Times New Roman" w:hAnsi="Times New Roman" w:cs="Times New Roman"/>
                <w:b/>
                <w:bCs/>
                <w:sz w:val="22"/>
                <w:szCs w:val="22"/>
              </w:rPr>
              <w:t>jonctiune</w:t>
            </w:r>
            <w:proofErr w:type="spellEnd"/>
            <w:r w:rsidRPr="00601CAB">
              <w:rPr>
                <w:rFonts w:ascii="Times New Roman" w:hAnsi="Times New Roman" w:cs="Times New Roman"/>
                <w:b/>
                <w:bCs/>
                <w:sz w:val="22"/>
                <w:szCs w:val="22"/>
              </w:rPr>
              <w:t xml:space="preserve">), pentru o tensiune de maximum 1000 </w:t>
            </w:r>
            <w:proofErr w:type="spellStart"/>
            <w:r w:rsidRPr="00601CAB">
              <w:rPr>
                <w:rFonts w:ascii="Times New Roman" w:hAnsi="Times New Roman" w:cs="Times New Roman"/>
                <w:b/>
                <w:bCs/>
                <w:sz w:val="22"/>
                <w:szCs w:val="22"/>
              </w:rPr>
              <w:t>volti</w:t>
            </w:r>
            <w:proofErr w:type="spellEnd"/>
            <w:r w:rsidRPr="00601CAB">
              <w:rPr>
                <w:rFonts w:ascii="Times New Roman" w:hAnsi="Times New Roman" w:cs="Times New Roman"/>
                <w:b/>
                <w:bCs/>
                <w:sz w:val="22"/>
                <w:szCs w:val="22"/>
              </w:rPr>
              <w:t>; conectori pentru fibre optice, fascicole sau cabluri de fibre optice:</w:t>
            </w:r>
          </w:p>
        </w:tc>
        <w:tc>
          <w:tcPr>
            <w:tcW w:w="1418"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15,597</w:t>
            </w:r>
          </w:p>
        </w:tc>
        <w:tc>
          <w:tcPr>
            <w:tcW w:w="1275" w:type="dxa"/>
            <w:tcBorders>
              <w:top w:val="nil"/>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13,206</w:t>
            </w:r>
          </w:p>
        </w:tc>
        <w:tc>
          <w:tcPr>
            <w:tcW w:w="1276" w:type="dxa"/>
            <w:tcBorders>
              <w:top w:val="nil"/>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-15,32</w:t>
            </w:r>
          </w:p>
        </w:tc>
        <w:tc>
          <w:tcPr>
            <w:tcW w:w="1418" w:type="dxa"/>
            <w:tcBorders>
              <w:top w:val="nil"/>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4,17</w:t>
            </w:r>
          </w:p>
        </w:tc>
      </w:tr>
      <w:tr w:rsidR="00601CAB" w:rsidRPr="00601CAB" w:rsidTr="00601CAB">
        <w:trPr>
          <w:trHeight w:val="137"/>
        </w:trPr>
        <w:tc>
          <w:tcPr>
            <w:tcW w:w="847" w:type="dxa"/>
            <w:tcBorders>
              <w:top w:val="single" w:sz="4" w:space="0" w:color="auto"/>
              <w:left w:val="single" w:sz="4" w:space="0" w:color="auto"/>
              <w:bottom w:val="single" w:sz="4" w:space="0" w:color="auto"/>
              <w:right w:val="single" w:sz="4" w:space="0" w:color="auto"/>
            </w:tcBorders>
          </w:tcPr>
          <w:p w:rsidR="00601CAB" w:rsidRPr="00601CAB" w:rsidRDefault="00601CAB" w:rsidP="000F783A">
            <w:pPr>
              <w:jc w:val="center"/>
              <w:rPr>
                <w:rFonts w:ascii="Times New Roman" w:hAnsi="Times New Roman" w:cs="Times New Roman"/>
                <w:b/>
                <w:bCs/>
                <w:sz w:val="22"/>
                <w:szCs w:val="22"/>
              </w:rPr>
            </w:pPr>
            <w:r w:rsidRPr="00601CAB">
              <w:rPr>
                <w:rFonts w:ascii="Times New Roman" w:hAnsi="Times New Roman" w:cs="Times New Roman"/>
                <w:b/>
                <w:bCs/>
                <w:sz w:val="22"/>
                <w:szCs w:val="22"/>
              </w:rPr>
              <w:t>8701</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rsidP="000F783A">
            <w:pPr>
              <w:rPr>
                <w:rFonts w:ascii="Times New Roman" w:hAnsi="Times New Roman" w:cs="Times New Roman"/>
                <w:b/>
                <w:bCs/>
                <w:sz w:val="22"/>
                <w:szCs w:val="22"/>
              </w:rPr>
            </w:pPr>
            <w:r w:rsidRPr="00601CAB">
              <w:rPr>
                <w:rFonts w:ascii="Times New Roman" w:hAnsi="Times New Roman" w:cs="Times New Roman"/>
                <w:b/>
                <w:bCs/>
                <w:sz w:val="22"/>
                <w:szCs w:val="22"/>
              </w:rPr>
              <w:t xml:space="preserve">Tractoare (cu </w:t>
            </w:r>
            <w:proofErr w:type="spellStart"/>
            <w:r w:rsidRPr="00601CAB">
              <w:rPr>
                <w:rFonts w:ascii="Times New Roman" w:hAnsi="Times New Roman" w:cs="Times New Roman"/>
                <w:b/>
                <w:bCs/>
                <w:sz w:val="22"/>
                <w:szCs w:val="22"/>
              </w:rPr>
              <w:t>exceptia</w:t>
            </w:r>
            <w:proofErr w:type="spellEnd"/>
            <w:r w:rsidRPr="00601CAB">
              <w:rPr>
                <w:rFonts w:ascii="Times New Roman" w:hAnsi="Times New Roman" w:cs="Times New Roman"/>
                <w:b/>
                <w:bCs/>
                <w:sz w:val="22"/>
                <w:szCs w:val="22"/>
              </w:rPr>
              <w:t xml:space="preserve"> </w:t>
            </w:r>
            <w:proofErr w:type="spellStart"/>
            <w:r w:rsidRPr="00601CAB">
              <w:rPr>
                <w:rFonts w:ascii="Times New Roman" w:hAnsi="Times New Roman" w:cs="Times New Roman"/>
                <w:b/>
                <w:bCs/>
                <w:sz w:val="22"/>
                <w:szCs w:val="22"/>
              </w:rPr>
              <w:t>carucioarelor-tractoare</w:t>
            </w:r>
            <w:proofErr w:type="spellEnd"/>
            <w:r w:rsidRPr="00601CAB">
              <w:rPr>
                <w:rFonts w:ascii="Times New Roman" w:hAnsi="Times New Roman" w:cs="Times New Roman"/>
                <w:b/>
                <w:bCs/>
                <w:sz w:val="22"/>
                <w:szCs w:val="22"/>
              </w:rPr>
              <w:t xml:space="preserve"> de la </w:t>
            </w:r>
            <w:proofErr w:type="spellStart"/>
            <w:r w:rsidRPr="00601CAB">
              <w:rPr>
                <w:rFonts w:ascii="Times New Roman" w:hAnsi="Times New Roman" w:cs="Times New Roman"/>
                <w:b/>
                <w:bCs/>
                <w:sz w:val="22"/>
                <w:szCs w:val="22"/>
              </w:rPr>
              <w:t>pozitia</w:t>
            </w:r>
            <w:proofErr w:type="spellEnd"/>
            <w:r w:rsidRPr="00601CAB">
              <w:rPr>
                <w:rFonts w:ascii="Times New Roman" w:hAnsi="Times New Roman" w:cs="Times New Roman"/>
                <w:b/>
                <w:bCs/>
                <w:sz w:val="22"/>
                <w:szCs w:val="22"/>
              </w:rPr>
              <w:t xml:space="preserve"> 8709):</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5,582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8,400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50,48</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2,65</w:t>
            </w:r>
          </w:p>
        </w:tc>
      </w:tr>
      <w:tr w:rsidR="00601CAB" w:rsidRPr="00601CAB" w:rsidTr="00601CAB">
        <w:trPr>
          <w:trHeight w:val="137"/>
        </w:trPr>
        <w:tc>
          <w:tcPr>
            <w:tcW w:w="847" w:type="dxa"/>
            <w:tcBorders>
              <w:top w:val="single" w:sz="4" w:space="0" w:color="auto"/>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8547</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Piese izolante, in </w:t>
            </w:r>
            <w:proofErr w:type="spellStart"/>
            <w:r w:rsidRPr="00601CAB">
              <w:rPr>
                <w:rFonts w:ascii="Times New Roman" w:hAnsi="Times New Roman" w:cs="Times New Roman"/>
                <w:b/>
                <w:bCs/>
                <w:sz w:val="22"/>
                <w:szCs w:val="22"/>
              </w:rPr>
              <w:t>intregime</w:t>
            </w:r>
            <w:proofErr w:type="spellEnd"/>
            <w:r w:rsidRPr="00601CAB">
              <w:rPr>
                <w:rFonts w:ascii="Times New Roman" w:hAnsi="Times New Roman" w:cs="Times New Roman"/>
                <w:b/>
                <w:bCs/>
                <w:sz w:val="22"/>
                <w:szCs w:val="22"/>
              </w:rPr>
              <w:t xml:space="preserve"> din materiale izolante sau con </w:t>
            </w:r>
            <w:proofErr w:type="spellStart"/>
            <w:r w:rsidRPr="00601CAB">
              <w:rPr>
                <w:rFonts w:ascii="Times New Roman" w:hAnsi="Times New Roman" w:cs="Times New Roman"/>
                <w:b/>
                <w:bCs/>
                <w:sz w:val="22"/>
                <w:szCs w:val="22"/>
              </w:rPr>
              <w:t>tinind</w:t>
            </w:r>
            <w:proofErr w:type="spellEnd"/>
            <w:r w:rsidRPr="00601CAB">
              <w:rPr>
                <w:rFonts w:ascii="Times New Roman" w:hAnsi="Times New Roman" w:cs="Times New Roman"/>
                <w:b/>
                <w:bCs/>
                <w:sz w:val="22"/>
                <w:szCs w:val="22"/>
              </w:rPr>
              <w:t xml:space="preserve"> piese simple metalice de asamblare (de exemplu, dulii cu filet), incorporate in masa, pentru </w:t>
            </w:r>
            <w:proofErr w:type="spellStart"/>
            <w:r w:rsidRPr="00601CAB">
              <w:rPr>
                <w:rFonts w:ascii="Times New Roman" w:hAnsi="Times New Roman" w:cs="Times New Roman"/>
                <w:b/>
                <w:bCs/>
                <w:sz w:val="22"/>
                <w:szCs w:val="22"/>
              </w:rPr>
              <w:t>masini</w:t>
            </w:r>
            <w:proofErr w:type="spellEnd"/>
            <w:r w:rsidRPr="00601CAB">
              <w:rPr>
                <w:rFonts w:ascii="Times New Roman" w:hAnsi="Times New Roman" w:cs="Times New Roman"/>
                <w:b/>
                <w:bCs/>
                <w:sz w:val="22"/>
                <w:szCs w:val="22"/>
              </w:rPr>
              <w:t xml:space="preserve">, aparate sau </w:t>
            </w:r>
            <w:proofErr w:type="spellStart"/>
            <w:r w:rsidRPr="00601CAB">
              <w:rPr>
                <w:rFonts w:ascii="Times New Roman" w:hAnsi="Times New Roman" w:cs="Times New Roman"/>
                <w:b/>
                <w:bCs/>
                <w:sz w:val="22"/>
                <w:szCs w:val="22"/>
              </w:rPr>
              <w:t>instalatii</w:t>
            </w:r>
            <w:proofErr w:type="spellEnd"/>
            <w:r w:rsidRPr="00601CAB">
              <w:rPr>
                <w:rFonts w:ascii="Times New Roman" w:hAnsi="Times New Roman" w:cs="Times New Roman"/>
                <w:b/>
                <w:bCs/>
                <w:sz w:val="22"/>
                <w:szCs w:val="22"/>
              </w:rPr>
              <w:t xml:space="preserve"> electrice, altele </w:t>
            </w:r>
            <w:proofErr w:type="spellStart"/>
            <w:r w:rsidRPr="00601CAB">
              <w:rPr>
                <w:rFonts w:ascii="Times New Roman" w:hAnsi="Times New Roman" w:cs="Times New Roman"/>
                <w:b/>
                <w:bCs/>
                <w:sz w:val="22"/>
                <w:szCs w:val="22"/>
              </w:rPr>
              <w:t>decit</w:t>
            </w:r>
            <w:proofErr w:type="spellEnd"/>
            <w:r w:rsidRPr="00601CAB">
              <w:rPr>
                <w:rFonts w:ascii="Times New Roman" w:hAnsi="Times New Roman" w:cs="Times New Roman"/>
                <w:b/>
                <w:bCs/>
                <w:sz w:val="22"/>
                <w:szCs w:val="22"/>
              </w:rPr>
              <w:t xml:space="preserve"> izolatorii de la </w:t>
            </w:r>
            <w:proofErr w:type="spellStart"/>
            <w:r w:rsidRPr="00601CAB">
              <w:rPr>
                <w:rFonts w:ascii="Times New Roman" w:hAnsi="Times New Roman" w:cs="Times New Roman"/>
                <w:b/>
                <w:bCs/>
                <w:sz w:val="22"/>
                <w:szCs w:val="22"/>
              </w:rPr>
              <w:t>pozitia</w:t>
            </w:r>
            <w:proofErr w:type="spellEnd"/>
            <w:r w:rsidRPr="00601CAB">
              <w:rPr>
                <w:rFonts w:ascii="Times New Roman" w:hAnsi="Times New Roman" w:cs="Times New Roman"/>
                <w:b/>
                <w:bCs/>
                <w:sz w:val="22"/>
                <w:szCs w:val="22"/>
              </w:rPr>
              <w:t xml:space="preserve"> 8546; tuburile izolatoare si piesele lor de racordare, din metale comune, izolate in interior:</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9,540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8,307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-12,92</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2,63</w:t>
            </w:r>
          </w:p>
        </w:tc>
      </w:tr>
      <w:tr w:rsidR="00601CAB" w:rsidRPr="00601CAB" w:rsidTr="00601CAB">
        <w:trPr>
          <w:trHeight w:val="250"/>
        </w:trPr>
        <w:tc>
          <w:tcPr>
            <w:tcW w:w="847" w:type="dxa"/>
            <w:tcBorders>
              <w:top w:val="nil"/>
              <w:left w:val="single" w:sz="4" w:space="0" w:color="auto"/>
              <w:bottom w:val="single" w:sz="4" w:space="0" w:color="auto"/>
              <w:right w:val="single" w:sz="4" w:space="0" w:color="auto"/>
            </w:tcBorders>
          </w:tcPr>
          <w:p w:rsidR="00601CAB" w:rsidRPr="00601CAB" w:rsidRDefault="00601CAB" w:rsidP="00232A37">
            <w:pPr>
              <w:jc w:val="center"/>
              <w:rPr>
                <w:rFonts w:ascii="Times New Roman" w:hAnsi="Times New Roman" w:cs="Times New Roman"/>
                <w:b/>
                <w:bCs/>
                <w:sz w:val="22"/>
                <w:szCs w:val="22"/>
              </w:rPr>
            </w:pPr>
            <w:r w:rsidRPr="00601CAB">
              <w:rPr>
                <w:rFonts w:ascii="Times New Roman" w:hAnsi="Times New Roman" w:cs="Times New Roman"/>
                <w:b/>
                <w:bCs/>
                <w:sz w:val="22"/>
                <w:szCs w:val="22"/>
              </w:rPr>
              <w:t>8544</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rsidP="00232A37">
            <w:pPr>
              <w:rPr>
                <w:rFonts w:ascii="Times New Roman" w:hAnsi="Times New Roman" w:cs="Times New Roman"/>
                <w:b/>
                <w:bCs/>
                <w:sz w:val="22"/>
                <w:szCs w:val="22"/>
              </w:rPr>
            </w:pPr>
            <w:r w:rsidRPr="00601CAB">
              <w:rPr>
                <w:rFonts w:ascii="Times New Roman" w:hAnsi="Times New Roman" w:cs="Times New Roman"/>
                <w:b/>
                <w:bCs/>
                <w:sz w:val="22"/>
                <w:szCs w:val="22"/>
              </w:rPr>
              <w:t xml:space="preserve">Fire, cabluri (inclusiv cabluri coaxiale) si alte conductoare electrice izolate (chiar emailate sau oxidate anodic), cu sau </w:t>
            </w:r>
            <w:proofErr w:type="spellStart"/>
            <w:r w:rsidRPr="00601CAB">
              <w:rPr>
                <w:rFonts w:ascii="Times New Roman" w:hAnsi="Times New Roman" w:cs="Times New Roman"/>
                <w:b/>
                <w:bCs/>
                <w:sz w:val="22"/>
                <w:szCs w:val="22"/>
              </w:rPr>
              <w:t>fara</w:t>
            </w:r>
            <w:proofErr w:type="spellEnd"/>
            <w:r w:rsidRPr="00601CAB">
              <w:rPr>
                <w:rFonts w:ascii="Times New Roman" w:hAnsi="Times New Roman" w:cs="Times New Roman"/>
                <w:b/>
                <w:bCs/>
                <w:sz w:val="22"/>
                <w:szCs w:val="22"/>
              </w:rPr>
              <w:t xml:space="preserve"> conectori; cabluri din fibre optice, constituite din fibre izolate individual, chiar echipate cu conductoare electrice sau </w:t>
            </w:r>
            <w:proofErr w:type="spellStart"/>
            <w:r w:rsidRPr="00601CAB">
              <w:rPr>
                <w:rFonts w:ascii="Times New Roman" w:hAnsi="Times New Roman" w:cs="Times New Roman"/>
                <w:b/>
                <w:bCs/>
                <w:sz w:val="22"/>
                <w:szCs w:val="22"/>
              </w:rPr>
              <w:t>prevazute</w:t>
            </w:r>
            <w:proofErr w:type="spellEnd"/>
            <w:r w:rsidRPr="00601CAB">
              <w:rPr>
                <w:rFonts w:ascii="Times New Roman" w:hAnsi="Times New Roman" w:cs="Times New Roman"/>
                <w:b/>
                <w:bCs/>
                <w:sz w:val="22"/>
                <w:szCs w:val="22"/>
              </w:rPr>
              <w:t xml:space="preserve"> cu conectori:</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3,707</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6,669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79,9</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2,11</w:t>
            </w:r>
          </w:p>
        </w:tc>
      </w:tr>
      <w:tr w:rsidR="00601CAB" w:rsidRPr="00601CAB" w:rsidTr="00601CAB">
        <w:trPr>
          <w:trHeight w:val="137"/>
        </w:trPr>
        <w:tc>
          <w:tcPr>
            <w:tcW w:w="847" w:type="dxa"/>
            <w:tcBorders>
              <w:top w:val="single" w:sz="4" w:space="0" w:color="auto"/>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6001</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Catifea, plus (inclusiv materiale </w:t>
            </w:r>
            <w:proofErr w:type="spellStart"/>
            <w:r w:rsidRPr="00601CAB">
              <w:rPr>
                <w:rFonts w:ascii="Times New Roman" w:hAnsi="Times New Roman" w:cs="Times New Roman"/>
                <w:b/>
                <w:bCs/>
                <w:sz w:val="22"/>
                <w:szCs w:val="22"/>
              </w:rPr>
              <w:t>asa-zise</w:t>
            </w:r>
            <w:proofErr w:type="spellEnd"/>
            <w:r w:rsidRPr="00601CAB">
              <w:rPr>
                <w:rFonts w:ascii="Times New Roman" w:hAnsi="Times New Roman" w:cs="Times New Roman"/>
                <w:b/>
                <w:bCs/>
                <w:sz w:val="22"/>
                <w:szCs w:val="22"/>
              </w:rPr>
              <w:t xml:space="preserve"> cu „par lung”si materiale buclate, tricotate sau </w:t>
            </w:r>
            <w:proofErr w:type="spellStart"/>
            <w:r w:rsidRPr="00601CAB">
              <w:rPr>
                <w:rFonts w:ascii="Times New Roman" w:hAnsi="Times New Roman" w:cs="Times New Roman"/>
                <w:b/>
                <w:bCs/>
                <w:sz w:val="22"/>
                <w:szCs w:val="22"/>
              </w:rPr>
              <w:t>crosetate</w:t>
            </w:r>
            <w:proofErr w:type="spellEnd"/>
            <w:r w:rsidRPr="00601CAB">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4,846</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6,429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32,66</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2,03</w:t>
            </w:r>
          </w:p>
        </w:tc>
      </w:tr>
      <w:tr w:rsidR="00601CAB" w:rsidRPr="00601CAB" w:rsidTr="00601CAB">
        <w:trPr>
          <w:trHeight w:val="137"/>
        </w:trPr>
        <w:tc>
          <w:tcPr>
            <w:tcW w:w="847" w:type="dxa"/>
            <w:tcBorders>
              <w:top w:val="single" w:sz="4" w:space="0" w:color="auto"/>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3921</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Alte placi, folii, pelicule, benzi si lame din materiale plastice: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5,742</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6,324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10,135</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1,99</w:t>
            </w:r>
          </w:p>
        </w:tc>
      </w:tr>
      <w:tr w:rsidR="00601CAB" w:rsidRPr="00601CAB" w:rsidTr="00601CAB">
        <w:trPr>
          <w:trHeight w:val="137"/>
        </w:trPr>
        <w:tc>
          <w:tcPr>
            <w:tcW w:w="847" w:type="dxa"/>
            <w:tcBorders>
              <w:top w:val="single" w:sz="4" w:space="0" w:color="auto"/>
              <w:left w:val="single" w:sz="4" w:space="0" w:color="auto"/>
              <w:bottom w:val="single" w:sz="4" w:space="0" w:color="auto"/>
              <w:right w:val="single" w:sz="4" w:space="0" w:color="auto"/>
            </w:tcBorders>
          </w:tcPr>
          <w:p w:rsidR="00601CAB" w:rsidRPr="00601CAB" w:rsidRDefault="00601CAB">
            <w:pPr>
              <w:jc w:val="center"/>
              <w:rPr>
                <w:rFonts w:ascii="Times New Roman" w:hAnsi="Times New Roman" w:cs="Times New Roman"/>
                <w:b/>
                <w:bCs/>
                <w:sz w:val="22"/>
                <w:szCs w:val="22"/>
              </w:rPr>
            </w:pPr>
            <w:r w:rsidRPr="00601CAB">
              <w:rPr>
                <w:rFonts w:ascii="Times New Roman" w:hAnsi="Times New Roman" w:cs="Times New Roman"/>
                <w:b/>
                <w:bCs/>
                <w:sz w:val="22"/>
                <w:szCs w:val="22"/>
              </w:rPr>
              <w:t>8704</w:t>
            </w:r>
          </w:p>
        </w:tc>
        <w:tc>
          <w:tcPr>
            <w:tcW w:w="3548" w:type="dxa"/>
            <w:tcBorders>
              <w:top w:val="single" w:sz="4" w:space="0" w:color="auto"/>
              <w:left w:val="single" w:sz="4" w:space="0" w:color="auto"/>
              <w:bottom w:val="single" w:sz="4" w:space="0" w:color="auto"/>
              <w:right w:val="single" w:sz="4" w:space="0" w:color="auto"/>
            </w:tcBorders>
            <w:shd w:val="clear" w:color="000000" w:fill="FFFFFF"/>
          </w:tcPr>
          <w:p w:rsidR="00601CAB" w:rsidRPr="00601CAB" w:rsidRDefault="00601CAB">
            <w:pPr>
              <w:rPr>
                <w:rFonts w:ascii="Times New Roman" w:hAnsi="Times New Roman" w:cs="Times New Roman"/>
                <w:b/>
                <w:bCs/>
                <w:sz w:val="22"/>
                <w:szCs w:val="22"/>
              </w:rPr>
            </w:pPr>
            <w:r w:rsidRPr="00601CAB">
              <w:rPr>
                <w:rFonts w:ascii="Times New Roman" w:hAnsi="Times New Roman" w:cs="Times New Roman"/>
                <w:b/>
                <w:bCs/>
                <w:sz w:val="22"/>
                <w:szCs w:val="22"/>
              </w:rPr>
              <w:t xml:space="preserve">Autovehicule pentru transportul </w:t>
            </w:r>
            <w:proofErr w:type="spellStart"/>
            <w:r w:rsidRPr="00601CAB">
              <w:rPr>
                <w:rFonts w:ascii="Times New Roman" w:hAnsi="Times New Roman" w:cs="Times New Roman"/>
                <w:b/>
                <w:bCs/>
                <w:sz w:val="22"/>
                <w:szCs w:val="22"/>
              </w:rPr>
              <w:t>marfurilor</w:t>
            </w:r>
            <w:proofErr w:type="spellEnd"/>
            <w:r w:rsidRPr="00601CAB">
              <w:rPr>
                <w:rFonts w:ascii="Times New Roman" w:hAnsi="Times New Roman" w:cs="Times New Roman"/>
                <w:b/>
                <w:bCs/>
                <w:sz w:val="22"/>
                <w:szCs w:val="22"/>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6,244</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601CAB" w:rsidRPr="00601CAB" w:rsidRDefault="00601CAB" w:rsidP="00601CAB">
            <w:pPr>
              <w:jc w:val="center"/>
              <w:rPr>
                <w:rFonts w:ascii="Times New Roman" w:hAnsi="Times New Roman" w:cs="Times New Roman"/>
                <w:sz w:val="22"/>
                <w:szCs w:val="22"/>
              </w:rPr>
            </w:pPr>
            <w:r w:rsidRPr="00601CAB">
              <w:rPr>
                <w:rFonts w:ascii="Times New Roman" w:hAnsi="Times New Roman" w:cs="Times New Roman"/>
                <w:sz w:val="22"/>
                <w:szCs w:val="22"/>
              </w:rPr>
              <w:t>5,828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-6,66</w:t>
            </w:r>
          </w:p>
        </w:tc>
        <w:tc>
          <w:tcPr>
            <w:tcW w:w="1418" w:type="dxa"/>
            <w:tcBorders>
              <w:top w:val="single" w:sz="4" w:space="0" w:color="auto"/>
              <w:left w:val="nil"/>
              <w:bottom w:val="single" w:sz="4" w:space="0" w:color="auto"/>
              <w:right w:val="single" w:sz="4" w:space="0" w:color="auto"/>
            </w:tcBorders>
            <w:shd w:val="clear" w:color="auto" w:fill="auto"/>
            <w:vAlign w:val="center"/>
          </w:tcPr>
          <w:p w:rsidR="00601CAB" w:rsidRPr="00601CAB" w:rsidRDefault="00601CAB" w:rsidP="00601CAB">
            <w:pPr>
              <w:jc w:val="center"/>
              <w:rPr>
                <w:rFonts w:ascii="Times New Roman" w:hAnsi="Times New Roman" w:cs="Times New Roman"/>
                <w:color w:val="000000"/>
                <w:sz w:val="22"/>
                <w:szCs w:val="22"/>
              </w:rPr>
            </w:pPr>
            <w:r w:rsidRPr="00601CAB">
              <w:rPr>
                <w:rFonts w:ascii="Times New Roman" w:hAnsi="Times New Roman" w:cs="Times New Roman"/>
                <w:color w:val="000000"/>
                <w:sz w:val="22"/>
                <w:szCs w:val="22"/>
              </w:rPr>
              <w:t>1,84</w:t>
            </w:r>
          </w:p>
        </w:tc>
      </w:tr>
    </w:tbl>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p w:rsidR="0072092E" w:rsidRDefault="0072092E" w:rsidP="004D0F19">
      <w:pPr>
        <w:rPr>
          <w:rFonts w:ascii="Times New Roman" w:hAnsi="Times New Roman" w:cs="Times New Roman"/>
          <w:sz w:val="24"/>
          <w:szCs w:val="24"/>
        </w:rPr>
      </w:pPr>
    </w:p>
    <w:sectPr w:rsidR="0072092E"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66FC"/>
    <w:rsid w:val="000268AF"/>
    <w:rsid w:val="00053753"/>
    <w:rsid w:val="00056E74"/>
    <w:rsid w:val="00085751"/>
    <w:rsid w:val="00092F19"/>
    <w:rsid w:val="000B4027"/>
    <w:rsid w:val="000E1403"/>
    <w:rsid w:val="000E5752"/>
    <w:rsid w:val="0010062C"/>
    <w:rsid w:val="0010678E"/>
    <w:rsid w:val="001254BD"/>
    <w:rsid w:val="0014389A"/>
    <w:rsid w:val="0014507F"/>
    <w:rsid w:val="00157297"/>
    <w:rsid w:val="00161749"/>
    <w:rsid w:val="0018441A"/>
    <w:rsid w:val="001960A4"/>
    <w:rsid w:val="00197182"/>
    <w:rsid w:val="001A2B2E"/>
    <w:rsid w:val="001A551A"/>
    <w:rsid w:val="001A7FBB"/>
    <w:rsid w:val="001B0B42"/>
    <w:rsid w:val="001C35D0"/>
    <w:rsid w:val="001D6357"/>
    <w:rsid w:val="00205970"/>
    <w:rsid w:val="002546D1"/>
    <w:rsid w:val="00256728"/>
    <w:rsid w:val="00291B60"/>
    <w:rsid w:val="00293986"/>
    <w:rsid w:val="002A08C2"/>
    <w:rsid w:val="00327215"/>
    <w:rsid w:val="003470C3"/>
    <w:rsid w:val="003674FD"/>
    <w:rsid w:val="003779C9"/>
    <w:rsid w:val="0038698F"/>
    <w:rsid w:val="00387AE7"/>
    <w:rsid w:val="003B30A4"/>
    <w:rsid w:val="003C62BA"/>
    <w:rsid w:val="003E5712"/>
    <w:rsid w:val="004010F9"/>
    <w:rsid w:val="004035ED"/>
    <w:rsid w:val="0041552B"/>
    <w:rsid w:val="00432940"/>
    <w:rsid w:val="00442000"/>
    <w:rsid w:val="00495312"/>
    <w:rsid w:val="004A1BC5"/>
    <w:rsid w:val="004D0F19"/>
    <w:rsid w:val="004D1B4F"/>
    <w:rsid w:val="004F66D4"/>
    <w:rsid w:val="0051571B"/>
    <w:rsid w:val="005556D7"/>
    <w:rsid w:val="00556DFB"/>
    <w:rsid w:val="00561280"/>
    <w:rsid w:val="005776B0"/>
    <w:rsid w:val="00586561"/>
    <w:rsid w:val="005F296E"/>
    <w:rsid w:val="005F6CA0"/>
    <w:rsid w:val="005F7FDF"/>
    <w:rsid w:val="00601CAB"/>
    <w:rsid w:val="00607C28"/>
    <w:rsid w:val="00615BAA"/>
    <w:rsid w:val="006333E5"/>
    <w:rsid w:val="00647D4A"/>
    <w:rsid w:val="00662F02"/>
    <w:rsid w:val="00690C13"/>
    <w:rsid w:val="006A281C"/>
    <w:rsid w:val="006A7D77"/>
    <w:rsid w:val="006B630A"/>
    <w:rsid w:val="006D72F3"/>
    <w:rsid w:val="006E69E1"/>
    <w:rsid w:val="006E6A97"/>
    <w:rsid w:val="006F5D62"/>
    <w:rsid w:val="0072092E"/>
    <w:rsid w:val="00727844"/>
    <w:rsid w:val="007438D0"/>
    <w:rsid w:val="00782881"/>
    <w:rsid w:val="007879F1"/>
    <w:rsid w:val="00796323"/>
    <w:rsid w:val="007A69A7"/>
    <w:rsid w:val="007B28DD"/>
    <w:rsid w:val="007E538E"/>
    <w:rsid w:val="007F1901"/>
    <w:rsid w:val="007F1FFA"/>
    <w:rsid w:val="008143AA"/>
    <w:rsid w:val="0082185C"/>
    <w:rsid w:val="00823278"/>
    <w:rsid w:val="00823994"/>
    <w:rsid w:val="008258B1"/>
    <w:rsid w:val="0083354F"/>
    <w:rsid w:val="00834C3B"/>
    <w:rsid w:val="00841A74"/>
    <w:rsid w:val="00861777"/>
    <w:rsid w:val="00861E13"/>
    <w:rsid w:val="00864061"/>
    <w:rsid w:val="008651DC"/>
    <w:rsid w:val="0089716A"/>
    <w:rsid w:val="008B5829"/>
    <w:rsid w:val="008C262A"/>
    <w:rsid w:val="008D23D9"/>
    <w:rsid w:val="00942CB6"/>
    <w:rsid w:val="00985C57"/>
    <w:rsid w:val="009B01AC"/>
    <w:rsid w:val="009B3629"/>
    <w:rsid w:val="009C0652"/>
    <w:rsid w:val="009C5C9D"/>
    <w:rsid w:val="009C62A6"/>
    <w:rsid w:val="009D70E5"/>
    <w:rsid w:val="009E54AB"/>
    <w:rsid w:val="00A258BD"/>
    <w:rsid w:val="00A272BB"/>
    <w:rsid w:val="00A42BF1"/>
    <w:rsid w:val="00A5077F"/>
    <w:rsid w:val="00AA0A70"/>
    <w:rsid w:val="00B0444E"/>
    <w:rsid w:val="00B172DD"/>
    <w:rsid w:val="00B22225"/>
    <w:rsid w:val="00B4019F"/>
    <w:rsid w:val="00B56744"/>
    <w:rsid w:val="00B6141C"/>
    <w:rsid w:val="00BB4001"/>
    <w:rsid w:val="00BB7917"/>
    <w:rsid w:val="00BE4C9B"/>
    <w:rsid w:val="00BE5406"/>
    <w:rsid w:val="00BF15C1"/>
    <w:rsid w:val="00C12442"/>
    <w:rsid w:val="00C230D0"/>
    <w:rsid w:val="00C2413F"/>
    <w:rsid w:val="00C30E03"/>
    <w:rsid w:val="00C60BB1"/>
    <w:rsid w:val="00C6399B"/>
    <w:rsid w:val="00C83131"/>
    <w:rsid w:val="00C837CE"/>
    <w:rsid w:val="00C94A97"/>
    <w:rsid w:val="00CA410B"/>
    <w:rsid w:val="00CA6CBF"/>
    <w:rsid w:val="00CB4C50"/>
    <w:rsid w:val="00CC5F8B"/>
    <w:rsid w:val="00CF52E4"/>
    <w:rsid w:val="00CF6A8C"/>
    <w:rsid w:val="00D06448"/>
    <w:rsid w:val="00D305BA"/>
    <w:rsid w:val="00D556D5"/>
    <w:rsid w:val="00D57665"/>
    <w:rsid w:val="00D81310"/>
    <w:rsid w:val="00DA721D"/>
    <w:rsid w:val="00DB6290"/>
    <w:rsid w:val="00E673F2"/>
    <w:rsid w:val="00E72869"/>
    <w:rsid w:val="00E97C09"/>
    <w:rsid w:val="00EC51A2"/>
    <w:rsid w:val="00EF4743"/>
    <w:rsid w:val="00F13715"/>
    <w:rsid w:val="00F14EB3"/>
    <w:rsid w:val="00F25F19"/>
    <w:rsid w:val="00F33449"/>
    <w:rsid w:val="00F34DA1"/>
    <w:rsid w:val="00F95813"/>
    <w:rsid w:val="00FA1737"/>
    <w:rsid w:val="00FB3031"/>
    <w:rsid w:val="00FB3E32"/>
    <w:rsid w:val="00FC6C8D"/>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56061529">
      <w:bodyDiv w:val="1"/>
      <w:marLeft w:val="0"/>
      <w:marRight w:val="0"/>
      <w:marTop w:val="0"/>
      <w:marBottom w:val="0"/>
      <w:divBdr>
        <w:top w:val="none" w:sz="0" w:space="0" w:color="auto"/>
        <w:left w:val="none" w:sz="0" w:space="0" w:color="auto"/>
        <w:bottom w:val="none" w:sz="0" w:space="0" w:color="auto"/>
        <w:right w:val="none" w:sz="0" w:space="0" w:color="auto"/>
      </w:divBdr>
    </w:div>
    <w:div w:id="289290941">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73446280">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36239967">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5094199">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30682089">
      <w:bodyDiv w:val="1"/>
      <w:marLeft w:val="0"/>
      <w:marRight w:val="0"/>
      <w:marTop w:val="0"/>
      <w:marBottom w:val="0"/>
      <w:divBdr>
        <w:top w:val="none" w:sz="0" w:space="0" w:color="auto"/>
        <w:left w:val="none" w:sz="0" w:space="0" w:color="auto"/>
        <w:bottom w:val="none" w:sz="0" w:space="0" w:color="auto"/>
        <w:right w:val="none" w:sz="0" w:space="0" w:color="auto"/>
      </w:divBdr>
    </w:div>
    <w:div w:id="838276993">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00780384">
      <w:bodyDiv w:val="1"/>
      <w:marLeft w:val="0"/>
      <w:marRight w:val="0"/>
      <w:marTop w:val="0"/>
      <w:marBottom w:val="0"/>
      <w:divBdr>
        <w:top w:val="none" w:sz="0" w:space="0" w:color="auto"/>
        <w:left w:val="none" w:sz="0" w:space="0" w:color="auto"/>
        <w:bottom w:val="none" w:sz="0" w:space="0" w:color="auto"/>
        <w:right w:val="none" w:sz="0" w:space="0" w:color="auto"/>
      </w:divBdr>
    </w:div>
    <w:div w:id="1251233807">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564759048">
      <w:bodyDiv w:val="1"/>
      <w:marLeft w:val="0"/>
      <w:marRight w:val="0"/>
      <w:marTop w:val="0"/>
      <w:marBottom w:val="0"/>
      <w:divBdr>
        <w:top w:val="none" w:sz="0" w:space="0" w:color="auto"/>
        <w:left w:val="none" w:sz="0" w:space="0" w:color="auto"/>
        <w:bottom w:val="none" w:sz="0" w:space="0" w:color="auto"/>
        <w:right w:val="none" w:sz="0" w:space="0" w:color="auto"/>
      </w:divBdr>
    </w:div>
    <w:div w:id="1645310610">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901405039">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2050111010">
      <w:bodyDiv w:val="1"/>
      <w:marLeft w:val="0"/>
      <w:marRight w:val="0"/>
      <w:marTop w:val="0"/>
      <w:marBottom w:val="0"/>
      <w:divBdr>
        <w:top w:val="none" w:sz="0" w:space="0" w:color="auto"/>
        <w:left w:val="none" w:sz="0" w:space="0" w:color="auto"/>
        <w:bottom w:val="none" w:sz="0" w:space="0" w:color="auto"/>
        <w:right w:val="none" w:sz="0" w:space="0" w:color="auto"/>
      </w:divBdr>
    </w:div>
    <w:div w:id="21180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3285</Words>
  <Characters>18729</Characters>
  <Application>Microsoft Office Word</Application>
  <DocSecurity>0</DocSecurity>
  <Lines>156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Rotaru</cp:lastModifiedBy>
  <cp:revision>3</cp:revision>
  <cp:lastPrinted>2017-02-28T09:55:00Z</cp:lastPrinted>
  <dcterms:created xsi:type="dcterms:W3CDTF">2017-06-13T11:26:00Z</dcterms:created>
  <dcterms:modified xsi:type="dcterms:W3CDTF">2017-06-13T12:22:00Z</dcterms:modified>
</cp:coreProperties>
</file>