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4D0F19" w:rsidRPr="00E673F2" w:rsidTr="001C35D0"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4D0F19" w:rsidRPr="00E673F2" w:rsidRDefault="004D0F19" w:rsidP="004D0F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NOTA INFORMATIVĂ </w:t>
            </w:r>
          </w:p>
          <w:p w:rsidR="004D0F19" w:rsidRPr="00E673F2" w:rsidRDefault="004D0F19" w:rsidP="004D0F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privind </w:t>
            </w:r>
            <w:bookmarkStart w:id="0" w:name="_GoBack"/>
            <w:r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starea actuală a </w:t>
            </w:r>
            <w:r w:rsidR="00161749"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relațiilor</w:t>
            </w:r>
            <w:r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comercial-economice</w:t>
            </w:r>
          </w:p>
          <w:p w:rsidR="004D0F19" w:rsidRPr="00E673F2" w:rsidRDefault="004D0F19" w:rsidP="004D0F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între Republica Moldova şi </w:t>
            </w:r>
            <w:r w:rsidR="00FC56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Irlanda</w:t>
            </w:r>
            <w:r w:rsidRPr="00E673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bookmarkEnd w:id="0"/>
          <w:p w:rsidR="004D0F19" w:rsidRPr="00E673F2" w:rsidRDefault="004D0F19" w:rsidP="004D0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F19" w:rsidRPr="00E673F2" w:rsidRDefault="004D0F19" w:rsidP="004D0F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4D0F19" w:rsidRPr="00E673F2" w:rsidTr="001C35D0">
        <w:tc>
          <w:tcPr>
            <w:tcW w:w="9776" w:type="dxa"/>
            <w:shd w:val="clear" w:color="auto" w:fill="D9D9D9" w:themeFill="background1" w:themeFillShade="D9"/>
          </w:tcPr>
          <w:p w:rsidR="004D0F19" w:rsidRPr="00E673F2" w:rsidRDefault="004D0F19" w:rsidP="001A2B2E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Cadrul juridic.</w:t>
            </w:r>
          </w:p>
        </w:tc>
      </w:tr>
      <w:tr w:rsidR="004D0F19" w:rsidRPr="00E673F2" w:rsidTr="001C35D0">
        <w:tc>
          <w:tcPr>
            <w:tcW w:w="9776" w:type="dxa"/>
          </w:tcPr>
          <w:p w:rsidR="00FC561A" w:rsidRDefault="00FC561A" w:rsidP="00FC5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5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Pînă</w:t>
            </w:r>
            <w:proofErr w:type="spellEnd"/>
            <w:r w:rsidRPr="00FC5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în prezent, între Republica Moldova şi Regatul Unit al Marii Britanii şi Irlandei de Nord au fost semnate 10 acorduri.</w:t>
            </w:r>
          </w:p>
          <w:p w:rsidR="00FC561A" w:rsidRPr="00FC561A" w:rsidRDefault="00FC561A" w:rsidP="00FC5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561A" w:rsidRPr="00FC561A" w:rsidRDefault="00FC561A" w:rsidP="00FC5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Acordul cu caracter economic:</w:t>
            </w:r>
          </w:p>
          <w:p w:rsidR="004D0F19" w:rsidRPr="00CA3492" w:rsidRDefault="00FC561A" w:rsidP="00FC561A">
            <w:pPr>
              <w:pStyle w:val="af4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r w:rsidRPr="00FC5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Acord între Guvernul Republicii Moldova şi Guvernul Regatului Unit al Marii Britanii şi Irlandei de Nord privind promovarea şi protejarea  reciprocă a investiţiilor (semnat la Londra, la 19.03.1996, a intrat în vigoare la 30.07.1998)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D0F19" w:rsidRPr="00E673F2" w:rsidRDefault="004D0F19" w:rsidP="004D0F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4D0F19" w:rsidRPr="00E673F2" w:rsidTr="001C35D0">
        <w:tc>
          <w:tcPr>
            <w:tcW w:w="9776" w:type="dxa"/>
            <w:shd w:val="clear" w:color="auto" w:fill="D9D9D9" w:themeFill="background1" w:themeFillShade="D9"/>
          </w:tcPr>
          <w:p w:rsidR="004D0F19" w:rsidRPr="00E673F2" w:rsidRDefault="00586561" w:rsidP="00861E1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Comerțul</w:t>
            </w:r>
            <w:r w:rsidR="009C0652" w:rsidRPr="00E6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bilateral</w:t>
            </w:r>
            <w:r w:rsidR="00841A74" w:rsidRPr="00E6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(anexa</w:t>
            </w:r>
            <w:r w:rsidR="00861E13" w:rsidRPr="00E6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841A74" w:rsidRPr="00E6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9C0652" w:rsidRPr="00E6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D0F19" w:rsidRPr="00E673F2" w:rsidTr="001C35D0">
        <w:tc>
          <w:tcPr>
            <w:tcW w:w="9776" w:type="dxa"/>
          </w:tcPr>
          <w:p w:rsidR="00657CFB" w:rsidRPr="00657CFB" w:rsidRDefault="00657CFB" w:rsidP="00657C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Comerțul bilateral în anul 2016</w:t>
            </w:r>
          </w:p>
          <w:p w:rsidR="00657CFB" w:rsidRPr="00657CFB" w:rsidRDefault="00657CFB" w:rsidP="006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Volumul comerţului exterior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al Republicii Moldova cu Irlanda, în anul 2016 a înregistrat suma de </w:t>
            </w: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6,5 mil. USD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(-9,12% în comparaţie cu anul 2015). După valoarea volumului schimburilor comerciale, Irlanda se situează pe </w:t>
            </w: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locul 51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la nivel mondial între țările partenere cu care Republica Moldova întreţine relaţii comerciale, deţinând o pondere de </w:t>
            </w: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0,107%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în comerțul total al RM.</w:t>
            </w:r>
          </w:p>
          <w:p w:rsidR="00657CFB" w:rsidRPr="00657CFB" w:rsidRDefault="00657CFB" w:rsidP="006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Sold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5,9 mil. USD 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în favoarea Irlandei.</w:t>
            </w:r>
          </w:p>
          <w:p w:rsidR="00657CFB" w:rsidRPr="00657CFB" w:rsidRDefault="00657CFB" w:rsidP="006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Exportul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0,28 mil. USD 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(-15,98% în comparație cu anul 2015). </w:t>
            </w:r>
          </w:p>
          <w:p w:rsidR="003E5712" w:rsidRPr="00026A21" w:rsidRDefault="00657CFB" w:rsidP="00657CF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Importul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6,25 mil. USD </w:t>
            </w: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 xml:space="preserve">(-10,01% în comparație cu anul 2015). </w:t>
            </w:r>
          </w:p>
        </w:tc>
      </w:tr>
    </w:tbl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3732C5" w:rsidRDefault="003732C5" w:rsidP="00664E3B">
      <w:pPr>
        <w:rPr>
          <w:rFonts w:ascii="Times New Roman" w:hAnsi="Times New Roman" w:cs="Times New Roman"/>
          <w:sz w:val="24"/>
          <w:szCs w:val="24"/>
        </w:rPr>
      </w:pPr>
    </w:p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FE3892" w:rsidRDefault="00FE3892" w:rsidP="00664E3B">
      <w:pPr>
        <w:rPr>
          <w:rFonts w:ascii="Times New Roman" w:hAnsi="Times New Roman" w:cs="Times New Roman"/>
          <w:sz w:val="24"/>
          <w:szCs w:val="24"/>
        </w:rPr>
      </w:pPr>
    </w:p>
    <w:p w:rsidR="00FE3892" w:rsidRDefault="00FE3892" w:rsidP="00664E3B">
      <w:pPr>
        <w:rPr>
          <w:rFonts w:ascii="Times New Roman" w:hAnsi="Times New Roman" w:cs="Times New Roman"/>
          <w:sz w:val="24"/>
          <w:szCs w:val="24"/>
        </w:rPr>
      </w:pPr>
    </w:p>
    <w:p w:rsidR="00FE3892" w:rsidRDefault="00FE3892" w:rsidP="00664E3B">
      <w:pPr>
        <w:rPr>
          <w:rFonts w:ascii="Times New Roman" w:hAnsi="Times New Roman" w:cs="Times New Roman"/>
          <w:sz w:val="24"/>
          <w:szCs w:val="24"/>
        </w:rPr>
      </w:pPr>
    </w:p>
    <w:p w:rsidR="00FE3892" w:rsidRDefault="00FE3892" w:rsidP="00664E3B">
      <w:pPr>
        <w:rPr>
          <w:rFonts w:ascii="Times New Roman" w:hAnsi="Times New Roman" w:cs="Times New Roman"/>
          <w:sz w:val="24"/>
          <w:szCs w:val="24"/>
        </w:rPr>
      </w:pPr>
    </w:p>
    <w:p w:rsidR="00FE3892" w:rsidRDefault="00FE3892" w:rsidP="00664E3B">
      <w:pPr>
        <w:rPr>
          <w:rFonts w:ascii="Times New Roman" w:hAnsi="Times New Roman" w:cs="Times New Roman"/>
          <w:sz w:val="24"/>
          <w:szCs w:val="24"/>
        </w:rPr>
      </w:pPr>
    </w:p>
    <w:p w:rsidR="00657CFB" w:rsidRDefault="00657CFB" w:rsidP="00664E3B">
      <w:pPr>
        <w:rPr>
          <w:rFonts w:ascii="Times New Roman" w:hAnsi="Times New Roman" w:cs="Times New Roman"/>
          <w:sz w:val="24"/>
          <w:szCs w:val="24"/>
        </w:rPr>
      </w:pPr>
    </w:p>
    <w:p w:rsidR="000066FC" w:rsidRPr="00E673F2" w:rsidRDefault="000066FC" w:rsidP="004010F9">
      <w:pPr>
        <w:jc w:val="right"/>
        <w:rPr>
          <w:rFonts w:ascii="Times New Roman" w:hAnsi="Times New Roman" w:cs="Times New Roman"/>
          <w:sz w:val="24"/>
          <w:szCs w:val="24"/>
        </w:rPr>
      </w:pPr>
      <w:r w:rsidRPr="00E673F2">
        <w:rPr>
          <w:rFonts w:ascii="Times New Roman" w:hAnsi="Times New Roman" w:cs="Times New Roman"/>
          <w:sz w:val="24"/>
          <w:szCs w:val="24"/>
        </w:rPr>
        <w:lastRenderedPageBreak/>
        <w:t>Anexa 1</w:t>
      </w:r>
    </w:p>
    <w:p w:rsidR="000066FC" w:rsidRPr="00E673F2" w:rsidRDefault="000066FC" w:rsidP="00006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73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Evoluţia schimburilor comerciale între </w:t>
      </w:r>
      <w:r w:rsidR="003536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Republica </w:t>
      </w:r>
      <w:r w:rsidRPr="00E673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Moldova şi </w:t>
      </w:r>
      <w:r w:rsidR="00FE3B55">
        <w:rPr>
          <w:rFonts w:ascii="Times New Roman" w:hAnsi="Times New Roman" w:cs="Times New Roman"/>
          <w:b/>
          <w:sz w:val="24"/>
          <w:szCs w:val="24"/>
          <w:lang w:eastAsia="ru-RU"/>
        </w:rPr>
        <w:t>Irlanda</w:t>
      </w:r>
    </w:p>
    <w:p w:rsidR="000066FC" w:rsidRDefault="000066FC" w:rsidP="000066F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73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în perioada </w:t>
      </w:r>
      <w:r w:rsidR="00C62D3B">
        <w:rPr>
          <w:rFonts w:ascii="Times New Roman" w:hAnsi="Times New Roman" w:cs="Times New Roman"/>
          <w:b/>
          <w:sz w:val="24"/>
          <w:szCs w:val="24"/>
          <w:lang w:eastAsia="ru-RU"/>
        </w:rPr>
        <w:t>2016 (general)</w:t>
      </w:r>
      <w:r w:rsidR="00C62D3B" w:rsidRPr="00C62D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2D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și </w:t>
      </w:r>
      <w:r w:rsidRPr="00E673F2">
        <w:rPr>
          <w:rFonts w:ascii="Times New Roman" w:hAnsi="Times New Roman" w:cs="Times New Roman"/>
          <w:b/>
          <w:sz w:val="24"/>
          <w:szCs w:val="24"/>
          <w:lang w:eastAsia="ru-RU"/>
        </w:rPr>
        <w:t>ianuarie-noiembrie 2016</w:t>
      </w:r>
      <w:r w:rsidR="00DA72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4C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(inclusiv mărfuri) </w:t>
      </w:r>
    </w:p>
    <w:p w:rsidR="00C62D3B" w:rsidRPr="00657CFB" w:rsidRDefault="00C62D3B" w:rsidP="00C62D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CFB">
        <w:rPr>
          <w:rFonts w:ascii="Times New Roman" w:hAnsi="Times New Roman" w:cs="Times New Roman"/>
          <w:b/>
          <w:sz w:val="24"/>
          <w:szCs w:val="24"/>
          <w:u w:val="single"/>
        </w:rPr>
        <w:t>Comerțul bilateral în anul 2016</w:t>
      </w:r>
    </w:p>
    <w:p w:rsidR="00C62D3B" w:rsidRPr="00657CFB" w:rsidRDefault="00C62D3B" w:rsidP="00C62D3B">
      <w:pPr>
        <w:jc w:val="both"/>
        <w:rPr>
          <w:rFonts w:ascii="Times New Roman" w:hAnsi="Times New Roman" w:cs="Times New Roman"/>
          <w:sz w:val="24"/>
          <w:szCs w:val="24"/>
        </w:rPr>
      </w:pPr>
      <w:r w:rsidRPr="00657CFB">
        <w:rPr>
          <w:rFonts w:ascii="Times New Roman" w:hAnsi="Times New Roman" w:cs="Times New Roman"/>
          <w:b/>
          <w:sz w:val="24"/>
          <w:szCs w:val="24"/>
        </w:rPr>
        <w:t>Volumul comerţului exterior</w:t>
      </w:r>
      <w:r w:rsidRPr="00657CFB">
        <w:rPr>
          <w:rFonts w:ascii="Times New Roman" w:hAnsi="Times New Roman" w:cs="Times New Roman"/>
          <w:sz w:val="24"/>
          <w:szCs w:val="24"/>
        </w:rPr>
        <w:t xml:space="preserve"> al Republicii Moldova cu </w:t>
      </w:r>
      <w:r w:rsidR="00FE3B55" w:rsidRPr="00657CFB">
        <w:rPr>
          <w:rFonts w:ascii="Times New Roman" w:hAnsi="Times New Roman" w:cs="Times New Roman"/>
          <w:sz w:val="24"/>
          <w:szCs w:val="24"/>
        </w:rPr>
        <w:t>Irlanda</w:t>
      </w:r>
      <w:r w:rsidRPr="00657CFB">
        <w:rPr>
          <w:rFonts w:ascii="Times New Roman" w:hAnsi="Times New Roman" w:cs="Times New Roman"/>
          <w:sz w:val="24"/>
          <w:szCs w:val="24"/>
        </w:rPr>
        <w:t xml:space="preserve">, în anul 2016 a înregistrat suma de </w:t>
      </w:r>
      <w:r w:rsidR="00FE3B55" w:rsidRPr="00657CFB">
        <w:rPr>
          <w:rFonts w:ascii="Times New Roman" w:hAnsi="Times New Roman" w:cs="Times New Roman"/>
          <w:b/>
          <w:sz w:val="24"/>
          <w:szCs w:val="24"/>
        </w:rPr>
        <w:t>6,5</w:t>
      </w:r>
      <w:r w:rsidRPr="00657CFB">
        <w:rPr>
          <w:rFonts w:ascii="Times New Roman" w:hAnsi="Times New Roman" w:cs="Times New Roman"/>
          <w:b/>
          <w:sz w:val="24"/>
          <w:szCs w:val="24"/>
        </w:rPr>
        <w:t xml:space="preserve"> mil. USD</w:t>
      </w:r>
      <w:r w:rsidRPr="00657CFB">
        <w:rPr>
          <w:rFonts w:ascii="Times New Roman" w:hAnsi="Times New Roman" w:cs="Times New Roman"/>
          <w:sz w:val="24"/>
          <w:szCs w:val="24"/>
        </w:rPr>
        <w:t xml:space="preserve"> (-</w:t>
      </w:r>
      <w:r w:rsidR="00657CFB" w:rsidRPr="00657CFB">
        <w:rPr>
          <w:rFonts w:ascii="Times New Roman" w:hAnsi="Times New Roman" w:cs="Times New Roman"/>
          <w:sz w:val="24"/>
          <w:szCs w:val="24"/>
        </w:rPr>
        <w:t>9,12</w:t>
      </w:r>
      <w:r w:rsidRPr="00657CFB">
        <w:rPr>
          <w:rFonts w:ascii="Times New Roman" w:hAnsi="Times New Roman" w:cs="Times New Roman"/>
          <w:sz w:val="24"/>
          <w:szCs w:val="24"/>
        </w:rPr>
        <w:t xml:space="preserve">% în comparaţie cu anul 2015). După valoarea volumului schimburilor comerciale, </w:t>
      </w:r>
      <w:r w:rsidR="00FE3B55" w:rsidRPr="00657CFB">
        <w:rPr>
          <w:rFonts w:ascii="Times New Roman" w:hAnsi="Times New Roman" w:cs="Times New Roman"/>
          <w:sz w:val="24"/>
          <w:szCs w:val="24"/>
        </w:rPr>
        <w:t>Irlanda</w:t>
      </w:r>
      <w:r w:rsidRPr="00657CFB">
        <w:rPr>
          <w:rFonts w:ascii="Times New Roman" w:hAnsi="Times New Roman" w:cs="Times New Roman"/>
          <w:sz w:val="24"/>
          <w:szCs w:val="24"/>
        </w:rPr>
        <w:t xml:space="preserve"> se situează pe </w:t>
      </w:r>
      <w:r w:rsidRPr="00657CFB">
        <w:rPr>
          <w:rFonts w:ascii="Times New Roman" w:hAnsi="Times New Roman" w:cs="Times New Roman"/>
          <w:b/>
          <w:sz w:val="24"/>
          <w:szCs w:val="24"/>
        </w:rPr>
        <w:t xml:space="preserve">locul </w:t>
      </w:r>
      <w:r w:rsidR="00FE3B55" w:rsidRPr="00657CFB">
        <w:rPr>
          <w:rFonts w:ascii="Times New Roman" w:hAnsi="Times New Roman" w:cs="Times New Roman"/>
          <w:b/>
          <w:sz w:val="24"/>
          <w:szCs w:val="24"/>
        </w:rPr>
        <w:t>51</w:t>
      </w:r>
      <w:r w:rsidRPr="00657CFB">
        <w:rPr>
          <w:rFonts w:ascii="Times New Roman" w:hAnsi="Times New Roman" w:cs="Times New Roman"/>
          <w:sz w:val="24"/>
          <w:szCs w:val="24"/>
        </w:rPr>
        <w:t xml:space="preserve"> la nivel mondial între țările partenere cu care Republica Moldova întreţine relaţii comerciale, deţinând o pondere de </w:t>
      </w:r>
      <w:r w:rsidR="00FE3B55" w:rsidRPr="00657CFB">
        <w:rPr>
          <w:rFonts w:ascii="Times New Roman" w:hAnsi="Times New Roman" w:cs="Times New Roman"/>
          <w:b/>
          <w:sz w:val="24"/>
          <w:szCs w:val="24"/>
        </w:rPr>
        <w:t>0,107</w:t>
      </w:r>
      <w:r w:rsidRPr="00657CFB">
        <w:rPr>
          <w:rFonts w:ascii="Times New Roman" w:hAnsi="Times New Roman" w:cs="Times New Roman"/>
          <w:b/>
          <w:sz w:val="24"/>
          <w:szCs w:val="24"/>
        </w:rPr>
        <w:t>%</w:t>
      </w:r>
      <w:r w:rsidRPr="00657CFB">
        <w:rPr>
          <w:rFonts w:ascii="Times New Roman" w:hAnsi="Times New Roman" w:cs="Times New Roman"/>
          <w:sz w:val="24"/>
          <w:szCs w:val="24"/>
        </w:rPr>
        <w:t xml:space="preserve"> în comerțul total al RM.</w:t>
      </w:r>
    </w:p>
    <w:p w:rsidR="00C62D3B" w:rsidRPr="00657CFB" w:rsidRDefault="00C62D3B" w:rsidP="00C62D3B">
      <w:pPr>
        <w:jc w:val="both"/>
        <w:rPr>
          <w:rFonts w:ascii="Times New Roman" w:hAnsi="Times New Roman" w:cs="Times New Roman"/>
          <w:sz w:val="24"/>
          <w:szCs w:val="24"/>
        </w:rPr>
      </w:pPr>
      <w:r w:rsidRPr="00657CFB">
        <w:rPr>
          <w:rFonts w:ascii="Times New Roman" w:hAnsi="Times New Roman" w:cs="Times New Roman"/>
          <w:b/>
          <w:sz w:val="24"/>
          <w:szCs w:val="24"/>
        </w:rPr>
        <w:t>Sold</w:t>
      </w:r>
      <w:r w:rsidRPr="00657CFB">
        <w:rPr>
          <w:rFonts w:ascii="Times New Roman" w:hAnsi="Times New Roman" w:cs="Times New Roman"/>
          <w:sz w:val="24"/>
          <w:szCs w:val="24"/>
        </w:rPr>
        <w:t xml:space="preserve"> – </w:t>
      </w:r>
      <w:r w:rsidR="00FE3B55" w:rsidRPr="00657CFB">
        <w:rPr>
          <w:rFonts w:ascii="Times New Roman" w:hAnsi="Times New Roman" w:cs="Times New Roman"/>
          <w:b/>
          <w:sz w:val="24"/>
          <w:szCs w:val="24"/>
        </w:rPr>
        <w:t>5,9</w:t>
      </w:r>
      <w:r w:rsidRPr="00657CFB">
        <w:rPr>
          <w:rFonts w:ascii="Times New Roman" w:hAnsi="Times New Roman" w:cs="Times New Roman"/>
          <w:b/>
          <w:sz w:val="24"/>
          <w:szCs w:val="24"/>
        </w:rPr>
        <w:t xml:space="preserve"> mil. USD </w:t>
      </w:r>
      <w:r w:rsidRPr="00657CFB">
        <w:rPr>
          <w:rFonts w:ascii="Times New Roman" w:hAnsi="Times New Roman" w:cs="Times New Roman"/>
          <w:sz w:val="24"/>
          <w:szCs w:val="24"/>
        </w:rPr>
        <w:t xml:space="preserve">în favoarea </w:t>
      </w:r>
      <w:r w:rsidR="00FE3B55" w:rsidRPr="00657CFB">
        <w:rPr>
          <w:rFonts w:ascii="Times New Roman" w:hAnsi="Times New Roman" w:cs="Times New Roman"/>
          <w:sz w:val="24"/>
          <w:szCs w:val="24"/>
        </w:rPr>
        <w:t>Irlandei</w:t>
      </w:r>
      <w:r w:rsidRPr="00657CFB">
        <w:rPr>
          <w:rFonts w:ascii="Times New Roman" w:hAnsi="Times New Roman" w:cs="Times New Roman"/>
          <w:sz w:val="24"/>
          <w:szCs w:val="24"/>
        </w:rPr>
        <w:t>.</w:t>
      </w:r>
    </w:p>
    <w:p w:rsidR="00C62D3B" w:rsidRPr="00657CFB" w:rsidRDefault="00C62D3B" w:rsidP="00C62D3B">
      <w:pPr>
        <w:jc w:val="both"/>
        <w:rPr>
          <w:rFonts w:ascii="Times New Roman" w:hAnsi="Times New Roman" w:cs="Times New Roman"/>
          <w:sz w:val="24"/>
          <w:szCs w:val="24"/>
        </w:rPr>
      </w:pPr>
      <w:r w:rsidRPr="00657CFB">
        <w:rPr>
          <w:rFonts w:ascii="Times New Roman" w:hAnsi="Times New Roman" w:cs="Times New Roman"/>
          <w:b/>
          <w:sz w:val="24"/>
          <w:szCs w:val="24"/>
        </w:rPr>
        <w:t>Exportul</w:t>
      </w:r>
      <w:r w:rsidRPr="00657CFB">
        <w:rPr>
          <w:rFonts w:ascii="Times New Roman" w:hAnsi="Times New Roman" w:cs="Times New Roman"/>
          <w:sz w:val="24"/>
          <w:szCs w:val="24"/>
        </w:rPr>
        <w:t xml:space="preserve"> – </w:t>
      </w:r>
      <w:r w:rsidR="00FE3B55" w:rsidRPr="00657CFB">
        <w:rPr>
          <w:rFonts w:ascii="Times New Roman" w:hAnsi="Times New Roman" w:cs="Times New Roman"/>
          <w:b/>
          <w:sz w:val="24"/>
          <w:szCs w:val="24"/>
        </w:rPr>
        <w:t>0,28</w:t>
      </w:r>
      <w:r w:rsidRPr="00657CFB">
        <w:rPr>
          <w:rFonts w:ascii="Times New Roman" w:hAnsi="Times New Roman" w:cs="Times New Roman"/>
          <w:b/>
          <w:sz w:val="24"/>
          <w:szCs w:val="24"/>
        </w:rPr>
        <w:t xml:space="preserve"> mil. USD </w:t>
      </w:r>
      <w:r w:rsidRPr="00657CFB">
        <w:rPr>
          <w:rFonts w:ascii="Times New Roman" w:hAnsi="Times New Roman" w:cs="Times New Roman"/>
          <w:sz w:val="24"/>
          <w:szCs w:val="24"/>
        </w:rPr>
        <w:t>(-</w:t>
      </w:r>
      <w:r w:rsidR="00657CFB" w:rsidRPr="00657CFB">
        <w:rPr>
          <w:rFonts w:ascii="Times New Roman" w:hAnsi="Times New Roman" w:cs="Times New Roman"/>
          <w:sz w:val="24"/>
          <w:szCs w:val="24"/>
        </w:rPr>
        <w:t>15,98</w:t>
      </w:r>
      <w:r w:rsidRPr="00657CFB">
        <w:rPr>
          <w:rFonts w:ascii="Times New Roman" w:hAnsi="Times New Roman" w:cs="Times New Roman"/>
          <w:sz w:val="24"/>
          <w:szCs w:val="24"/>
        </w:rPr>
        <w:t xml:space="preserve">% în comparație cu anul 2015). </w:t>
      </w:r>
    </w:p>
    <w:p w:rsidR="00C62D3B" w:rsidRPr="00657CFB" w:rsidRDefault="00C62D3B" w:rsidP="00C62D3B">
      <w:pPr>
        <w:jc w:val="both"/>
        <w:rPr>
          <w:rFonts w:ascii="Times New Roman" w:hAnsi="Times New Roman" w:cs="Times New Roman"/>
          <w:sz w:val="24"/>
          <w:szCs w:val="24"/>
        </w:rPr>
      </w:pPr>
      <w:r w:rsidRPr="00657CFB">
        <w:rPr>
          <w:rFonts w:ascii="Times New Roman" w:hAnsi="Times New Roman" w:cs="Times New Roman"/>
          <w:b/>
          <w:sz w:val="24"/>
          <w:szCs w:val="24"/>
        </w:rPr>
        <w:t>Importul</w:t>
      </w:r>
      <w:r w:rsidRPr="00657CFB">
        <w:rPr>
          <w:rFonts w:ascii="Times New Roman" w:hAnsi="Times New Roman" w:cs="Times New Roman"/>
          <w:sz w:val="24"/>
          <w:szCs w:val="24"/>
        </w:rPr>
        <w:t xml:space="preserve"> </w:t>
      </w:r>
      <w:r w:rsidR="008D0A53" w:rsidRPr="00657CFB">
        <w:rPr>
          <w:rFonts w:ascii="Times New Roman" w:hAnsi="Times New Roman" w:cs="Times New Roman"/>
          <w:sz w:val="24"/>
          <w:szCs w:val="24"/>
        </w:rPr>
        <w:t>–</w:t>
      </w:r>
      <w:r w:rsidRPr="00657CFB">
        <w:rPr>
          <w:rFonts w:ascii="Times New Roman" w:hAnsi="Times New Roman" w:cs="Times New Roman"/>
          <w:sz w:val="24"/>
          <w:szCs w:val="24"/>
        </w:rPr>
        <w:t xml:space="preserve"> </w:t>
      </w:r>
      <w:r w:rsidR="00FE3B55" w:rsidRPr="00657CFB">
        <w:rPr>
          <w:rFonts w:ascii="Times New Roman" w:hAnsi="Times New Roman" w:cs="Times New Roman"/>
          <w:b/>
          <w:sz w:val="24"/>
          <w:szCs w:val="24"/>
        </w:rPr>
        <w:t>6,25</w:t>
      </w:r>
      <w:r w:rsidRPr="00657CFB">
        <w:rPr>
          <w:rFonts w:ascii="Times New Roman" w:hAnsi="Times New Roman" w:cs="Times New Roman"/>
          <w:b/>
          <w:sz w:val="24"/>
          <w:szCs w:val="24"/>
        </w:rPr>
        <w:t xml:space="preserve"> mil. USD </w:t>
      </w:r>
      <w:r w:rsidRPr="00657CFB">
        <w:rPr>
          <w:rFonts w:ascii="Times New Roman" w:hAnsi="Times New Roman" w:cs="Times New Roman"/>
          <w:sz w:val="24"/>
          <w:szCs w:val="24"/>
        </w:rPr>
        <w:t>(-</w:t>
      </w:r>
      <w:r w:rsidR="00657CFB" w:rsidRPr="00657CFB">
        <w:rPr>
          <w:rFonts w:ascii="Times New Roman" w:hAnsi="Times New Roman" w:cs="Times New Roman"/>
          <w:sz w:val="24"/>
          <w:szCs w:val="24"/>
        </w:rPr>
        <w:t>10,01</w:t>
      </w:r>
      <w:r w:rsidRPr="00657CFB">
        <w:rPr>
          <w:rFonts w:ascii="Times New Roman" w:hAnsi="Times New Roman" w:cs="Times New Roman"/>
          <w:sz w:val="24"/>
          <w:szCs w:val="24"/>
        </w:rPr>
        <w:t xml:space="preserve">% în comparație cu anul 2015). </w:t>
      </w:r>
    </w:p>
    <w:p w:rsidR="00FE3B55" w:rsidRPr="00657CFB" w:rsidRDefault="00FE3B55" w:rsidP="00C62D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D3B" w:rsidRPr="00657CFB" w:rsidRDefault="00C62D3B" w:rsidP="00C62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CFB">
        <w:rPr>
          <w:rFonts w:ascii="Times New Roman" w:hAnsi="Times New Roman" w:cs="Times New Roman"/>
          <w:b/>
          <w:sz w:val="24"/>
          <w:szCs w:val="24"/>
        </w:rPr>
        <w:t>Evoluția schimburilor comerciale bilaterale între Republica Moldova și Republica Estonia în perioada 2015-2016</w:t>
      </w:r>
      <w:r w:rsidRPr="00657CFB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(mil. USD)</w:t>
      </w:r>
    </w:p>
    <w:tbl>
      <w:tblPr>
        <w:tblW w:w="8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5"/>
        <w:gridCol w:w="2552"/>
        <w:gridCol w:w="2381"/>
        <w:gridCol w:w="2010"/>
      </w:tblGrid>
      <w:tr w:rsidR="00657CFB" w:rsidRPr="00657CFB" w:rsidTr="000B296A">
        <w:trPr>
          <w:trHeight w:val="649"/>
          <w:jc w:val="center"/>
        </w:trPr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C62D3B" w:rsidRPr="00657CFB" w:rsidRDefault="00C62D3B" w:rsidP="000B2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C62D3B" w:rsidRPr="00657CFB" w:rsidRDefault="00C62D3B" w:rsidP="000B2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C62D3B" w:rsidRPr="00657CFB" w:rsidRDefault="00C62D3B" w:rsidP="000B2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vAlign w:val="center"/>
          </w:tcPr>
          <w:p w:rsidR="00C62D3B" w:rsidRPr="00657CFB" w:rsidRDefault="00C62D3B" w:rsidP="000B2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Dinamica 2016/2015, %</w:t>
            </w:r>
          </w:p>
        </w:tc>
      </w:tr>
      <w:tr w:rsidR="00657CFB" w:rsidRPr="00657CFB" w:rsidTr="000B296A">
        <w:trPr>
          <w:trHeight w:hRule="exact" w:val="340"/>
          <w:jc w:val="center"/>
        </w:trPr>
        <w:tc>
          <w:tcPr>
            <w:tcW w:w="1275" w:type="dxa"/>
          </w:tcPr>
          <w:p w:rsidR="00C62D3B" w:rsidRPr="00657CFB" w:rsidRDefault="00C62D3B" w:rsidP="000B29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7,190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6,534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D3B" w:rsidRPr="00657CFB" w:rsidRDefault="00657CFB" w:rsidP="000B2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b/>
                <w:sz w:val="24"/>
                <w:szCs w:val="24"/>
              </w:rPr>
              <w:t>-9,12</w:t>
            </w:r>
          </w:p>
        </w:tc>
      </w:tr>
      <w:tr w:rsidR="00657CFB" w:rsidRPr="00657CFB" w:rsidTr="000B296A">
        <w:trPr>
          <w:trHeight w:hRule="exact" w:val="340"/>
          <w:jc w:val="center"/>
        </w:trPr>
        <w:tc>
          <w:tcPr>
            <w:tcW w:w="1275" w:type="dxa"/>
          </w:tcPr>
          <w:p w:rsidR="00C62D3B" w:rsidRPr="00657CFB" w:rsidRDefault="00C62D3B" w:rsidP="000B29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0,283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D3B" w:rsidRPr="00657CFB" w:rsidRDefault="00657CFB" w:rsidP="000B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-15,98</w:t>
            </w:r>
          </w:p>
        </w:tc>
      </w:tr>
      <w:tr w:rsidR="00657CFB" w:rsidRPr="00657CFB" w:rsidTr="000B296A">
        <w:trPr>
          <w:trHeight w:hRule="exact" w:val="340"/>
          <w:jc w:val="center"/>
        </w:trPr>
        <w:tc>
          <w:tcPr>
            <w:tcW w:w="1275" w:type="dxa"/>
          </w:tcPr>
          <w:p w:rsidR="00C62D3B" w:rsidRPr="00657CFB" w:rsidRDefault="00C62D3B" w:rsidP="000B29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6,946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6,251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D3B" w:rsidRPr="00657CFB" w:rsidRDefault="00657CFB" w:rsidP="000B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-10,01</w:t>
            </w:r>
          </w:p>
        </w:tc>
      </w:tr>
      <w:tr w:rsidR="00657CFB" w:rsidRPr="00657CFB" w:rsidTr="000B296A">
        <w:trPr>
          <w:trHeight w:hRule="exact" w:val="340"/>
          <w:jc w:val="center"/>
        </w:trPr>
        <w:tc>
          <w:tcPr>
            <w:tcW w:w="1275" w:type="dxa"/>
            <w:tcBorders>
              <w:bottom w:val="single" w:sz="6" w:space="0" w:color="auto"/>
            </w:tcBorders>
          </w:tcPr>
          <w:p w:rsidR="00C62D3B" w:rsidRPr="00657CFB" w:rsidRDefault="00C62D3B" w:rsidP="000B29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7CF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D3B" w:rsidRPr="00657CFB" w:rsidRDefault="00FE3B55" w:rsidP="00FE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-6,701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E3B55" w:rsidRPr="00657CFB" w:rsidRDefault="00FE3B55" w:rsidP="00FE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FB">
              <w:rPr>
                <w:rFonts w:ascii="Times New Roman" w:hAnsi="Times New Roman" w:cs="Times New Roman"/>
                <w:sz w:val="24"/>
                <w:szCs w:val="24"/>
              </w:rPr>
              <w:t>-5,967</w:t>
            </w:r>
          </w:p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D3B" w:rsidRPr="00657CFB" w:rsidRDefault="00C62D3B" w:rsidP="000B2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D3B" w:rsidRPr="00FE3B55" w:rsidRDefault="00C62D3B" w:rsidP="000066FC">
      <w:pPr>
        <w:spacing w:before="120" w:line="240" w:lineRule="auto"/>
        <w:jc w:val="both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3B55" w:rsidRDefault="00FE3B55" w:rsidP="000066FC">
      <w:pPr>
        <w:spacing w:before="120" w:line="240" w:lineRule="auto"/>
        <w:jc w:val="both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3B55" w:rsidRPr="001B01AC" w:rsidRDefault="00FE3B55" w:rsidP="000066FC">
      <w:pPr>
        <w:spacing w:before="120" w:line="240" w:lineRule="auto"/>
        <w:jc w:val="both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6FC" w:rsidRPr="00D6020C" w:rsidRDefault="000066FC" w:rsidP="000066FC">
      <w:pPr>
        <w:spacing w:before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6020C">
        <w:rPr>
          <w:rFonts w:ascii="Times New Roman" w:hAnsi="Times New Roman" w:cs="Times New Roman"/>
          <w:b/>
          <w:sz w:val="24"/>
          <w:szCs w:val="24"/>
        </w:rPr>
        <w:t>Volumul comerţului exterior</w:t>
      </w:r>
      <w:r w:rsidRPr="00D6020C">
        <w:rPr>
          <w:rFonts w:ascii="Times New Roman" w:hAnsi="Times New Roman" w:cs="Times New Roman"/>
          <w:sz w:val="24"/>
          <w:szCs w:val="24"/>
        </w:rPr>
        <w:t xml:space="preserve"> (fără a se ţine cont de activitatea comercială a agenţilor economici din raioanele de est) al Republicii Moldova cu </w:t>
      </w:r>
      <w:r w:rsidR="00D6020C" w:rsidRPr="00D6020C">
        <w:rPr>
          <w:rFonts w:ascii="Times New Roman" w:eastAsia="Times New Roman" w:hAnsi="Times New Roman" w:cs="Times New Roman"/>
          <w:sz w:val="24"/>
          <w:szCs w:val="24"/>
          <w:lang w:eastAsia="ru-RU"/>
        </w:rPr>
        <w:t>Irlanda</w:t>
      </w:r>
      <w:r w:rsidRPr="00D6020C">
        <w:rPr>
          <w:rFonts w:ascii="Times New Roman" w:hAnsi="Times New Roman" w:cs="Times New Roman"/>
          <w:sz w:val="24"/>
          <w:szCs w:val="24"/>
        </w:rPr>
        <w:t>, în ianuarie-</w:t>
      </w:r>
      <w:r w:rsidR="009B3629" w:rsidRPr="00D6020C">
        <w:rPr>
          <w:rFonts w:ascii="Times New Roman" w:hAnsi="Times New Roman" w:cs="Times New Roman"/>
          <w:sz w:val="24"/>
          <w:szCs w:val="24"/>
        </w:rPr>
        <w:t>noiembrie</w:t>
      </w:r>
      <w:r w:rsidRPr="00D6020C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D6020C">
          <w:rPr>
            <w:rFonts w:ascii="Times New Roman" w:hAnsi="Times New Roman" w:cs="Times New Roman"/>
            <w:sz w:val="24"/>
            <w:szCs w:val="24"/>
          </w:rPr>
          <w:t>2016 a</w:t>
        </w:r>
      </w:smartTag>
      <w:r w:rsidRPr="00D6020C">
        <w:rPr>
          <w:rFonts w:ascii="Times New Roman" w:hAnsi="Times New Roman" w:cs="Times New Roman"/>
          <w:sz w:val="24"/>
          <w:szCs w:val="24"/>
        </w:rPr>
        <w:t xml:space="preserve"> înregistrat suma de </w:t>
      </w:r>
      <w:r w:rsidR="00D6020C" w:rsidRPr="00D6020C">
        <w:rPr>
          <w:rFonts w:ascii="Times New Roman" w:hAnsi="Times New Roman" w:cs="Times New Roman"/>
          <w:b/>
          <w:sz w:val="24"/>
          <w:szCs w:val="24"/>
        </w:rPr>
        <w:t>5,6</w:t>
      </w:r>
      <w:r w:rsidR="005556D7" w:rsidRPr="00D6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20C">
        <w:rPr>
          <w:rFonts w:ascii="Times New Roman" w:hAnsi="Times New Roman" w:cs="Times New Roman"/>
          <w:b/>
          <w:sz w:val="24"/>
          <w:szCs w:val="24"/>
        </w:rPr>
        <w:t>mil. USD</w:t>
      </w:r>
      <w:r w:rsidRPr="00D6020C">
        <w:rPr>
          <w:rFonts w:ascii="Times New Roman" w:hAnsi="Times New Roman" w:cs="Times New Roman"/>
          <w:sz w:val="24"/>
          <w:szCs w:val="24"/>
        </w:rPr>
        <w:t xml:space="preserve"> (</w:t>
      </w:r>
      <w:r w:rsidR="004E4941" w:rsidRPr="00D6020C">
        <w:rPr>
          <w:rFonts w:ascii="Times New Roman" w:hAnsi="Times New Roman" w:cs="Times New Roman"/>
          <w:b/>
          <w:sz w:val="24"/>
          <w:szCs w:val="24"/>
        </w:rPr>
        <w:t>-</w:t>
      </w:r>
      <w:r w:rsidR="00D6020C" w:rsidRPr="00D6020C">
        <w:rPr>
          <w:rFonts w:ascii="Times New Roman" w:hAnsi="Times New Roman" w:cs="Times New Roman"/>
          <w:b/>
          <w:sz w:val="24"/>
          <w:szCs w:val="24"/>
        </w:rPr>
        <w:t>9,07</w:t>
      </w:r>
      <w:r w:rsidRPr="00D6020C">
        <w:rPr>
          <w:rFonts w:ascii="Times New Roman" w:hAnsi="Times New Roman" w:cs="Times New Roman"/>
          <w:b/>
          <w:sz w:val="24"/>
          <w:szCs w:val="24"/>
        </w:rPr>
        <w:t>%</w:t>
      </w:r>
      <w:r w:rsidRPr="00D6020C">
        <w:rPr>
          <w:rFonts w:ascii="Times New Roman" w:hAnsi="Times New Roman" w:cs="Times New Roman"/>
          <w:sz w:val="24"/>
          <w:szCs w:val="24"/>
        </w:rPr>
        <w:t xml:space="preserve"> în comparaţie cu aceeaşi perioadă a anul</w:t>
      </w:r>
      <w:r w:rsidR="004E4941" w:rsidRPr="00D6020C">
        <w:rPr>
          <w:rFonts w:ascii="Times New Roman" w:hAnsi="Times New Roman" w:cs="Times New Roman"/>
          <w:sz w:val="24"/>
          <w:szCs w:val="24"/>
        </w:rPr>
        <w:t>ui</w:t>
      </w:r>
      <w:r w:rsidRPr="00D6020C">
        <w:rPr>
          <w:rFonts w:ascii="Times New Roman" w:hAnsi="Times New Roman" w:cs="Times New Roman"/>
          <w:sz w:val="24"/>
          <w:szCs w:val="24"/>
        </w:rPr>
        <w:t xml:space="preserve"> 2015). După valoarea volumului schimburilor comerciale, înregistrat în perioada analizată, </w:t>
      </w:r>
      <w:r w:rsidR="00D6020C" w:rsidRPr="00D6020C">
        <w:rPr>
          <w:rFonts w:ascii="Times New Roman" w:eastAsia="Times New Roman" w:hAnsi="Times New Roman" w:cs="Times New Roman"/>
          <w:sz w:val="24"/>
          <w:szCs w:val="24"/>
          <w:lang w:eastAsia="ru-RU"/>
        </w:rPr>
        <w:t>Irlanda</w:t>
      </w:r>
      <w:r w:rsidRPr="00D6020C">
        <w:rPr>
          <w:rFonts w:ascii="Times New Roman" w:hAnsi="Times New Roman" w:cs="Times New Roman"/>
          <w:sz w:val="24"/>
          <w:szCs w:val="24"/>
        </w:rPr>
        <w:t xml:space="preserve"> se situează pe </w:t>
      </w:r>
      <w:r w:rsidRPr="00D6020C">
        <w:rPr>
          <w:rFonts w:ascii="Times New Roman" w:hAnsi="Times New Roman" w:cs="Times New Roman"/>
          <w:b/>
          <w:sz w:val="24"/>
          <w:szCs w:val="24"/>
        </w:rPr>
        <w:t>locul</w:t>
      </w:r>
      <w:r w:rsidRPr="00D6020C">
        <w:rPr>
          <w:rFonts w:ascii="Times New Roman" w:hAnsi="Times New Roman" w:cs="Times New Roman"/>
          <w:sz w:val="24"/>
          <w:szCs w:val="24"/>
        </w:rPr>
        <w:t xml:space="preserve"> </w:t>
      </w:r>
      <w:r w:rsidR="00D6020C" w:rsidRPr="00D6020C">
        <w:rPr>
          <w:rFonts w:ascii="Times New Roman" w:hAnsi="Times New Roman" w:cs="Times New Roman"/>
          <w:b/>
          <w:sz w:val="24"/>
          <w:szCs w:val="24"/>
        </w:rPr>
        <w:t>52</w:t>
      </w:r>
      <w:r w:rsidRPr="00D6020C">
        <w:rPr>
          <w:rFonts w:ascii="Times New Roman" w:hAnsi="Times New Roman" w:cs="Times New Roman"/>
          <w:sz w:val="24"/>
          <w:szCs w:val="24"/>
        </w:rPr>
        <w:t xml:space="preserve"> </w:t>
      </w:r>
      <w:r w:rsidR="004E4941" w:rsidRPr="00D6020C">
        <w:rPr>
          <w:rFonts w:ascii="Times New Roman" w:hAnsi="Times New Roman" w:cs="Times New Roman"/>
          <w:sz w:val="24"/>
          <w:szCs w:val="24"/>
        </w:rPr>
        <w:t xml:space="preserve">la nivel mondial </w:t>
      </w:r>
      <w:r w:rsidRPr="00D6020C">
        <w:rPr>
          <w:rFonts w:ascii="Times New Roman" w:hAnsi="Times New Roman" w:cs="Times New Roman"/>
          <w:sz w:val="24"/>
          <w:szCs w:val="24"/>
        </w:rPr>
        <w:t>între</w:t>
      </w:r>
      <w:r w:rsidR="00615BAA" w:rsidRPr="00D6020C">
        <w:rPr>
          <w:rFonts w:ascii="Times New Roman" w:hAnsi="Times New Roman" w:cs="Times New Roman"/>
          <w:sz w:val="24"/>
          <w:szCs w:val="24"/>
        </w:rPr>
        <w:t xml:space="preserve"> țările partenere </w:t>
      </w:r>
      <w:r w:rsidRPr="00D6020C">
        <w:rPr>
          <w:rFonts w:ascii="Times New Roman" w:hAnsi="Times New Roman" w:cs="Times New Roman"/>
          <w:sz w:val="24"/>
          <w:szCs w:val="24"/>
        </w:rPr>
        <w:t xml:space="preserve">cu care Republica Moldova întreţine relaţii comerciale, deţinând o </w:t>
      </w:r>
      <w:r w:rsidRPr="00D6020C">
        <w:rPr>
          <w:rFonts w:ascii="Times New Roman" w:hAnsi="Times New Roman" w:cs="Times New Roman"/>
          <w:b/>
          <w:sz w:val="24"/>
          <w:szCs w:val="24"/>
        </w:rPr>
        <w:t>pondere</w:t>
      </w:r>
      <w:r w:rsidRPr="00D6020C">
        <w:rPr>
          <w:rFonts w:ascii="Times New Roman" w:hAnsi="Times New Roman" w:cs="Times New Roman"/>
          <w:sz w:val="24"/>
          <w:szCs w:val="24"/>
        </w:rPr>
        <w:t xml:space="preserve"> de </w:t>
      </w:r>
      <w:r w:rsidR="00096EEF" w:rsidRPr="00D6020C">
        <w:rPr>
          <w:rFonts w:ascii="Times New Roman" w:hAnsi="Times New Roman" w:cs="Times New Roman"/>
          <w:b/>
          <w:sz w:val="24"/>
          <w:szCs w:val="24"/>
        </w:rPr>
        <w:t>0,1</w:t>
      </w:r>
      <w:r w:rsidR="00D6020C" w:rsidRPr="00D6020C">
        <w:rPr>
          <w:rFonts w:ascii="Times New Roman" w:hAnsi="Times New Roman" w:cs="Times New Roman"/>
          <w:b/>
          <w:sz w:val="24"/>
          <w:szCs w:val="24"/>
        </w:rPr>
        <w:t>02</w:t>
      </w:r>
      <w:r w:rsidRPr="00D6020C">
        <w:rPr>
          <w:rFonts w:ascii="Times New Roman" w:hAnsi="Times New Roman" w:cs="Times New Roman"/>
          <w:b/>
          <w:sz w:val="24"/>
          <w:szCs w:val="24"/>
        </w:rPr>
        <w:t>%</w:t>
      </w:r>
      <w:r w:rsidR="00615BAA" w:rsidRPr="00D6020C">
        <w:rPr>
          <w:rFonts w:ascii="Times New Roman" w:hAnsi="Times New Roman" w:cs="Times New Roman"/>
          <w:sz w:val="24"/>
          <w:szCs w:val="24"/>
        </w:rPr>
        <w:t xml:space="preserve"> în comerțul total al RM</w:t>
      </w:r>
      <w:r w:rsidRPr="00D6020C">
        <w:rPr>
          <w:rFonts w:ascii="Times New Roman" w:hAnsi="Times New Roman" w:cs="Times New Roman"/>
          <w:sz w:val="24"/>
          <w:szCs w:val="24"/>
        </w:rPr>
        <w:t>.</w:t>
      </w:r>
    </w:p>
    <w:p w:rsidR="009260AF" w:rsidRPr="001B01AC" w:rsidRDefault="009260AF" w:rsidP="009260A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6FC" w:rsidRPr="00E07613" w:rsidRDefault="009260AF" w:rsidP="009260AF">
      <w:pPr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07613">
        <w:rPr>
          <w:rFonts w:ascii="Times New Roman" w:hAnsi="Times New Roman" w:cs="Times New Roman"/>
          <w:b/>
          <w:sz w:val="24"/>
          <w:szCs w:val="24"/>
        </w:rPr>
        <w:t xml:space="preserve">Evoluția schimburilor comerciale bilaterale între Republica Moldova și </w:t>
      </w:r>
      <w:r w:rsidR="00D6020C">
        <w:rPr>
          <w:rFonts w:ascii="Times New Roman" w:hAnsi="Times New Roman" w:cs="Times New Roman"/>
          <w:b/>
          <w:sz w:val="24"/>
          <w:szCs w:val="24"/>
        </w:rPr>
        <w:t>Irlanda</w:t>
      </w:r>
      <w:r w:rsidRPr="00E07613">
        <w:rPr>
          <w:rFonts w:ascii="Times New Roman" w:hAnsi="Times New Roman" w:cs="Times New Roman"/>
          <w:b/>
          <w:sz w:val="24"/>
          <w:szCs w:val="24"/>
        </w:rPr>
        <w:t xml:space="preserve"> în perioada ianuarie-noiembrie 2015-2016</w:t>
      </w:r>
      <w:r w:rsidRPr="00E0761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(mil. USD)</w:t>
      </w:r>
    </w:p>
    <w:tbl>
      <w:tblPr>
        <w:tblW w:w="8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5"/>
        <w:gridCol w:w="2552"/>
        <w:gridCol w:w="2381"/>
        <w:gridCol w:w="2010"/>
      </w:tblGrid>
      <w:tr w:rsidR="00E07613" w:rsidRPr="00E07613" w:rsidTr="00FE770A">
        <w:trPr>
          <w:trHeight w:val="649"/>
          <w:jc w:val="center"/>
        </w:trPr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0066FC" w:rsidRPr="00E07613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0066FC" w:rsidRPr="00E07613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Ianuarie-</w:t>
            </w:r>
            <w:r w:rsidR="009B3629"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noiembrie</w:t>
            </w: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2015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0066FC" w:rsidRPr="00E07613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Ianuarie-</w:t>
            </w:r>
            <w:r w:rsidR="009B3629"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noiembrie</w:t>
            </w: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2016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vAlign w:val="center"/>
          </w:tcPr>
          <w:p w:rsidR="000066FC" w:rsidRPr="00E07613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Dinamica 2016/2015, %</w:t>
            </w:r>
          </w:p>
        </w:tc>
      </w:tr>
      <w:tr w:rsidR="00E07613" w:rsidRPr="00E07613" w:rsidTr="00647D4A">
        <w:trPr>
          <w:trHeight w:hRule="exact" w:val="340"/>
          <w:jc w:val="center"/>
        </w:trPr>
        <w:tc>
          <w:tcPr>
            <w:tcW w:w="1275" w:type="dxa"/>
          </w:tcPr>
          <w:p w:rsidR="00647D4A" w:rsidRPr="00E07613" w:rsidRDefault="00647D4A" w:rsidP="00647D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b/>
                <w:sz w:val="24"/>
                <w:szCs w:val="24"/>
              </w:rPr>
              <w:t>6,166</w:t>
            </w:r>
          </w:p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b/>
                <w:sz w:val="24"/>
                <w:szCs w:val="24"/>
              </w:rPr>
              <w:t>5,607</w:t>
            </w:r>
          </w:p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D4A" w:rsidRPr="00FE3B55" w:rsidRDefault="00D6020C" w:rsidP="00555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b/>
                <w:sz w:val="24"/>
                <w:szCs w:val="24"/>
              </w:rPr>
              <w:t>-9,07</w:t>
            </w:r>
          </w:p>
        </w:tc>
      </w:tr>
      <w:tr w:rsidR="00E07613" w:rsidRPr="00E07613" w:rsidTr="00647D4A">
        <w:trPr>
          <w:trHeight w:hRule="exact" w:val="340"/>
          <w:jc w:val="center"/>
        </w:trPr>
        <w:tc>
          <w:tcPr>
            <w:tcW w:w="1275" w:type="dxa"/>
          </w:tcPr>
          <w:p w:rsidR="00647D4A" w:rsidRPr="00E07613" w:rsidRDefault="00647D4A" w:rsidP="00647D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0,215</w:t>
            </w:r>
          </w:p>
          <w:p w:rsidR="00647D4A" w:rsidRPr="00FE3B55" w:rsidRDefault="00647D4A" w:rsidP="004E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0,220</w:t>
            </w:r>
          </w:p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D4A" w:rsidRPr="00FE3B55" w:rsidRDefault="00D6020C" w:rsidP="0055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+2,33</w:t>
            </w:r>
          </w:p>
        </w:tc>
      </w:tr>
      <w:tr w:rsidR="00E07613" w:rsidRPr="00E07613" w:rsidTr="00647D4A">
        <w:trPr>
          <w:trHeight w:hRule="exact" w:val="340"/>
          <w:jc w:val="center"/>
        </w:trPr>
        <w:tc>
          <w:tcPr>
            <w:tcW w:w="1275" w:type="dxa"/>
          </w:tcPr>
          <w:p w:rsidR="00647D4A" w:rsidRPr="00E07613" w:rsidRDefault="00647D4A" w:rsidP="00647D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5,950</w:t>
            </w:r>
          </w:p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5,386</w:t>
            </w:r>
          </w:p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D4A" w:rsidRPr="00FE3B55" w:rsidRDefault="00D6020C" w:rsidP="0055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-9,47</w:t>
            </w:r>
          </w:p>
        </w:tc>
      </w:tr>
      <w:tr w:rsidR="00E07613" w:rsidRPr="00E07613" w:rsidTr="00647D4A">
        <w:trPr>
          <w:trHeight w:hRule="exact" w:val="340"/>
          <w:jc w:val="center"/>
        </w:trPr>
        <w:tc>
          <w:tcPr>
            <w:tcW w:w="1275" w:type="dxa"/>
            <w:tcBorders>
              <w:bottom w:val="single" w:sz="6" w:space="0" w:color="auto"/>
            </w:tcBorders>
          </w:tcPr>
          <w:p w:rsidR="00647D4A" w:rsidRPr="00E07613" w:rsidRDefault="00647D4A" w:rsidP="00647D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76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-5,734</w:t>
            </w:r>
          </w:p>
          <w:p w:rsidR="00647D4A" w:rsidRPr="00FE3B55" w:rsidRDefault="00647D4A" w:rsidP="004E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07613" w:rsidRPr="00FE3B55" w:rsidRDefault="00E07613" w:rsidP="00E0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55">
              <w:rPr>
                <w:rFonts w:ascii="Times New Roman" w:hAnsi="Times New Roman" w:cs="Times New Roman"/>
                <w:sz w:val="24"/>
                <w:szCs w:val="24"/>
              </w:rPr>
              <w:t>-5,166</w:t>
            </w:r>
          </w:p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D4A" w:rsidRPr="00FE3B55" w:rsidRDefault="00647D4A" w:rsidP="0064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892" w:rsidRDefault="00FE3892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6FC" w:rsidRPr="00E07613" w:rsidRDefault="000066FC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E07613">
        <w:rPr>
          <w:rFonts w:ascii="Times New Roman" w:hAnsi="Times New Roman" w:cs="Times New Roman"/>
          <w:b/>
          <w:sz w:val="24"/>
          <w:szCs w:val="24"/>
        </w:rPr>
        <w:lastRenderedPageBreak/>
        <w:t>Principale mărfuri exportate (</w:t>
      </w:r>
      <w:r w:rsidRPr="00E07613">
        <w:rPr>
          <w:rFonts w:ascii="Times New Roman" w:hAnsi="Times New Roman" w:cs="Times New Roman"/>
          <w:b/>
          <w:sz w:val="24"/>
          <w:szCs w:val="24"/>
          <w:lang w:eastAsia="ru-RU"/>
        </w:rPr>
        <w:t>mi</w:t>
      </w:r>
      <w:r w:rsidR="008F1CFF" w:rsidRPr="00E07613">
        <w:rPr>
          <w:rFonts w:ascii="Times New Roman" w:hAnsi="Times New Roman" w:cs="Times New Roman"/>
          <w:b/>
          <w:sz w:val="24"/>
          <w:szCs w:val="24"/>
          <w:lang w:eastAsia="ru-RU"/>
        </w:rPr>
        <w:t>i</w:t>
      </w:r>
      <w:r w:rsidRPr="00E07613">
        <w:rPr>
          <w:rFonts w:ascii="Times New Roman" w:hAnsi="Times New Roman" w:cs="Times New Roman"/>
          <w:b/>
          <w:sz w:val="24"/>
          <w:szCs w:val="24"/>
          <w:lang w:eastAsia="ru-RU"/>
        </w:rPr>
        <w:t>. USD)</w:t>
      </w:r>
    </w:p>
    <w:tbl>
      <w:tblPr>
        <w:tblW w:w="9762" w:type="dxa"/>
        <w:jc w:val="center"/>
        <w:tblLook w:val="00A0" w:firstRow="1" w:lastRow="0" w:firstColumn="1" w:lastColumn="0" w:noHBand="0" w:noVBand="0"/>
      </w:tblPr>
      <w:tblGrid>
        <w:gridCol w:w="656"/>
        <w:gridCol w:w="3624"/>
        <w:gridCol w:w="1452"/>
        <w:gridCol w:w="1440"/>
        <w:gridCol w:w="1158"/>
        <w:gridCol w:w="1432"/>
      </w:tblGrid>
      <w:tr w:rsidR="000066FC" w:rsidRPr="00E673F2" w:rsidTr="00CF6A8C">
        <w:trPr>
          <w:trHeight w:val="31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NM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Mărfuri exportate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ianuarie-</w:t>
            </w:r>
            <w:r w:rsidR="009B3629"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noiembrie</w:t>
            </w: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2015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ianuarie-</w:t>
            </w:r>
            <w:r w:rsidR="009B3629"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noiembrie</w:t>
            </w: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2016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66FC" w:rsidRPr="00E673F2" w:rsidRDefault="000066FC" w:rsidP="00FE770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Dinamica</w:t>
            </w:r>
          </w:p>
          <w:p w:rsidR="000066FC" w:rsidRPr="00E673F2" w:rsidRDefault="000066FC" w:rsidP="00FE770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2016/2015 %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66FC" w:rsidRPr="00E673F2" w:rsidRDefault="000066FC" w:rsidP="00E72869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Cota din totalul exporturilor %</w:t>
            </w:r>
          </w:p>
        </w:tc>
      </w:tr>
      <w:tr w:rsidR="00CF6A8C" w:rsidRPr="00E673F2" w:rsidTr="00E673F2">
        <w:trPr>
          <w:trHeight w:val="31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A8C" w:rsidRPr="00E673F2" w:rsidRDefault="00CF6A8C" w:rsidP="00CF6A8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A8C" w:rsidRPr="00E673F2" w:rsidRDefault="00CF6A8C" w:rsidP="00CF6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Export total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8C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8C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8C" w:rsidRPr="008F1CFF" w:rsidRDefault="00D6020C" w:rsidP="00CF6A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+2,19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A8C" w:rsidRPr="008F1CFF" w:rsidRDefault="00D6020C" w:rsidP="00CF6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  <w:tr w:rsidR="00126717" w:rsidRPr="00E673F2" w:rsidTr="00445FAF">
        <w:trPr>
          <w:trHeight w:val="34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8438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aparate, nedenumite si necuprinse in alta parte in acest capitol, pentru prepararea sau fabricarea industriala a alimentelor sau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bauturilor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altele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decit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masinile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aparatele pentru extragerea sau prepararea uleiurilor sau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grasimilor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vegetale stabile sau animale: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D6020C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+88,05 mii USD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D6020C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39,92</w:t>
            </w:r>
          </w:p>
        </w:tc>
      </w:tr>
      <w:tr w:rsidR="00126717" w:rsidRPr="00E673F2" w:rsidTr="00445FAF">
        <w:trPr>
          <w:trHeight w:val="31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1206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Seminte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floarea-soarelui, chiar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sfarimate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D6020C" w:rsidP="00D602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-55,96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D6020C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33,37</w:t>
            </w:r>
          </w:p>
        </w:tc>
      </w:tr>
      <w:tr w:rsidR="00126717" w:rsidRPr="00E673F2" w:rsidTr="00445FAF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2204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Vinuri din struguri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proaspeti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inclusiv vinurile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imbogatite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cu alcool; musturi de struguri, altele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decit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cele de la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pozitia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2009: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126717" w:rsidP="00D602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D6020C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proofErr w:type="spellStart"/>
            <w:r w:rsidR="00D6020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spellEnd"/>
            <w:r w:rsidR="00D6020C">
              <w:rPr>
                <w:rFonts w:ascii="Times New Roman" w:hAnsi="Times New Roman" w:cs="Times New Roman"/>
                <w:sz w:val="22"/>
                <w:szCs w:val="22"/>
              </w:rPr>
              <w:t xml:space="preserve"> ori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A8627F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</w:tr>
      <w:tr w:rsidR="00126717" w:rsidRPr="00E673F2" w:rsidTr="00445FAF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4821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Etichete de toate genurile, din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hirtie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sau carton, imprimate sau nu: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126717" w:rsidP="00A86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A8627F">
              <w:rPr>
                <w:rFonts w:ascii="Times New Roman" w:hAnsi="Times New Roman" w:cs="Times New Roman"/>
                <w:sz w:val="22"/>
                <w:szCs w:val="22"/>
              </w:rPr>
              <w:t>4,3 ori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A8627F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126717" w:rsidRPr="00E673F2" w:rsidTr="00445FAF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8471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automate de prelucrare a datelor si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unitati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ale acestora; cititoare magnetice sau optice,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pentru transpunerea datelor pe suport sub forma codificata si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prelucrare a acestor date, nedenumite si necuprinse in alta parte: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126717" w:rsidP="00A86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A8627F">
              <w:rPr>
                <w:rFonts w:ascii="Times New Roman" w:hAnsi="Times New Roman" w:cs="Times New Roman"/>
                <w:sz w:val="22"/>
                <w:szCs w:val="22"/>
              </w:rPr>
              <w:t>2,03 ori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A8627F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2,66</w:t>
            </w:r>
          </w:p>
        </w:tc>
      </w:tr>
      <w:tr w:rsidR="00126717" w:rsidRPr="00E673F2" w:rsidTr="00445FAF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8309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Dopuri (inclusiv dopurile cu coroana, cu filet si de turnare in pahare), capace, capsule pentru sticle, cepuri filetate, acoperitoare de cepuri, sigilii si alte accesorii pentru ambalaje, din metale comune: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A8627F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+2,86 ori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A8627F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1,27</w:t>
            </w:r>
          </w:p>
        </w:tc>
      </w:tr>
      <w:tr w:rsidR="00126717" w:rsidRPr="00E673F2" w:rsidTr="00445FAF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717" w:rsidRPr="001B01AC" w:rsidRDefault="00126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8473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17" w:rsidRPr="001B01AC" w:rsidRDefault="001267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Parti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accesorii (altele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decit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cutiile de transport, husele si altele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asemanatoare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care pot fi recunoscute ca fiind in exclusivitate sau in principal destinate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masinilor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sau aparatelor de la </w:t>
            </w:r>
            <w:proofErr w:type="spellStart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pozitiile</w:t>
            </w:r>
            <w:proofErr w:type="spellEnd"/>
            <w:r w:rsidRPr="001B01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8469-8472: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717" w:rsidRPr="001B01AC" w:rsidRDefault="00126717" w:rsidP="001B01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B01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717" w:rsidRPr="001B01AC" w:rsidRDefault="00126717" w:rsidP="00A86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1AC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A8627F">
              <w:rPr>
                <w:rFonts w:ascii="Times New Roman" w:hAnsi="Times New Roman" w:cs="Times New Roman"/>
                <w:sz w:val="22"/>
                <w:szCs w:val="22"/>
              </w:rPr>
              <w:t>0,16 mii USD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17" w:rsidRPr="001B01AC" w:rsidRDefault="00A8627F" w:rsidP="00A86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</w:tr>
    </w:tbl>
    <w:p w:rsidR="00FE3B55" w:rsidRDefault="00FE3B55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B55" w:rsidRDefault="00FE3B55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B55" w:rsidRDefault="00FE3B55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6FC" w:rsidRPr="00E673F2" w:rsidRDefault="000066FC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E673F2">
        <w:rPr>
          <w:rFonts w:ascii="Times New Roman" w:hAnsi="Times New Roman" w:cs="Times New Roman"/>
          <w:b/>
          <w:sz w:val="24"/>
          <w:szCs w:val="24"/>
        </w:rPr>
        <w:t>Principale mărfuri importate</w:t>
      </w:r>
      <w:r w:rsidRPr="00E673F2">
        <w:rPr>
          <w:rFonts w:ascii="Times New Roman" w:hAnsi="Times New Roman" w:cs="Times New Roman"/>
          <w:sz w:val="24"/>
          <w:szCs w:val="24"/>
        </w:rPr>
        <w:t xml:space="preserve"> </w:t>
      </w:r>
      <w:r w:rsidRPr="00E673F2">
        <w:rPr>
          <w:rFonts w:ascii="Times New Roman" w:hAnsi="Times New Roman" w:cs="Times New Roman"/>
          <w:b/>
          <w:sz w:val="24"/>
          <w:szCs w:val="24"/>
        </w:rPr>
        <w:t>(</w:t>
      </w:r>
      <w:r w:rsidR="00A8627F">
        <w:rPr>
          <w:rFonts w:ascii="Times New Roman" w:hAnsi="Times New Roman" w:cs="Times New Roman"/>
          <w:b/>
          <w:sz w:val="24"/>
          <w:szCs w:val="24"/>
          <w:lang w:eastAsia="ru-RU"/>
        </w:rPr>
        <w:t>mii</w:t>
      </w:r>
      <w:r w:rsidRPr="00E673F2">
        <w:rPr>
          <w:rFonts w:ascii="Times New Roman" w:hAnsi="Times New Roman" w:cs="Times New Roman"/>
          <w:b/>
          <w:sz w:val="24"/>
          <w:szCs w:val="24"/>
          <w:lang w:eastAsia="ru-RU"/>
        </w:rPr>
        <w:t>. USD)</w:t>
      </w:r>
    </w:p>
    <w:tbl>
      <w:tblPr>
        <w:tblW w:w="9782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710"/>
        <w:gridCol w:w="3685"/>
        <w:gridCol w:w="1418"/>
        <w:gridCol w:w="1275"/>
        <w:gridCol w:w="1276"/>
        <w:gridCol w:w="1418"/>
      </w:tblGrid>
      <w:tr w:rsidR="000066FC" w:rsidRPr="00E673F2" w:rsidTr="00E72869"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NM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Mărfuri importate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ianuarie-</w:t>
            </w:r>
            <w:r w:rsidR="009B3629"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noiembrie</w:t>
            </w: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66FC" w:rsidRPr="00E673F2" w:rsidRDefault="000066FC" w:rsidP="00FE7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ianuarie-</w:t>
            </w:r>
            <w:r w:rsidR="009B3629"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noiembrie</w:t>
            </w: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66FC" w:rsidRPr="00E673F2" w:rsidRDefault="000066FC" w:rsidP="00FE770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Dinamica</w:t>
            </w:r>
          </w:p>
          <w:p w:rsidR="000066FC" w:rsidRPr="00E673F2" w:rsidRDefault="000066FC" w:rsidP="00FE770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2016/2015 %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869" w:rsidRDefault="000066FC" w:rsidP="00E72869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Cota din totalul importurilor</w:t>
            </w:r>
          </w:p>
          <w:p w:rsidR="000066FC" w:rsidRPr="00E673F2" w:rsidRDefault="000066FC" w:rsidP="00E72869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673F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%</w:t>
            </w:r>
          </w:p>
        </w:tc>
      </w:tr>
      <w:tr w:rsidR="003B30A4" w:rsidRPr="00E673F2" w:rsidTr="00E72869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A4" w:rsidRPr="00E673F2" w:rsidRDefault="003B30A4" w:rsidP="003B3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0A4" w:rsidRPr="00E673F2" w:rsidRDefault="003B30A4" w:rsidP="003B3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E673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Import total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0A4" w:rsidRPr="00E07613" w:rsidRDefault="00A8627F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E07613" w:rsidRPr="00E07613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0A4" w:rsidRPr="00E07613" w:rsidRDefault="00A8627F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="00E07613" w:rsidRPr="00E07613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A4" w:rsidRPr="008F1CFF" w:rsidRDefault="00A8627F" w:rsidP="003B30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A4" w:rsidRPr="008F1CFF" w:rsidRDefault="003B30A4" w:rsidP="003B3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8F1CF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o-RO"/>
              </w:rPr>
              <w:t>100</w:t>
            </w:r>
          </w:p>
        </w:tc>
      </w:tr>
      <w:tr w:rsidR="00E07613" w:rsidRPr="00E673F2" w:rsidTr="0086287A">
        <w:trPr>
          <w:trHeight w:val="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Alcool etilic nedenaturat cu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tarie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alcoolica sub 80%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vol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; distilate, rachiuri, lichioruri si alte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bauturi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spirtoase: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1 337,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A8627F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+39,92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A8627F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24,82</w:t>
            </w:r>
          </w:p>
        </w:tc>
      </w:tr>
      <w:tr w:rsidR="00E07613" w:rsidRPr="00E673F2" w:rsidTr="0086287A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3004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Medicamente (cu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exceptia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produselor de la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pozitiile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3002, 3005 sau 3006) constituite din produse amestecate sau neamestecate, preparate in scopuri terapeutice sau profilactice, prezentate sub forma de doze (inclusiv cele prezentate in forma de sistem terapeutic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transdermic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sau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conditionate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pentru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vinzarea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amanuntul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733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1 073,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A8627F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+46,24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A8627F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19,93</w:t>
            </w:r>
          </w:p>
        </w:tc>
      </w:tr>
      <w:tr w:rsidR="00E07613" w:rsidRPr="00E673F2" w:rsidTr="0086287A">
        <w:trPr>
          <w:trHeight w:val="4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1901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Extracte de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malt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; preparate alimentare din faina, crupe, gris, amidon, fecule sau extracte de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malt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care nu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contin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cacao sau care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contin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cacao intr-o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proportie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sub 40% din greutate, calculata pe o baza complet degresata, nedenumite si necuprinse in alta parte; preparate alimentare din produsele de la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pozitiile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0401–0404, care nu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contin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cacao sau care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contin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cacao intr-o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proportie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sub 5% din greutate calculata pe o baza complet degresata, nedenumite si necuprinse in alta parte: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A8627F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+5,15 ori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A8627F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9,2</w:t>
            </w:r>
          </w:p>
        </w:tc>
      </w:tr>
      <w:tr w:rsidR="00E07613" w:rsidRPr="00E673F2" w:rsidTr="0086287A">
        <w:trPr>
          <w:trHeight w:val="3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8418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Frigidere, congelatoare si alte echipamente pentru producerea frigului, electrice sau nu; pompe de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caldura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altele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decit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masinile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aparatele pentru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conditionarea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aerului de la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pozitia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8415: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A8627F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+270,12 mii USD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A8627F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5,02</w:t>
            </w:r>
          </w:p>
        </w:tc>
      </w:tr>
      <w:tr w:rsidR="00E07613" w:rsidRPr="00E673F2" w:rsidTr="0086287A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0303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Pesti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congelati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cu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exceptia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fileurilor de peste si a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carnii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peste de la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pozitia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0304: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A8627F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+17,56 ori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A8627F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4,76</w:t>
            </w:r>
          </w:p>
        </w:tc>
      </w:tr>
      <w:tr w:rsidR="00E07613" w:rsidRPr="00E673F2" w:rsidTr="0086287A">
        <w:trPr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Articole si aparate de ortopedie, inclusiv centurile si bandajele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medicochirurgicale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cirjele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; atele,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gutiere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alte articole si aparate </w:t>
            </w: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pentru fracturi; articole si aparate de proteza; aparate pentru facilitarea auzului surzilor si alte aparate care se poarta, se duc in mina sau care se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implanteaza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 organism pentru compensarea unei deficiente sau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infirmitati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A8627F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+0,47 mii USD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E30CD1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4,11</w:t>
            </w:r>
          </w:p>
        </w:tc>
      </w:tr>
      <w:tr w:rsidR="00E07613" w:rsidRPr="00E673F2" w:rsidTr="0086287A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3006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Preparate si articole farmaceutice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mentionate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la nota 4 a capitolului: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E30CD1" w:rsidP="00AA5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-63,02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E30CD1" w:rsidP="00E30C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3,07</w:t>
            </w:r>
          </w:p>
        </w:tc>
      </w:tr>
      <w:tr w:rsidR="00E07613" w:rsidRPr="00E673F2" w:rsidTr="0086287A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Preparate pentru igiena bucala sau dentara, inclusiv pudrele si cremele pentru facilitarea aderentei protezelor dentare; fire utilizate pentru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curatarea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spatiilor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interdentare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(fire dentare), in ambalaje individuale pentru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vinzarea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amanuntul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E30CD1" w:rsidP="00E3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-6,45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E30CD1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</w:t>
            </w:r>
          </w:p>
        </w:tc>
      </w:tr>
      <w:tr w:rsidR="00E07613" w:rsidRPr="00E673F2" w:rsidTr="0086287A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13" w:rsidRPr="00E07613" w:rsidRDefault="00E076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613" w:rsidRPr="00E07613" w:rsidRDefault="00E076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Discuri, benzi, dispozitive de stocare remanenta a datelor pe baza de semiconductori, „cartele inteligente” si alte suporturi pentru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inregistrarea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sunetului sau pentru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inregistrari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similare, chiar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inregistrate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inclusiv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matritele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 formele galvanizate pentru fabricarea discurilor, altele </w:t>
            </w:r>
            <w:proofErr w:type="spellStart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decit</w:t>
            </w:r>
            <w:proofErr w:type="spellEnd"/>
            <w:r w:rsidRPr="00E07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produsele de la capitolul 37: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613" w:rsidRPr="00E07613" w:rsidRDefault="00E07613" w:rsidP="00E076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07613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13" w:rsidRPr="00AA502A" w:rsidRDefault="00E07613" w:rsidP="00E30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2A">
              <w:rPr>
                <w:rFonts w:ascii="Times New Roman" w:hAnsi="Times New Roman" w:cs="Times New Roman"/>
              </w:rPr>
              <w:t>-</w:t>
            </w:r>
            <w:r w:rsidR="00E30CD1">
              <w:rPr>
                <w:rFonts w:ascii="Times New Roman" w:hAnsi="Times New Roman" w:cs="Times New Roman"/>
              </w:rPr>
              <w:t>19,98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13" w:rsidRPr="00E673F2" w:rsidRDefault="00E30CD1" w:rsidP="00C639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2,61</w:t>
            </w:r>
          </w:p>
        </w:tc>
      </w:tr>
    </w:tbl>
    <w:p w:rsidR="000066FC" w:rsidRDefault="000066FC" w:rsidP="004D0F19">
      <w:pPr>
        <w:rPr>
          <w:rFonts w:ascii="Times New Roman" w:hAnsi="Times New Roman" w:cs="Times New Roman"/>
          <w:sz w:val="24"/>
          <w:szCs w:val="24"/>
        </w:rPr>
      </w:pPr>
    </w:p>
    <w:p w:rsidR="006F6833" w:rsidRDefault="006F6833" w:rsidP="006F68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712" w:rsidRPr="00E673F2" w:rsidRDefault="003E5712" w:rsidP="004D0F19">
      <w:pPr>
        <w:rPr>
          <w:rFonts w:ascii="Times New Roman" w:hAnsi="Times New Roman" w:cs="Times New Roman"/>
          <w:sz w:val="24"/>
          <w:szCs w:val="24"/>
        </w:rPr>
      </w:pPr>
    </w:p>
    <w:sectPr w:rsidR="003E5712" w:rsidRPr="00E673F2" w:rsidSect="001C35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6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228FE"/>
    <w:multiLevelType w:val="hybridMultilevel"/>
    <w:tmpl w:val="EA96103C"/>
    <w:lvl w:ilvl="0" w:tplc="15DAA3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19"/>
    <w:rsid w:val="000066FC"/>
    <w:rsid w:val="00026A21"/>
    <w:rsid w:val="00053753"/>
    <w:rsid w:val="00056E74"/>
    <w:rsid w:val="000826E4"/>
    <w:rsid w:val="00085751"/>
    <w:rsid w:val="00096EEF"/>
    <w:rsid w:val="000B4027"/>
    <w:rsid w:val="000B43FD"/>
    <w:rsid w:val="000B6C29"/>
    <w:rsid w:val="000E1403"/>
    <w:rsid w:val="000E5752"/>
    <w:rsid w:val="0010062C"/>
    <w:rsid w:val="001254BD"/>
    <w:rsid w:val="00126717"/>
    <w:rsid w:val="0014389A"/>
    <w:rsid w:val="0014507F"/>
    <w:rsid w:val="0015077A"/>
    <w:rsid w:val="00157297"/>
    <w:rsid w:val="00161749"/>
    <w:rsid w:val="0018441A"/>
    <w:rsid w:val="001960A4"/>
    <w:rsid w:val="00197182"/>
    <w:rsid w:val="001A2B2E"/>
    <w:rsid w:val="001A551A"/>
    <w:rsid w:val="001A7FBB"/>
    <w:rsid w:val="001B01AC"/>
    <w:rsid w:val="001B0B42"/>
    <w:rsid w:val="001C35D0"/>
    <w:rsid w:val="001D6357"/>
    <w:rsid w:val="00205970"/>
    <w:rsid w:val="00256728"/>
    <w:rsid w:val="00293986"/>
    <w:rsid w:val="00327215"/>
    <w:rsid w:val="003470C3"/>
    <w:rsid w:val="0035366D"/>
    <w:rsid w:val="003732C5"/>
    <w:rsid w:val="0038698F"/>
    <w:rsid w:val="00387AE7"/>
    <w:rsid w:val="003B30A4"/>
    <w:rsid w:val="003C62BA"/>
    <w:rsid w:val="003E5712"/>
    <w:rsid w:val="004010F9"/>
    <w:rsid w:val="00432940"/>
    <w:rsid w:val="00442000"/>
    <w:rsid w:val="004A1BC5"/>
    <w:rsid w:val="004D0F19"/>
    <w:rsid w:val="004D1B4F"/>
    <w:rsid w:val="004E4941"/>
    <w:rsid w:val="004F66D4"/>
    <w:rsid w:val="0051571B"/>
    <w:rsid w:val="005556D7"/>
    <w:rsid w:val="00556DFB"/>
    <w:rsid w:val="005776B0"/>
    <w:rsid w:val="00586561"/>
    <w:rsid w:val="005A514D"/>
    <w:rsid w:val="005F2961"/>
    <w:rsid w:val="005F6CA0"/>
    <w:rsid w:val="005F7FDF"/>
    <w:rsid w:val="00607C28"/>
    <w:rsid w:val="00615BAA"/>
    <w:rsid w:val="00647D4A"/>
    <w:rsid w:val="00657CFB"/>
    <w:rsid w:val="00662F02"/>
    <w:rsid w:val="00664E3B"/>
    <w:rsid w:val="00685B4D"/>
    <w:rsid w:val="00690C13"/>
    <w:rsid w:val="006A7D77"/>
    <w:rsid w:val="006B630A"/>
    <w:rsid w:val="006E69E1"/>
    <w:rsid w:val="006F5D62"/>
    <w:rsid w:val="006F6833"/>
    <w:rsid w:val="00727844"/>
    <w:rsid w:val="00740EDC"/>
    <w:rsid w:val="007438D0"/>
    <w:rsid w:val="00782881"/>
    <w:rsid w:val="007879F1"/>
    <w:rsid w:val="00796323"/>
    <w:rsid w:val="007A5D87"/>
    <w:rsid w:val="007B28DD"/>
    <w:rsid w:val="007E538E"/>
    <w:rsid w:val="007F1901"/>
    <w:rsid w:val="007F1FFA"/>
    <w:rsid w:val="00805E42"/>
    <w:rsid w:val="008143AA"/>
    <w:rsid w:val="00823278"/>
    <w:rsid w:val="00823994"/>
    <w:rsid w:val="008258B1"/>
    <w:rsid w:val="0083354F"/>
    <w:rsid w:val="00834C3B"/>
    <w:rsid w:val="00841A74"/>
    <w:rsid w:val="00861777"/>
    <w:rsid w:val="00861E13"/>
    <w:rsid w:val="00864061"/>
    <w:rsid w:val="008651DC"/>
    <w:rsid w:val="0089716A"/>
    <w:rsid w:val="008B5829"/>
    <w:rsid w:val="008C262A"/>
    <w:rsid w:val="008D0A53"/>
    <w:rsid w:val="008D23D9"/>
    <w:rsid w:val="008F1CFF"/>
    <w:rsid w:val="009260AF"/>
    <w:rsid w:val="00942CB6"/>
    <w:rsid w:val="00985C57"/>
    <w:rsid w:val="009B3629"/>
    <w:rsid w:val="009C0652"/>
    <w:rsid w:val="009C5C9D"/>
    <w:rsid w:val="009C62A6"/>
    <w:rsid w:val="009D70E5"/>
    <w:rsid w:val="009E1751"/>
    <w:rsid w:val="009E54AB"/>
    <w:rsid w:val="00A258BD"/>
    <w:rsid w:val="00A272BB"/>
    <w:rsid w:val="00A42BF1"/>
    <w:rsid w:val="00A5077F"/>
    <w:rsid w:val="00A8627F"/>
    <w:rsid w:val="00AA2B49"/>
    <w:rsid w:val="00AA502A"/>
    <w:rsid w:val="00B0444E"/>
    <w:rsid w:val="00B172DD"/>
    <w:rsid w:val="00B22225"/>
    <w:rsid w:val="00B4019F"/>
    <w:rsid w:val="00B6141C"/>
    <w:rsid w:val="00B861F6"/>
    <w:rsid w:val="00BB7917"/>
    <w:rsid w:val="00BE4C9B"/>
    <w:rsid w:val="00BE5406"/>
    <w:rsid w:val="00BE61F1"/>
    <w:rsid w:val="00BF15C1"/>
    <w:rsid w:val="00C12442"/>
    <w:rsid w:val="00C230D0"/>
    <w:rsid w:val="00C30E03"/>
    <w:rsid w:val="00C62D3B"/>
    <w:rsid w:val="00C6399B"/>
    <w:rsid w:val="00C83131"/>
    <w:rsid w:val="00C94A97"/>
    <w:rsid w:val="00CA3492"/>
    <w:rsid w:val="00CA410B"/>
    <w:rsid w:val="00CA6CBF"/>
    <w:rsid w:val="00CB4C50"/>
    <w:rsid w:val="00CC5F8B"/>
    <w:rsid w:val="00CF6A8C"/>
    <w:rsid w:val="00D06448"/>
    <w:rsid w:val="00D145B8"/>
    <w:rsid w:val="00D3308E"/>
    <w:rsid w:val="00D519D2"/>
    <w:rsid w:val="00D556D5"/>
    <w:rsid w:val="00D57665"/>
    <w:rsid w:val="00D6020C"/>
    <w:rsid w:val="00D81310"/>
    <w:rsid w:val="00DA482B"/>
    <w:rsid w:val="00DA721D"/>
    <w:rsid w:val="00DB6290"/>
    <w:rsid w:val="00DF1BC5"/>
    <w:rsid w:val="00E07613"/>
    <w:rsid w:val="00E16F88"/>
    <w:rsid w:val="00E30CD1"/>
    <w:rsid w:val="00E673F2"/>
    <w:rsid w:val="00E72869"/>
    <w:rsid w:val="00E97C09"/>
    <w:rsid w:val="00EC51A2"/>
    <w:rsid w:val="00EE3C7C"/>
    <w:rsid w:val="00EF4743"/>
    <w:rsid w:val="00F13715"/>
    <w:rsid w:val="00F14EB3"/>
    <w:rsid w:val="00F21DB9"/>
    <w:rsid w:val="00F25F19"/>
    <w:rsid w:val="00F33449"/>
    <w:rsid w:val="00F34DA1"/>
    <w:rsid w:val="00F95813"/>
    <w:rsid w:val="00FA1737"/>
    <w:rsid w:val="00FB3031"/>
    <w:rsid w:val="00FC561A"/>
    <w:rsid w:val="00FC6C8D"/>
    <w:rsid w:val="00FD22A0"/>
    <w:rsid w:val="00FE2010"/>
    <w:rsid w:val="00FE3892"/>
    <w:rsid w:val="00FE3B55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o-R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19"/>
  </w:style>
  <w:style w:type="paragraph" w:styleId="1">
    <w:name w:val="heading 1"/>
    <w:basedOn w:val="a"/>
    <w:next w:val="a"/>
    <w:link w:val="10"/>
    <w:uiPriority w:val="9"/>
    <w:qFormat/>
    <w:rsid w:val="004D0F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1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F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F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F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F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0F1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0F1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D0F1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D0F1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D0F1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4D0F1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4D0F1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4D0F1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4D0F1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4D0F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D0F1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D0F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0F1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4D0F19"/>
    <w:rPr>
      <w:b/>
      <w:bCs/>
    </w:rPr>
  </w:style>
  <w:style w:type="character" w:styleId="a9">
    <w:name w:val="Emphasis"/>
    <w:basedOn w:val="a0"/>
    <w:uiPriority w:val="20"/>
    <w:qFormat/>
    <w:rsid w:val="004D0F19"/>
    <w:rPr>
      <w:i/>
      <w:iCs/>
    </w:rPr>
  </w:style>
  <w:style w:type="paragraph" w:styleId="aa">
    <w:name w:val="No Spacing"/>
    <w:uiPriority w:val="1"/>
    <w:qFormat/>
    <w:rsid w:val="004D0F1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D0F1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F1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4D0F1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4D0F1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4D0F1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4D0F1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D0F1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4D0F19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4D0F1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4D0F19"/>
    <w:pPr>
      <w:outlineLvl w:val="9"/>
    </w:pPr>
  </w:style>
  <w:style w:type="table" w:styleId="af3">
    <w:name w:val="Table Grid"/>
    <w:basedOn w:val="a1"/>
    <w:uiPriority w:val="39"/>
    <w:rsid w:val="004D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link w:val="af5"/>
    <w:uiPriority w:val="34"/>
    <w:qFormat/>
    <w:rsid w:val="001A2B2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A5D87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basedOn w:val="a0"/>
    <w:link w:val="af4"/>
    <w:uiPriority w:val="34"/>
    <w:locked/>
    <w:rsid w:val="00CA3492"/>
  </w:style>
  <w:style w:type="character" w:styleId="af8">
    <w:name w:val="page number"/>
    <w:basedOn w:val="a0"/>
    <w:semiHidden/>
    <w:unhideWhenUsed/>
    <w:rsid w:val="006F6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o-R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19"/>
  </w:style>
  <w:style w:type="paragraph" w:styleId="1">
    <w:name w:val="heading 1"/>
    <w:basedOn w:val="a"/>
    <w:next w:val="a"/>
    <w:link w:val="10"/>
    <w:uiPriority w:val="9"/>
    <w:qFormat/>
    <w:rsid w:val="004D0F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1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F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F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F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F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0F1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0F1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D0F1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D0F1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D0F1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4D0F1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4D0F1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4D0F1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4D0F1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4D0F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D0F1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D0F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0F1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4D0F19"/>
    <w:rPr>
      <w:b/>
      <w:bCs/>
    </w:rPr>
  </w:style>
  <w:style w:type="character" w:styleId="a9">
    <w:name w:val="Emphasis"/>
    <w:basedOn w:val="a0"/>
    <w:uiPriority w:val="20"/>
    <w:qFormat/>
    <w:rsid w:val="004D0F19"/>
    <w:rPr>
      <w:i/>
      <w:iCs/>
    </w:rPr>
  </w:style>
  <w:style w:type="paragraph" w:styleId="aa">
    <w:name w:val="No Spacing"/>
    <w:uiPriority w:val="1"/>
    <w:qFormat/>
    <w:rsid w:val="004D0F1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D0F1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F1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4D0F1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4D0F1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4D0F1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4D0F1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D0F1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4D0F19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4D0F1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4D0F19"/>
    <w:pPr>
      <w:outlineLvl w:val="9"/>
    </w:pPr>
  </w:style>
  <w:style w:type="table" w:styleId="af3">
    <w:name w:val="Table Grid"/>
    <w:basedOn w:val="a1"/>
    <w:uiPriority w:val="39"/>
    <w:rsid w:val="004D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link w:val="af5"/>
    <w:uiPriority w:val="34"/>
    <w:qFormat/>
    <w:rsid w:val="001A2B2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A5D87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basedOn w:val="a0"/>
    <w:link w:val="af4"/>
    <w:uiPriority w:val="34"/>
    <w:locked/>
    <w:rsid w:val="00CA3492"/>
  </w:style>
  <w:style w:type="character" w:styleId="af8">
    <w:name w:val="page number"/>
    <w:basedOn w:val="a0"/>
    <w:semiHidden/>
    <w:unhideWhenUsed/>
    <w:rsid w:val="006F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Alexandra</cp:lastModifiedBy>
  <cp:revision>10</cp:revision>
  <cp:lastPrinted>2017-02-21T08:11:00Z</cp:lastPrinted>
  <dcterms:created xsi:type="dcterms:W3CDTF">2017-02-22T12:30:00Z</dcterms:created>
  <dcterms:modified xsi:type="dcterms:W3CDTF">2017-02-23T12:41:00Z</dcterms:modified>
</cp:coreProperties>
</file>