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A81" w:rsidRPr="00B032E8"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Default="00344A81" w:rsidP="00344A81">
      <w:pPr>
        <w:pStyle w:val="ae"/>
        <w:jc w:val="center"/>
        <w:outlineLvl w:val="0"/>
        <w:rPr>
          <w:b/>
          <w:bCs/>
          <w:sz w:val="36"/>
          <w:lang w:val="ro-RO"/>
        </w:rPr>
      </w:pPr>
    </w:p>
    <w:p w:rsidR="00344A81" w:rsidRPr="00B032E8" w:rsidRDefault="00344A81" w:rsidP="00344A81">
      <w:pPr>
        <w:pStyle w:val="ae"/>
        <w:jc w:val="center"/>
        <w:outlineLvl w:val="0"/>
        <w:rPr>
          <w:b/>
          <w:bCs/>
          <w:sz w:val="36"/>
          <w:lang w:val="ro-RO"/>
        </w:rPr>
      </w:pPr>
      <w:r w:rsidRPr="00B032E8">
        <w:rPr>
          <w:b/>
          <w:bCs/>
          <w:sz w:val="36"/>
          <w:lang w:val="ro-RO"/>
        </w:rPr>
        <w:t>Notă informativă</w:t>
      </w:r>
    </w:p>
    <w:p w:rsidR="00344A81" w:rsidRPr="00B032E8" w:rsidRDefault="00344A81" w:rsidP="00344A81">
      <w:pPr>
        <w:pStyle w:val="graphtable"/>
        <w:spacing w:before="0" w:after="0"/>
        <w:jc w:val="center"/>
        <w:rPr>
          <w:rFonts w:ascii="Times New Roman" w:hAnsi="Times New Roman"/>
          <w:b/>
          <w:bCs/>
          <w:sz w:val="40"/>
          <w:szCs w:val="28"/>
          <w:lang w:val="ro-RO"/>
        </w:rPr>
      </w:pPr>
    </w:p>
    <w:p w:rsidR="00344A81" w:rsidRPr="00344A81" w:rsidRDefault="00344A81" w:rsidP="00344A81">
      <w:pPr>
        <w:pStyle w:val="graphtable"/>
        <w:spacing w:before="0" w:after="0"/>
        <w:jc w:val="center"/>
        <w:outlineLvl w:val="0"/>
        <w:rPr>
          <w:rFonts w:ascii="Times New Roman" w:hAnsi="Times New Roman"/>
          <w:b/>
          <w:bCs/>
          <w:sz w:val="40"/>
          <w:szCs w:val="40"/>
          <w:lang w:val="ro-RO"/>
          <w14:shadow w14:blurRad="50800" w14:dist="38100" w14:dir="2700000" w14:sx="100000" w14:sy="100000" w14:kx="0" w14:ky="0" w14:algn="tl">
            <w14:srgbClr w14:val="000000">
              <w14:alpha w14:val="60000"/>
            </w14:srgbClr>
          </w14:shadow>
        </w:rPr>
      </w:pPr>
      <w:r w:rsidRPr="00344A81">
        <w:rPr>
          <w:rFonts w:ascii="Times New Roman" w:hAnsi="Times New Roman"/>
          <w:b/>
          <w:bCs/>
          <w:sz w:val="40"/>
          <w:szCs w:val="40"/>
          <w:lang w:val="ro-RO"/>
          <w14:shadow w14:blurRad="50800" w14:dist="38100" w14:dir="2700000" w14:sx="100000" w14:sy="100000" w14:kx="0" w14:ky="0" w14:algn="tl">
            <w14:srgbClr w14:val="000000">
              <w14:alpha w14:val="60000"/>
            </w14:srgbClr>
          </w14:shadow>
        </w:rPr>
        <w:t>S</w:t>
      </w:r>
      <w:r w:rsidR="009467A7">
        <w:rPr>
          <w:rFonts w:ascii="Times New Roman" w:hAnsi="Times New Roman"/>
          <w:b/>
          <w:bCs/>
          <w:sz w:val="40"/>
          <w:szCs w:val="40"/>
          <w:lang w:val="ro-RO"/>
          <w14:shadow w14:blurRad="50800" w14:dist="38100" w14:dir="2700000" w14:sx="100000" w14:sy="100000" w14:kx="0" w14:ky="0" w14:algn="tl">
            <w14:srgbClr w14:val="000000">
              <w14:alpha w14:val="60000"/>
            </w14:srgbClr>
          </w14:shadow>
        </w:rPr>
        <w:t>ĂRĂCIA ÎN REPUBLICA MOLDOVA 2015</w:t>
      </w:r>
      <w:bookmarkStart w:id="0" w:name="_GoBack"/>
      <w:bookmarkEnd w:id="0"/>
    </w:p>
    <w:sdt>
      <w:sdtPr>
        <w:id w:val="-1880697887"/>
        <w:docPartObj>
          <w:docPartGallery w:val="Cover Pages"/>
          <w:docPartUnique/>
        </w:docPartObj>
      </w:sdtPr>
      <w:sdtEndPr>
        <w:rPr>
          <w:b/>
        </w:rPr>
      </w:sdtEndPr>
      <w:sdtContent>
        <w:p w:rsidR="00344A81" w:rsidRDefault="00344A81"/>
        <w:p w:rsidR="00344A81" w:rsidRDefault="00344A81"/>
        <w:p w:rsidR="00344A81" w:rsidRDefault="00344A81"/>
        <w:p w:rsidR="00344A81" w:rsidRDefault="00344A81">
          <w:pPr>
            <w:rPr>
              <w:rFonts w:eastAsia="Times New Roman" w:cs="Times New Roman"/>
              <w:b/>
              <w:sz w:val="28"/>
              <w:szCs w:val="20"/>
              <w:lang w:val="ro-RO" w:eastAsia="ru-RU"/>
            </w:rPr>
          </w:pPr>
          <w:r>
            <w:rPr>
              <w:b/>
            </w:rPr>
            <w:br w:type="page"/>
          </w:r>
        </w:p>
      </w:sdtContent>
    </w:sdt>
    <w:p w:rsidR="00E13F76" w:rsidRPr="00344A81" w:rsidRDefault="0038189F" w:rsidP="006A12E4">
      <w:pPr>
        <w:pStyle w:val="a3"/>
        <w:spacing w:before="120"/>
        <w:jc w:val="both"/>
        <w:rPr>
          <w:rFonts w:asciiTheme="minorHAnsi" w:hAnsiTheme="minorHAnsi"/>
          <w:b/>
        </w:rPr>
      </w:pPr>
      <w:r w:rsidRPr="00344A81">
        <w:rPr>
          <w:rFonts w:asciiTheme="minorHAnsi" w:hAnsiTheme="minorHAnsi"/>
          <w:b/>
        </w:rPr>
        <w:lastRenderedPageBreak/>
        <w:t xml:space="preserve">TENDINŢELE PRINCIPALE </w:t>
      </w:r>
      <w:r w:rsidR="005D12AE" w:rsidRPr="00344A81">
        <w:rPr>
          <w:rFonts w:asciiTheme="minorHAnsi" w:hAnsiTheme="minorHAnsi"/>
          <w:b/>
        </w:rPr>
        <w:t>ALE</w:t>
      </w:r>
      <w:r w:rsidRPr="00344A81">
        <w:rPr>
          <w:rFonts w:asciiTheme="minorHAnsi" w:hAnsiTheme="minorHAnsi"/>
          <w:b/>
        </w:rPr>
        <w:t xml:space="preserve"> SĂRĂCIEI </w:t>
      </w:r>
      <w:r w:rsidR="005D12AE" w:rsidRPr="00344A81">
        <w:rPr>
          <w:rFonts w:asciiTheme="minorHAnsi" w:hAnsiTheme="minorHAnsi"/>
          <w:b/>
        </w:rPr>
        <w:t>în 2015</w:t>
      </w:r>
    </w:p>
    <w:p w:rsidR="005D12AE" w:rsidRPr="00344A81" w:rsidRDefault="005D12AE" w:rsidP="006A12E4">
      <w:pPr>
        <w:pStyle w:val="a3"/>
        <w:spacing w:before="120"/>
        <w:jc w:val="both"/>
        <w:rPr>
          <w:rFonts w:asciiTheme="minorHAnsi" w:hAnsiTheme="minorHAnsi"/>
          <w:b/>
        </w:rPr>
      </w:pPr>
    </w:p>
    <w:p w:rsidR="008E0032" w:rsidRPr="00344A81" w:rsidRDefault="00B153F8" w:rsidP="00C6535A">
      <w:pPr>
        <w:spacing w:before="120"/>
        <w:jc w:val="both"/>
        <w:rPr>
          <w:color w:val="000000"/>
          <w:sz w:val="24"/>
          <w:szCs w:val="24"/>
          <w:lang w:val="ro-RO"/>
        </w:rPr>
      </w:pPr>
      <w:r w:rsidRPr="00344A81">
        <w:rPr>
          <w:rFonts w:cs="Times New Roman"/>
          <w:noProof/>
          <w:color w:val="000000"/>
          <w:sz w:val="24"/>
          <w:szCs w:val="24"/>
        </w:rPr>
        <mc:AlternateContent>
          <mc:Choice Requires="wps">
            <w:drawing>
              <wp:anchor distT="0" distB="0" distL="114300" distR="114300" simplePos="0" relativeHeight="251658240" behindDoc="0" locked="0" layoutInCell="1" allowOverlap="1" wp14:anchorId="6FAF40DB" wp14:editId="31580699">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B153F8" w:rsidRPr="00B153F8" w:rsidRDefault="00B153F8" w:rsidP="006A12E4">
                            <w:pPr>
                              <w:spacing w:before="120" w:after="120"/>
                              <w:jc w:val="both"/>
                              <w:rPr>
                                <w:rFonts w:cs="Times New Roman"/>
                                <w:b/>
                                <w:color w:val="000000"/>
                                <w:sz w:val="20"/>
                                <w:szCs w:val="24"/>
                                <w:lang w:val="ro-RO"/>
                              </w:rPr>
                            </w:pPr>
                            <w:r w:rsidRPr="00B153F8">
                              <w:rPr>
                                <w:rFonts w:cs="Times New Roman"/>
                                <w:b/>
                                <w:color w:val="000000"/>
                                <w:sz w:val="20"/>
                                <w:szCs w:val="24"/>
                                <w:lang w:val="ro-RO"/>
                              </w:rPr>
                              <w:t>Notă</w:t>
                            </w:r>
                            <w:r w:rsidR="008C3EC6">
                              <w:rPr>
                                <w:rFonts w:cs="Times New Roman"/>
                                <w:b/>
                                <w:color w:val="000000"/>
                                <w:sz w:val="20"/>
                                <w:szCs w:val="24"/>
                                <w:lang w:val="ro-RO"/>
                              </w:rPr>
                              <w:t>:</w:t>
                            </w:r>
                            <w:r w:rsidRPr="00B153F8">
                              <w:rPr>
                                <w:rFonts w:cs="Times New Roman"/>
                                <w:b/>
                                <w:color w:val="000000"/>
                                <w:sz w:val="20"/>
                                <w:szCs w:val="24"/>
                                <w:lang w:val="ro-RO"/>
                              </w:rPr>
                              <w:t xml:space="preserve"> </w:t>
                            </w:r>
                            <w:r w:rsidR="0038189F">
                              <w:rPr>
                                <w:rFonts w:cs="Times New Roman"/>
                                <w:b/>
                                <w:color w:val="000000"/>
                                <w:sz w:val="20"/>
                                <w:szCs w:val="24"/>
                                <w:lang w:val="ro-RO"/>
                              </w:rPr>
                              <w:t>L</w:t>
                            </w:r>
                            <w:r w:rsidRPr="00B153F8">
                              <w:rPr>
                                <w:rFonts w:cs="Times New Roman"/>
                                <w:b/>
                                <w:color w:val="000000"/>
                                <w:sz w:val="20"/>
                                <w:szCs w:val="24"/>
                                <w:lang w:val="ro-RO"/>
                              </w:rPr>
                              <w:t>imitări metodologice</w:t>
                            </w:r>
                            <w:r>
                              <w:rPr>
                                <w:rFonts w:cs="Times New Roman"/>
                                <w:b/>
                                <w:color w:val="000000"/>
                                <w:sz w:val="20"/>
                                <w:szCs w:val="24"/>
                                <w:lang w:val="ro-RO"/>
                              </w:rPr>
                              <w:t xml:space="preserve"> </w:t>
                            </w:r>
                          </w:p>
                          <w:p w:rsidR="00B153F8" w:rsidRPr="00B153F8" w:rsidRDefault="00B153F8" w:rsidP="006A12E4">
                            <w:pPr>
                              <w:spacing w:before="120" w:after="120"/>
                              <w:jc w:val="both"/>
                              <w:rPr>
                                <w:rFonts w:cs="Times New Roman"/>
                                <w:color w:val="000000"/>
                                <w:sz w:val="20"/>
                                <w:szCs w:val="24"/>
                                <w:lang w:val="ro-RO"/>
                              </w:rPr>
                            </w:pPr>
                            <w:r w:rsidRPr="00B153F8">
                              <w:rPr>
                                <w:rFonts w:cs="Times New Roman"/>
                                <w:color w:val="000000"/>
                                <w:sz w:val="20"/>
                                <w:szCs w:val="24"/>
                                <w:lang w:val="ro-RO"/>
                              </w:rPr>
                              <w:t xml:space="preserve">Biroul Național de Statistică (în continuare - BNS) este instituţia care calculează şi furnizează datele statistice cu privire la sărăcie. Sursa principală de informație pentru calcularea indicatorilor sărăciei este Cercetarea Bugetelor Gospodăriilor Casnice (în continuare – CBGC), care conține informații cu privire la nivelul și structura veniturilor disponibile, cheltuielilor de consum ale diferitor grupuri social-economice, condițiilor de trai și o serie de alți indicatori ce caracterizează </w:t>
                            </w:r>
                            <w:r w:rsidR="00380456">
                              <w:rPr>
                                <w:rFonts w:cs="Times New Roman"/>
                                <w:color w:val="000000"/>
                                <w:sz w:val="20"/>
                                <w:szCs w:val="24"/>
                                <w:lang w:val="ro-RO"/>
                              </w:rPr>
                              <w:t>bunăstarea</w:t>
                            </w:r>
                            <w:r w:rsidR="0038189F">
                              <w:rPr>
                                <w:rFonts w:cs="Times New Roman"/>
                                <w:color w:val="000000"/>
                                <w:sz w:val="20"/>
                                <w:szCs w:val="24"/>
                                <w:lang w:val="ro-RO"/>
                              </w:rPr>
                              <w:t xml:space="preserve"> populației</w:t>
                            </w:r>
                            <w:r w:rsidRPr="00B153F8">
                              <w:rPr>
                                <w:rFonts w:cs="Times New Roman"/>
                                <w:color w:val="000000"/>
                                <w:sz w:val="20"/>
                                <w:szCs w:val="24"/>
                                <w:lang w:val="ro-RO"/>
                              </w:rPr>
                              <w:t xml:space="preserve">. </w:t>
                            </w:r>
                          </w:p>
                          <w:p w:rsidR="00B153F8" w:rsidRPr="00B153F8" w:rsidRDefault="00B153F8" w:rsidP="006A12E4">
                            <w:pPr>
                              <w:spacing w:before="120" w:after="120"/>
                              <w:jc w:val="both"/>
                              <w:rPr>
                                <w:rFonts w:cs="Times New Roman"/>
                                <w:color w:val="000000"/>
                                <w:sz w:val="20"/>
                                <w:szCs w:val="24"/>
                                <w:lang w:val="ro-RO"/>
                              </w:rPr>
                            </w:pPr>
                            <w:r w:rsidRPr="00B153F8">
                              <w:rPr>
                                <w:rFonts w:cs="Times New Roman"/>
                                <w:color w:val="000000"/>
                                <w:sz w:val="20"/>
                                <w:szCs w:val="24"/>
                                <w:lang w:val="ro-RO"/>
                              </w:rPr>
                              <w:t xml:space="preserve">Metodologia actuală de măsurare a sărăciei a fost elaborată în 2006 cu asistența tehnică a </w:t>
                            </w:r>
                            <w:r w:rsidR="008C3EC6" w:rsidRPr="00B153F8">
                              <w:rPr>
                                <w:rFonts w:cs="Times New Roman"/>
                                <w:color w:val="000000"/>
                                <w:sz w:val="20"/>
                                <w:szCs w:val="24"/>
                                <w:lang w:val="ro-RO"/>
                              </w:rPr>
                              <w:t>experților</w:t>
                            </w:r>
                            <w:r w:rsidRPr="00B153F8">
                              <w:rPr>
                                <w:rFonts w:cs="Times New Roman"/>
                                <w:color w:val="000000"/>
                                <w:sz w:val="20"/>
                                <w:szCs w:val="24"/>
                                <w:lang w:val="ro-RO"/>
                              </w:rPr>
                              <w:t xml:space="preserve"> </w:t>
                            </w:r>
                            <w:r w:rsidR="008C3EC6" w:rsidRPr="00B153F8">
                              <w:rPr>
                                <w:rFonts w:cs="Times New Roman"/>
                                <w:color w:val="000000"/>
                                <w:sz w:val="20"/>
                                <w:szCs w:val="24"/>
                                <w:lang w:val="ro-RO"/>
                              </w:rPr>
                              <w:t>internaționali</w:t>
                            </w:r>
                            <w:r w:rsidRPr="00B153F8">
                              <w:rPr>
                                <w:rFonts w:cs="Times New Roman"/>
                                <w:color w:val="000000"/>
                                <w:sz w:val="20"/>
                                <w:szCs w:val="24"/>
                                <w:lang w:val="ro-RO"/>
                              </w:rPr>
                              <w:t xml:space="preserve"> şi este în corespundere cu standardele internaţionale. În același timp, există motive din care cauză metodologia de măsurare a sărăciei a regresat în timp, iar calitatea datelor a avut de suferit, printre care: </w:t>
                            </w:r>
                          </w:p>
                          <w:p w:rsidR="00B153F8" w:rsidRPr="00B153F8" w:rsidRDefault="00B153F8" w:rsidP="00892857">
                            <w:pPr>
                              <w:pStyle w:val="a8"/>
                              <w:numPr>
                                <w:ilvl w:val="0"/>
                                <w:numId w:val="1"/>
                              </w:numPr>
                              <w:spacing w:before="120" w:after="120"/>
                              <w:ind w:left="426"/>
                              <w:jc w:val="both"/>
                              <w:rPr>
                                <w:rFonts w:cs="Times New Roman"/>
                                <w:color w:val="000000"/>
                                <w:sz w:val="20"/>
                                <w:szCs w:val="24"/>
                                <w:lang w:val="ro-RO"/>
                              </w:rPr>
                            </w:pPr>
                            <w:r w:rsidRPr="00B153F8">
                              <w:rPr>
                                <w:rFonts w:cs="Times New Roman"/>
                                <w:b/>
                                <w:color w:val="000000"/>
                                <w:sz w:val="20"/>
                                <w:szCs w:val="24"/>
                                <w:lang w:val="ro-RO"/>
                              </w:rPr>
                              <w:t>Metodologia de calcul a sărăciei nu a fost revizuită timp de 9 ani</w:t>
                            </w:r>
                            <w:r w:rsidRPr="00B153F8">
                              <w:rPr>
                                <w:rFonts w:cs="Times New Roman"/>
                                <w:color w:val="000000"/>
                                <w:sz w:val="20"/>
                                <w:szCs w:val="24"/>
                                <w:lang w:val="ro-RO"/>
                              </w:rPr>
                              <w:t xml:space="preserve">, ceea ce </w:t>
                            </w:r>
                            <w:r w:rsidR="00380456" w:rsidRPr="00B153F8">
                              <w:rPr>
                                <w:rFonts w:cs="Times New Roman"/>
                                <w:color w:val="000000"/>
                                <w:sz w:val="20"/>
                                <w:szCs w:val="24"/>
                                <w:lang w:val="ro-RO"/>
                              </w:rPr>
                              <w:t>creează</w:t>
                            </w:r>
                            <w:r w:rsidRPr="00B153F8">
                              <w:rPr>
                                <w:rFonts w:cs="Times New Roman"/>
                                <w:color w:val="000000"/>
                                <w:sz w:val="20"/>
                                <w:szCs w:val="24"/>
                                <w:lang w:val="ro-RO"/>
                              </w:rPr>
                              <w:t xml:space="preserve"> premise </w:t>
                            </w:r>
                            <w:r w:rsidR="00380456">
                              <w:rPr>
                                <w:rFonts w:cs="Times New Roman"/>
                                <w:color w:val="000000"/>
                                <w:sz w:val="20"/>
                                <w:szCs w:val="24"/>
                                <w:lang w:val="ro-RO"/>
                              </w:rPr>
                              <w:t xml:space="preserve">de </w:t>
                            </w:r>
                            <w:proofErr w:type="spellStart"/>
                            <w:r w:rsidR="00892857">
                              <w:rPr>
                                <w:rFonts w:cs="Times New Roman"/>
                                <w:color w:val="000000"/>
                                <w:sz w:val="20"/>
                                <w:szCs w:val="24"/>
                                <w:lang w:val="ro-RO"/>
                              </w:rPr>
                              <w:t>ne</w:t>
                            </w:r>
                            <w:r w:rsidR="003836EE">
                              <w:rPr>
                                <w:rFonts w:cs="Times New Roman"/>
                                <w:color w:val="000000"/>
                                <w:sz w:val="20"/>
                                <w:szCs w:val="24"/>
                                <w:lang w:val="ro-RO"/>
                              </w:rPr>
                              <w:t>convergență</w:t>
                            </w:r>
                            <w:proofErr w:type="spellEnd"/>
                            <w:r w:rsidR="003836EE">
                              <w:rPr>
                                <w:rFonts w:cs="Times New Roman"/>
                                <w:color w:val="000000"/>
                                <w:sz w:val="20"/>
                                <w:szCs w:val="24"/>
                                <w:lang w:val="ro-RO"/>
                              </w:rPr>
                              <w:t xml:space="preserve"> a</w:t>
                            </w:r>
                            <w:r w:rsidRPr="00B153F8">
                              <w:rPr>
                                <w:rFonts w:cs="Times New Roman"/>
                                <w:color w:val="000000"/>
                                <w:sz w:val="20"/>
                                <w:szCs w:val="24"/>
                                <w:lang w:val="ro-RO"/>
                              </w:rPr>
                              <w:t xml:space="preserve"> datel</w:t>
                            </w:r>
                            <w:r w:rsidR="003836EE">
                              <w:rPr>
                                <w:rFonts w:cs="Times New Roman"/>
                                <w:color w:val="000000"/>
                                <w:sz w:val="20"/>
                                <w:szCs w:val="24"/>
                                <w:lang w:val="ro-RO"/>
                              </w:rPr>
                              <w:t xml:space="preserve">or </w:t>
                            </w:r>
                            <w:r w:rsidR="00E87581">
                              <w:rPr>
                                <w:rFonts w:cs="Times New Roman"/>
                                <w:color w:val="000000"/>
                                <w:sz w:val="20"/>
                                <w:szCs w:val="24"/>
                                <w:lang w:val="ro-RO"/>
                              </w:rPr>
                              <w:t>cu realitățile economice actuale,</w:t>
                            </w:r>
                            <w:r w:rsidR="00380456">
                              <w:rPr>
                                <w:rFonts w:cs="Times New Roman"/>
                                <w:color w:val="000000"/>
                                <w:sz w:val="20"/>
                                <w:szCs w:val="24"/>
                                <w:lang w:val="ro-RO"/>
                              </w:rPr>
                              <w:t xml:space="preserve"> </w:t>
                            </w:r>
                            <w:r w:rsidRPr="00B153F8">
                              <w:rPr>
                                <w:rFonts w:cs="Times New Roman"/>
                                <w:color w:val="000000"/>
                                <w:sz w:val="20"/>
                                <w:szCs w:val="24"/>
                                <w:lang w:val="ro-RO"/>
                              </w:rPr>
                              <w:t xml:space="preserve">fapt dovedit de valorile extrem de scăzute ale ratelor oficiale ale sărăciei. În conformitate cu recomandările internaţionale, metodologia de calcul a indicatorilor privind sărăcia necesita a fi revizuită periodic, pentru a asigura ajustarea acesteia la realitățile economice existente. Or, după un interval de 9 ani (2006-2015), metodologia utilizată actualmente nu reflectă, pe deplin, schimbările reale în consumul populaţiei, nu asigură o convergenţă dintre standardele de viaţă în perioade diferite de timp. Biroul Naţional de Statistică a iniţiat procesul de revizuire a metodologiei în 2016, iar estimările actualizate ale sărăciei vor fi disponibile în 2017. </w:t>
                            </w:r>
                          </w:p>
                          <w:p w:rsidR="00B153F8" w:rsidRPr="00B153F8" w:rsidRDefault="00B153F8" w:rsidP="00892857">
                            <w:pPr>
                              <w:pStyle w:val="a8"/>
                              <w:numPr>
                                <w:ilvl w:val="0"/>
                                <w:numId w:val="1"/>
                              </w:numPr>
                              <w:spacing w:before="120" w:after="120"/>
                              <w:ind w:left="426"/>
                              <w:jc w:val="both"/>
                              <w:rPr>
                                <w:rFonts w:cs="Times New Roman"/>
                                <w:color w:val="000000"/>
                                <w:sz w:val="20"/>
                                <w:szCs w:val="24"/>
                                <w:lang w:val="ro-RO"/>
                              </w:rPr>
                            </w:pPr>
                            <w:r w:rsidRPr="00B153F8">
                              <w:rPr>
                                <w:rFonts w:cs="Times New Roman"/>
                                <w:b/>
                                <w:color w:val="000000"/>
                                <w:sz w:val="20"/>
                                <w:szCs w:val="24"/>
                                <w:lang w:val="ro-RO"/>
                              </w:rPr>
                              <w:t>Cadrul de eșantionare a CBGC este depășit</w:t>
                            </w:r>
                            <w:r w:rsidRPr="00B153F8">
                              <w:rPr>
                                <w:rFonts w:cs="Times New Roman"/>
                                <w:color w:val="000000"/>
                                <w:sz w:val="20"/>
                                <w:szCs w:val="24"/>
                                <w:lang w:val="ro-RO"/>
                              </w:rPr>
                              <w:t xml:space="preserve"> fiind bazat pe datele Recensământului din 2004, în condițiile în care rezultatele Recensământului din 2014 nu au fost încă lansate, ceea ce se transpune în subestimarea valorilor indicatorilor sărăciei. Acesta este un aspect important, având în vedere schimbările majore în dimensiunea populaţiei din ultimul deceniu, procesul </w:t>
                            </w:r>
                            <w:proofErr w:type="spellStart"/>
                            <w:r w:rsidRPr="00B153F8">
                              <w:rPr>
                                <w:rFonts w:cs="Times New Roman"/>
                                <w:color w:val="000000"/>
                                <w:sz w:val="20"/>
                                <w:szCs w:val="24"/>
                                <w:lang w:val="ro-RO"/>
                              </w:rPr>
                              <w:t>migraţional</w:t>
                            </w:r>
                            <w:proofErr w:type="spellEnd"/>
                            <w:r w:rsidRPr="00B153F8">
                              <w:rPr>
                                <w:rFonts w:cs="Times New Roman"/>
                                <w:color w:val="000000"/>
                                <w:sz w:val="20"/>
                                <w:szCs w:val="24"/>
                                <w:lang w:val="ro-RO"/>
                              </w:rPr>
                              <w:t xml:space="preserve"> intens, etc.</w:t>
                            </w:r>
                          </w:p>
                          <w:p w:rsidR="00B153F8" w:rsidRPr="00B153F8" w:rsidRDefault="00B153F8" w:rsidP="00892857">
                            <w:pPr>
                              <w:pStyle w:val="a8"/>
                              <w:numPr>
                                <w:ilvl w:val="0"/>
                                <w:numId w:val="1"/>
                              </w:numPr>
                              <w:spacing w:before="120" w:after="120"/>
                              <w:ind w:left="426"/>
                              <w:jc w:val="both"/>
                              <w:rPr>
                                <w:rFonts w:cs="Times New Roman"/>
                                <w:color w:val="000000"/>
                                <w:sz w:val="20"/>
                                <w:szCs w:val="24"/>
                                <w:lang w:val="ro-RO"/>
                              </w:rPr>
                            </w:pPr>
                            <w:r w:rsidRPr="00B153F8">
                              <w:rPr>
                                <w:rFonts w:cs="Times New Roman"/>
                                <w:b/>
                                <w:color w:val="000000"/>
                                <w:sz w:val="20"/>
                                <w:szCs w:val="24"/>
                                <w:lang w:val="ro-RO"/>
                              </w:rPr>
                              <w:t>În cadrul CBGC se constată un nivel sporit de non-răspunsuri</w:t>
                            </w:r>
                            <w:r w:rsidRPr="00B153F8">
                              <w:rPr>
                                <w:rFonts w:cs="Times New Roman"/>
                                <w:color w:val="000000"/>
                                <w:sz w:val="20"/>
                                <w:szCs w:val="24"/>
                                <w:lang w:val="ro-RO"/>
                              </w:rPr>
                              <w:t xml:space="preserve">, care </w:t>
                            </w:r>
                            <w:r w:rsidR="008C3EC6" w:rsidRPr="00B153F8">
                              <w:rPr>
                                <w:rFonts w:cs="Times New Roman"/>
                                <w:color w:val="000000"/>
                                <w:sz w:val="20"/>
                                <w:szCs w:val="24"/>
                                <w:lang w:val="ro-RO"/>
                              </w:rPr>
                              <w:t>influențează</w:t>
                            </w:r>
                            <w:r w:rsidRPr="00B153F8">
                              <w:rPr>
                                <w:rFonts w:cs="Times New Roman"/>
                                <w:color w:val="000000"/>
                                <w:sz w:val="20"/>
                                <w:szCs w:val="24"/>
                                <w:lang w:val="ro-RO"/>
                              </w:rPr>
                              <w:t xml:space="preserve"> în mod direct calitatea datelor. Rata non-răspunsurilor constituie mai mult de 30 la sută, </w:t>
                            </w:r>
                            <w:proofErr w:type="spellStart"/>
                            <w:r w:rsidRPr="00B153F8">
                              <w:rPr>
                                <w:rFonts w:cs="Times New Roman"/>
                                <w:color w:val="000000"/>
                                <w:sz w:val="20"/>
                                <w:szCs w:val="24"/>
                                <w:lang w:val="ro-RO"/>
                              </w:rPr>
                              <w:t>menţinîndu-se</w:t>
                            </w:r>
                            <w:proofErr w:type="spellEnd"/>
                            <w:r w:rsidRPr="00B153F8">
                              <w:rPr>
                                <w:rFonts w:cs="Times New Roman"/>
                                <w:color w:val="000000"/>
                                <w:sz w:val="20"/>
                                <w:szCs w:val="24"/>
                                <w:lang w:val="ro-RO"/>
                              </w:rPr>
                              <w:t xml:space="preserve"> tendinţa de creştere a acesteia în timp. Problema este mai accentuată în mediul urban, în special în municipiul Chişinău. </w:t>
                            </w:r>
                          </w:p>
                          <w:p w:rsidR="00B153F8" w:rsidRPr="00087C5B" w:rsidRDefault="00B153F8" w:rsidP="00087C5B">
                            <w:pPr>
                              <w:spacing w:before="120" w:after="120"/>
                              <w:jc w:val="both"/>
                              <w:rPr>
                                <w:rFonts w:cs="Times New Roman"/>
                                <w:color w:val="000000"/>
                                <w:sz w:val="20"/>
                                <w:szCs w:val="24"/>
                                <w:lang w:val="ro-RO"/>
                              </w:rPr>
                            </w:pPr>
                            <w:r w:rsidRPr="00B153F8">
                              <w:rPr>
                                <w:rFonts w:cs="Times New Roman"/>
                                <w:color w:val="000000"/>
                                <w:sz w:val="20"/>
                                <w:szCs w:val="24"/>
                                <w:lang w:val="ro-RO"/>
                              </w:rPr>
                              <w:t>Problematica expusă mai sus a creat anumite limitări și dificultăți în analiza datelor și în identificarea factorilor care au influențat ratele de sărăcie în 2015. Or, evoluțiile sărăciei în 2015 sunt contradictorii evoluțiilor social-economice înregistrate în această perioadă. În acest context, informația prezentată în această Notă se va limita la anumite constatări bazate pe datele oficiale furnizate de BNS. O analiză mai amplă a situației va putea fi prezentată, odată cu finalizarea procesului de revizuire a metodologiei de către BNS</w:t>
                            </w:r>
                            <w:r w:rsidR="00E87581">
                              <w:rPr>
                                <w:rFonts w:cs="Times New Roman"/>
                                <w:color w:val="000000"/>
                                <w:sz w:val="20"/>
                                <w:szCs w:val="24"/>
                                <w:lang w:val="ro-RO"/>
                              </w:rPr>
                              <w:t>. Totodată</w:t>
                            </w:r>
                            <w:r w:rsidR="00BD0C72">
                              <w:rPr>
                                <w:rFonts w:cs="Times New Roman"/>
                                <w:color w:val="000000"/>
                                <w:sz w:val="20"/>
                                <w:szCs w:val="24"/>
                                <w:lang w:val="ro-RO"/>
                              </w:rPr>
                              <w:t>, în vederea îmbunătățirii calității datelor,</w:t>
                            </w:r>
                            <w:r w:rsidR="00E87581">
                              <w:rPr>
                                <w:rFonts w:cs="Times New Roman"/>
                                <w:color w:val="000000"/>
                                <w:sz w:val="20"/>
                                <w:szCs w:val="24"/>
                                <w:lang w:val="ro-RO"/>
                              </w:rPr>
                              <w:t xml:space="preserve"> de o importanță deosebită sunt acțiunile de</w:t>
                            </w:r>
                            <w:r w:rsidR="00BD0C72">
                              <w:rPr>
                                <w:rFonts w:cs="Times New Roman"/>
                                <w:color w:val="000000"/>
                                <w:sz w:val="20"/>
                                <w:szCs w:val="24"/>
                                <w:lang w:val="ro-RO"/>
                              </w:rPr>
                              <w:t xml:space="preserve"> asigurare a ponderării eșantionului CBGC </w:t>
                            </w:r>
                            <w:r w:rsidR="00BD0C72" w:rsidRPr="00BD0C72">
                              <w:rPr>
                                <w:rFonts w:cs="Times New Roman"/>
                                <w:color w:val="000000"/>
                                <w:sz w:val="20"/>
                                <w:szCs w:val="24"/>
                                <w:lang w:val="ro-RO"/>
                              </w:rPr>
                              <w:t>la dimensiunea populaţiei apreciată în baza recensământului 2014</w:t>
                            </w:r>
                            <w:r w:rsidR="00E87581">
                              <w:rPr>
                                <w:rFonts w:cs="Times New Roman"/>
                                <w:color w:val="000000"/>
                                <w:sz w:val="20"/>
                                <w:szCs w:val="24"/>
                                <w:lang w:val="ro-RO"/>
                              </w:rPr>
                              <w:t xml:space="preserve"> </w:t>
                            </w:r>
                            <w:r w:rsidRPr="00B153F8">
                              <w:rPr>
                                <w:rFonts w:cs="Times New Roman"/>
                                <w:color w:val="000000"/>
                                <w:sz w:val="20"/>
                                <w:szCs w:val="24"/>
                                <w:lang w:val="ro-RO"/>
                              </w:rPr>
                              <w:t>, precum și</w:t>
                            </w:r>
                            <w:r w:rsidR="00E87581">
                              <w:rPr>
                                <w:rFonts w:cs="Times New Roman"/>
                                <w:color w:val="000000"/>
                                <w:sz w:val="20"/>
                                <w:szCs w:val="24"/>
                                <w:lang w:val="ro-RO"/>
                              </w:rPr>
                              <w:t xml:space="preserve"> </w:t>
                            </w:r>
                            <w:r w:rsidR="00BD0C72">
                              <w:rPr>
                                <w:rFonts w:cs="Times New Roman"/>
                                <w:color w:val="000000"/>
                                <w:sz w:val="20"/>
                                <w:szCs w:val="24"/>
                                <w:lang w:val="ro-RO"/>
                              </w:rPr>
                              <w:t xml:space="preserve">măsurile care vor diminua rata non-răspunsurilor din cadrul CBGC.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B153F8" w:rsidRPr="00B153F8" w:rsidRDefault="00B153F8" w:rsidP="006A12E4">
                      <w:pPr>
                        <w:spacing w:before="120" w:after="120"/>
                        <w:jc w:val="both"/>
                        <w:rPr>
                          <w:rFonts w:cs="Times New Roman"/>
                          <w:b/>
                          <w:color w:val="000000"/>
                          <w:sz w:val="20"/>
                          <w:szCs w:val="24"/>
                          <w:lang w:val="ro-RO"/>
                        </w:rPr>
                      </w:pPr>
                      <w:r w:rsidRPr="00B153F8">
                        <w:rPr>
                          <w:rFonts w:cs="Times New Roman"/>
                          <w:b/>
                          <w:color w:val="000000"/>
                          <w:sz w:val="20"/>
                          <w:szCs w:val="24"/>
                          <w:lang w:val="ro-RO"/>
                        </w:rPr>
                        <w:t>Notă</w:t>
                      </w:r>
                      <w:r w:rsidR="008C3EC6">
                        <w:rPr>
                          <w:rFonts w:cs="Times New Roman"/>
                          <w:b/>
                          <w:color w:val="000000"/>
                          <w:sz w:val="20"/>
                          <w:szCs w:val="24"/>
                          <w:lang w:val="ro-RO"/>
                        </w:rPr>
                        <w:t>:</w:t>
                      </w:r>
                      <w:r w:rsidRPr="00B153F8">
                        <w:rPr>
                          <w:rFonts w:cs="Times New Roman"/>
                          <w:b/>
                          <w:color w:val="000000"/>
                          <w:sz w:val="20"/>
                          <w:szCs w:val="24"/>
                          <w:lang w:val="ro-RO"/>
                        </w:rPr>
                        <w:t xml:space="preserve"> </w:t>
                      </w:r>
                      <w:r w:rsidR="0038189F">
                        <w:rPr>
                          <w:rFonts w:cs="Times New Roman"/>
                          <w:b/>
                          <w:color w:val="000000"/>
                          <w:sz w:val="20"/>
                          <w:szCs w:val="24"/>
                          <w:lang w:val="ro-RO"/>
                        </w:rPr>
                        <w:t>L</w:t>
                      </w:r>
                      <w:r w:rsidRPr="00B153F8">
                        <w:rPr>
                          <w:rFonts w:cs="Times New Roman"/>
                          <w:b/>
                          <w:color w:val="000000"/>
                          <w:sz w:val="20"/>
                          <w:szCs w:val="24"/>
                          <w:lang w:val="ro-RO"/>
                        </w:rPr>
                        <w:t>imitări metodologice</w:t>
                      </w:r>
                      <w:r>
                        <w:rPr>
                          <w:rFonts w:cs="Times New Roman"/>
                          <w:b/>
                          <w:color w:val="000000"/>
                          <w:sz w:val="20"/>
                          <w:szCs w:val="24"/>
                          <w:lang w:val="ro-RO"/>
                        </w:rPr>
                        <w:t xml:space="preserve"> </w:t>
                      </w:r>
                    </w:p>
                    <w:p w:rsidR="00B153F8" w:rsidRPr="00B153F8" w:rsidRDefault="00B153F8" w:rsidP="006A12E4">
                      <w:pPr>
                        <w:spacing w:before="120" w:after="120"/>
                        <w:jc w:val="both"/>
                        <w:rPr>
                          <w:rFonts w:cs="Times New Roman"/>
                          <w:color w:val="000000"/>
                          <w:sz w:val="20"/>
                          <w:szCs w:val="24"/>
                          <w:lang w:val="ro-RO"/>
                        </w:rPr>
                      </w:pPr>
                      <w:r w:rsidRPr="00B153F8">
                        <w:rPr>
                          <w:rFonts w:cs="Times New Roman"/>
                          <w:color w:val="000000"/>
                          <w:sz w:val="20"/>
                          <w:szCs w:val="24"/>
                          <w:lang w:val="ro-RO"/>
                        </w:rPr>
                        <w:t xml:space="preserve">Biroul Național de Statistică (în continuare - BNS) este instituţia care calculează şi furnizează datele statistice cu privire la sărăcie. Sursa principală de informație pentru calcularea indicatorilor sărăciei este Cercetarea Bugetelor Gospodăriilor Casnice (în continuare – CBGC), care conține informații cu privire la nivelul și structura veniturilor disponibile, cheltuielilor de consum ale diferitor grupuri social-economice, condițiilor de trai și o serie de alți indicatori ce caracterizează </w:t>
                      </w:r>
                      <w:r w:rsidR="00380456">
                        <w:rPr>
                          <w:rFonts w:cs="Times New Roman"/>
                          <w:color w:val="000000"/>
                          <w:sz w:val="20"/>
                          <w:szCs w:val="24"/>
                          <w:lang w:val="ro-RO"/>
                        </w:rPr>
                        <w:t>bunăstarea</w:t>
                      </w:r>
                      <w:r w:rsidR="0038189F">
                        <w:rPr>
                          <w:rFonts w:cs="Times New Roman"/>
                          <w:color w:val="000000"/>
                          <w:sz w:val="20"/>
                          <w:szCs w:val="24"/>
                          <w:lang w:val="ro-RO"/>
                        </w:rPr>
                        <w:t xml:space="preserve"> populației</w:t>
                      </w:r>
                      <w:r w:rsidRPr="00B153F8">
                        <w:rPr>
                          <w:rFonts w:cs="Times New Roman"/>
                          <w:color w:val="000000"/>
                          <w:sz w:val="20"/>
                          <w:szCs w:val="24"/>
                          <w:lang w:val="ro-RO"/>
                        </w:rPr>
                        <w:t xml:space="preserve">. </w:t>
                      </w:r>
                    </w:p>
                    <w:p w:rsidR="00B153F8" w:rsidRPr="00B153F8" w:rsidRDefault="00B153F8" w:rsidP="006A12E4">
                      <w:pPr>
                        <w:spacing w:before="120" w:after="120"/>
                        <w:jc w:val="both"/>
                        <w:rPr>
                          <w:rFonts w:cs="Times New Roman"/>
                          <w:color w:val="000000"/>
                          <w:sz w:val="20"/>
                          <w:szCs w:val="24"/>
                          <w:lang w:val="ro-RO"/>
                        </w:rPr>
                      </w:pPr>
                      <w:r w:rsidRPr="00B153F8">
                        <w:rPr>
                          <w:rFonts w:cs="Times New Roman"/>
                          <w:color w:val="000000"/>
                          <w:sz w:val="20"/>
                          <w:szCs w:val="24"/>
                          <w:lang w:val="ro-RO"/>
                        </w:rPr>
                        <w:t xml:space="preserve">Metodologia actuală de măsurare a sărăciei a fost elaborată în 2006 cu asistența tehnică a </w:t>
                      </w:r>
                      <w:r w:rsidR="008C3EC6" w:rsidRPr="00B153F8">
                        <w:rPr>
                          <w:rFonts w:cs="Times New Roman"/>
                          <w:color w:val="000000"/>
                          <w:sz w:val="20"/>
                          <w:szCs w:val="24"/>
                          <w:lang w:val="ro-RO"/>
                        </w:rPr>
                        <w:t>experților</w:t>
                      </w:r>
                      <w:r w:rsidRPr="00B153F8">
                        <w:rPr>
                          <w:rFonts w:cs="Times New Roman"/>
                          <w:color w:val="000000"/>
                          <w:sz w:val="20"/>
                          <w:szCs w:val="24"/>
                          <w:lang w:val="ro-RO"/>
                        </w:rPr>
                        <w:t xml:space="preserve"> </w:t>
                      </w:r>
                      <w:r w:rsidR="008C3EC6" w:rsidRPr="00B153F8">
                        <w:rPr>
                          <w:rFonts w:cs="Times New Roman"/>
                          <w:color w:val="000000"/>
                          <w:sz w:val="20"/>
                          <w:szCs w:val="24"/>
                          <w:lang w:val="ro-RO"/>
                        </w:rPr>
                        <w:t>internaționali</w:t>
                      </w:r>
                      <w:r w:rsidRPr="00B153F8">
                        <w:rPr>
                          <w:rFonts w:cs="Times New Roman"/>
                          <w:color w:val="000000"/>
                          <w:sz w:val="20"/>
                          <w:szCs w:val="24"/>
                          <w:lang w:val="ro-RO"/>
                        </w:rPr>
                        <w:t xml:space="preserve"> şi este în corespundere cu standardele internaţionale. În același timp, există motive din care cauză metodologia de măsurare a sărăciei a regresat în timp, iar calitatea datelor a avut de suferit, printre care: </w:t>
                      </w:r>
                    </w:p>
                    <w:p w:rsidR="00B153F8" w:rsidRPr="00B153F8" w:rsidRDefault="00B153F8" w:rsidP="00892857">
                      <w:pPr>
                        <w:pStyle w:val="a8"/>
                        <w:numPr>
                          <w:ilvl w:val="0"/>
                          <w:numId w:val="1"/>
                        </w:numPr>
                        <w:spacing w:before="120" w:after="120"/>
                        <w:ind w:left="426"/>
                        <w:jc w:val="both"/>
                        <w:rPr>
                          <w:rFonts w:cs="Times New Roman"/>
                          <w:color w:val="000000"/>
                          <w:sz w:val="20"/>
                          <w:szCs w:val="24"/>
                          <w:lang w:val="ro-RO"/>
                        </w:rPr>
                      </w:pPr>
                      <w:r w:rsidRPr="00B153F8">
                        <w:rPr>
                          <w:rFonts w:cs="Times New Roman"/>
                          <w:b/>
                          <w:color w:val="000000"/>
                          <w:sz w:val="20"/>
                          <w:szCs w:val="24"/>
                          <w:lang w:val="ro-RO"/>
                        </w:rPr>
                        <w:t>Metodologia de calcul a sărăciei nu a fost revizuită timp de 9 ani</w:t>
                      </w:r>
                      <w:r w:rsidRPr="00B153F8">
                        <w:rPr>
                          <w:rFonts w:cs="Times New Roman"/>
                          <w:color w:val="000000"/>
                          <w:sz w:val="20"/>
                          <w:szCs w:val="24"/>
                          <w:lang w:val="ro-RO"/>
                        </w:rPr>
                        <w:t xml:space="preserve">, ceea ce </w:t>
                      </w:r>
                      <w:r w:rsidR="00380456" w:rsidRPr="00B153F8">
                        <w:rPr>
                          <w:rFonts w:cs="Times New Roman"/>
                          <w:color w:val="000000"/>
                          <w:sz w:val="20"/>
                          <w:szCs w:val="24"/>
                          <w:lang w:val="ro-RO"/>
                        </w:rPr>
                        <w:t>creează</w:t>
                      </w:r>
                      <w:r w:rsidRPr="00B153F8">
                        <w:rPr>
                          <w:rFonts w:cs="Times New Roman"/>
                          <w:color w:val="000000"/>
                          <w:sz w:val="20"/>
                          <w:szCs w:val="24"/>
                          <w:lang w:val="ro-RO"/>
                        </w:rPr>
                        <w:t xml:space="preserve"> premise </w:t>
                      </w:r>
                      <w:r w:rsidR="00380456">
                        <w:rPr>
                          <w:rFonts w:cs="Times New Roman"/>
                          <w:color w:val="000000"/>
                          <w:sz w:val="20"/>
                          <w:szCs w:val="24"/>
                          <w:lang w:val="ro-RO"/>
                        </w:rPr>
                        <w:t xml:space="preserve">de </w:t>
                      </w:r>
                      <w:proofErr w:type="spellStart"/>
                      <w:r w:rsidR="00892857">
                        <w:rPr>
                          <w:rFonts w:cs="Times New Roman"/>
                          <w:color w:val="000000"/>
                          <w:sz w:val="20"/>
                          <w:szCs w:val="24"/>
                          <w:lang w:val="ro-RO"/>
                        </w:rPr>
                        <w:t>ne</w:t>
                      </w:r>
                      <w:r w:rsidR="003836EE">
                        <w:rPr>
                          <w:rFonts w:cs="Times New Roman"/>
                          <w:color w:val="000000"/>
                          <w:sz w:val="20"/>
                          <w:szCs w:val="24"/>
                          <w:lang w:val="ro-RO"/>
                        </w:rPr>
                        <w:t>convergență</w:t>
                      </w:r>
                      <w:proofErr w:type="spellEnd"/>
                      <w:r w:rsidR="003836EE">
                        <w:rPr>
                          <w:rFonts w:cs="Times New Roman"/>
                          <w:color w:val="000000"/>
                          <w:sz w:val="20"/>
                          <w:szCs w:val="24"/>
                          <w:lang w:val="ro-RO"/>
                        </w:rPr>
                        <w:t xml:space="preserve"> a</w:t>
                      </w:r>
                      <w:r w:rsidRPr="00B153F8">
                        <w:rPr>
                          <w:rFonts w:cs="Times New Roman"/>
                          <w:color w:val="000000"/>
                          <w:sz w:val="20"/>
                          <w:szCs w:val="24"/>
                          <w:lang w:val="ro-RO"/>
                        </w:rPr>
                        <w:t xml:space="preserve"> datel</w:t>
                      </w:r>
                      <w:r w:rsidR="003836EE">
                        <w:rPr>
                          <w:rFonts w:cs="Times New Roman"/>
                          <w:color w:val="000000"/>
                          <w:sz w:val="20"/>
                          <w:szCs w:val="24"/>
                          <w:lang w:val="ro-RO"/>
                        </w:rPr>
                        <w:t xml:space="preserve">or </w:t>
                      </w:r>
                      <w:r w:rsidR="00E87581">
                        <w:rPr>
                          <w:rFonts w:cs="Times New Roman"/>
                          <w:color w:val="000000"/>
                          <w:sz w:val="20"/>
                          <w:szCs w:val="24"/>
                          <w:lang w:val="ro-RO"/>
                        </w:rPr>
                        <w:t>cu realitățile economice actuale,</w:t>
                      </w:r>
                      <w:r w:rsidR="00380456">
                        <w:rPr>
                          <w:rFonts w:cs="Times New Roman"/>
                          <w:color w:val="000000"/>
                          <w:sz w:val="20"/>
                          <w:szCs w:val="24"/>
                          <w:lang w:val="ro-RO"/>
                        </w:rPr>
                        <w:t xml:space="preserve"> </w:t>
                      </w:r>
                      <w:r w:rsidRPr="00B153F8">
                        <w:rPr>
                          <w:rFonts w:cs="Times New Roman"/>
                          <w:color w:val="000000"/>
                          <w:sz w:val="20"/>
                          <w:szCs w:val="24"/>
                          <w:lang w:val="ro-RO"/>
                        </w:rPr>
                        <w:t xml:space="preserve">fapt dovedit de valorile extrem de scăzute ale ratelor oficiale ale sărăciei. În conformitate cu recomandările internaţionale, metodologia de calcul a indicatorilor privind sărăcia necesita a fi revizuită periodic, pentru a asigura ajustarea acesteia la realitățile economice existente. Or, după un interval de 9 ani (2006-2015), metodologia utilizată actualmente nu reflectă, pe deplin, schimbările reale în consumul populaţiei, nu asigură o convergenţă dintre standardele de viaţă în perioade diferite de timp. Biroul Naţional de Statistică a iniţiat procesul de revizuire a metodologiei în 2016, iar estimările actualizate ale sărăciei vor fi disponibile în 2017. </w:t>
                      </w:r>
                    </w:p>
                    <w:p w:rsidR="00B153F8" w:rsidRPr="00B153F8" w:rsidRDefault="00B153F8" w:rsidP="00892857">
                      <w:pPr>
                        <w:pStyle w:val="a8"/>
                        <w:numPr>
                          <w:ilvl w:val="0"/>
                          <w:numId w:val="1"/>
                        </w:numPr>
                        <w:spacing w:before="120" w:after="120"/>
                        <w:ind w:left="426"/>
                        <w:jc w:val="both"/>
                        <w:rPr>
                          <w:rFonts w:cs="Times New Roman"/>
                          <w:color w:val="000000"/>
                          <w:sz w:val="20"/>
                          <w:szCs w:val="24"/>
                          <w:lang w:val="ro-RO"/>
                        </w:rPr>
                      </w:pPr>
                      <w:r w:rsidRPr="00B153F8">
                        <w:rPr>
                          <w:rFonts w:cs="Times New Roman"/>
                          <w:b/>
                          <w:color w:val="000000"/>
                          <w:sz w:val="20"/>
                          <w:szCs w:val="24"/>
                          <w:lang w:val="ro-RO"/>
                        </w:rPr>
                        <w:t>Cadrul de eșantionare a CBGC este depășit</w:t>
                      </w:r>
                      <w:r w:rsidRPr="00B153F8">
                        <w:rPr>
                          <w:rFonts w:cs="Times New Roman"/>
                          <w:color w:val="000000"/>
                          <w:sz w:val="20"/>
                          <w:szCs w:val="24"/>
                          <w:lang w:val="ro-RO"/>
                        </w:rPr>
                        <w:t xml:space="preserve"> fiind bazat pe datele Recensământului din 2004, în condițiile în care rezultatele Recensământului din 2014 nu au fost încă lansate, ceea ce se transpune în subestimarea valorilor indicatorilor sărăciei. Acesta este un aspect important, având în vedere schimbările majore în dimensiunea populaţiei din ultimul deceniu, procesul </w:t>
                      </w:r>
                      <w:proofErr w:type="spellStart"/>
                      <w:r w:rsidRPr="00B153F8">
                        <w:rPr>
                          <w:rFonts w:cs="Times New Roman"/>
                          <w:color w:val="000000"/>
                          <w:sz w:val="20"/>
                          <w:szCs w:val="24"/>
                          <w:lang w:val="ro-RO"/>
                        </w:rPr>
                        <w:t>migraţional</w:t>
                      </w:r>
                      <w:proofErr w:type="spellEnd"/>
                      <w:r w:rsidRPr="00B153F8">
                        <w:rPr>
                          <w:rFonts w:cs="Times New Roman"/>
                          <w:color w:val="000000"/>
                          <w:sz w:val="20"/>
                          <w:szCs w:val="24"/>
                          <w:lang w:val="ro-RO"/>
                        </w:rPr>
                        <w:t xml:space="preserve"> intens, etc.</w:t>
                      </w:r>
                    </w:p>
                    <w:p w:rsidR="00B153F8" w:rsidRPr="00B153F8" w:rsidRDefault="00B153F8" w:rsidP="00892857">
                      <w:pPr>
                        <w:pStyle w:val="a8"/>
                        <w:numPr>
                          <w:ilvl w:val="0"/>
                          <w:numId w:val="1"/>
                        </w:numPr>
                        <w:spacing w:before="120" w:after="120"/>
                        <w:ind w:left="426"/>
                        <w:jc w:val="both"/>
                        <w:rPr>
                          <w:rFonts w:cs="Times New Roman"/>
                          <w:color w:val="000000"/>
                          <w:sz w:val="20"/>
                          <w:szCs w:val="24"/>
                          <w:lang w:val="ro-RO"/>
                        </w:rPr>
                      </w:pPr>
                      <w:r w:rsidRPr="00B153F8">
                        <w:rPr>
                          <w:rFonts w:cs="Times New Roman"/>
                          <w:b/>
                          <w:color w:val="000000"/>
                          <w:sz w:val="20"/>
                          <w:szCs w:val="24"/>
                          <w:lang w:val="ro-RO"/>
                        </w:rPr>
                        <w:t>În cadrul CBGC se constată un nivel sporit de non-răspunsuri</w:t>
                      </w:r>
                      <w:r w:rsidRPr="00B153F8">
                        <w:rPr>
                          <w:rFonts w:cs="Times New Roman"/>
                          <w:color w:val="000000"/>
                          <w:sz w:val="20"/>
                          <w:szCs w:val="24"/>
                          <w:lang w:val="ro-RO"/>
                        </w:rPr>
                        <w:t xml:space="preserve">, care </w:t>
                      </w:r>
                      <w:r w:rsidR="008C3EC6" w:rsidRPr="00B153F8">
                        <w:rPr>
                          <w:rFonts w:cs="Times New Roman"/>
                          <w:color w:val="000000"/>
                          <w:sz w:val="20"/>
                          <w:szCs w:val="24"/>
                          <w:lang w:val="ro-RO"/>
                        </w:rPr>
                        <w:t>influențează</w:t>
                      </w:r>
                      <w:r w:rsidRPr="00B153F8">
                        <w:rPr>
                          <w:rFonts w:cs="Times New Roman"/>
                          <w:color w:val="000000"/>
                          <w:sz w:val="20"/>
                          <w:szCs w:val="24"/>
                          <w:lang w:val="ro-RO"/>
                        </w:rPr>
                        <w:t xml:space="preserve"> în mod direct calitatea datelor. Rata non-răspunsurilor constituie mai mult de 30 la sută, </w:t>
                      </w:r>
                      <w:proofErr w:type="spellStart"/>
                      <w:r w:rsidRPr="00B153F8">
                        <w:rPr>
                          <w:rFonts w:cs="Times New Roman"/>
                          <w:color w:val="000000"/>
                          <w:sz w:val="20"/>
                          <w:szCs w:val="24"/>
                          <w:lang w:val="ro-RO"/>
                        </w:rPr>
                        <w:t>menţinîndu-se</w:t>
                      </w:r>
                      <w:proofErr w:type="spellEnd"/>
                      <w:r w:rsidRPr="00B153F8">
                        <w:rPr>
                          <w:rFonts w:cs="Times New Roman"/>
                          <w:color w:val="000000"/>
                          <w:sz w:val="20"/>
                          <w:szCs w:val="24"/>
                          <w:lang w:val="ro-RO"/>
                        </w:rPr>
                        <w:t xml:space="preserve"> tendinţa de creştere a acesteia în timp. Problema este mai accentuată în mediul urban, în special în municipiul Chişinău. </w:t>
                      </w:r>
                    </w:p>
                    <w:p w:rsidR="00B153F8" w:rsidRPr="00087C5B" w:rsidRDefault="00B153F8" w:rsidP="00087C5B">
                      <w:pPr>
                        <w:spacing w:before="120" w:after="120"/>
                        <w:jc w:val="both"/>
                        <w:rPr>
                          <w:rFonts w:cs="Times New Roman"/>
                          <w:color w:val="000000"/>
                          <w:sz w:val="20"/>
                          <w:szCs w:val="24"/>
                          <w:lang w:val="ro-RO"/>
                        </w:rPr>
                      </w:pPr>
                      <w:r w:rsidRPr="00B153F8">
                        <w:rPr>
                          <w:rFonts w:cs="Times New Roman"/>
                          <w:color w:val="000000"/>
                          <w:sz w:val="20"/>
                          <w:szCs w:val="24"/>
                          <w:lang w:val="ro-RO"/>
                        </w:rPr>
                        <w:t>Problematica expusă mai sus a creat anumite limitări și dificultăți în analiza datelor și în identificarea factorilor care au influențat ratele de sărăcie în 2015. Or, evoluțiile sărăciei în 2015 sunt contradictorii evoluțiilor social-economice înregistrate în această perioadă. În acest context, informația prezentată în această Notă se va limita la anumite constatări bazate pe datele oficiale furnizate de BNS. O analiză mai amplă a situației va putea fi prezentată, odată cu finalizarea procesului de revizuire a metodologiei de către BNS</w:t>
                      </w:r>
                      <w:r w:rsidR="00E87581">
                        <w:rPr>
                          <w:rFonts w:cs="Times New Roman"/>
                          <w:color w:val="000000"/>
                          <w:sz w:val="20"/>
                          <w:szCs w:val="24"/>
                          <w:lang w:val="ro-RO"/>
                        </w:rPr>
                        <w:t>. Totodată</w:t>
                      </w:r>
                      <w:r w:rsidR="00BD0C72">
                        <w:rPr>
                          <w:rFonts w:cs="Times New Roman"/>
                          <w:color w:val="000000"/>
                          <w:sz w:val="20"/>
                          <w:szCs w:val="24"/>
                          <w:lang w:val="ro-RO"/>
                        </w:rPr>
                        <w:t>, în vederea îmbunătățirii calității datelor,</w:t>
                      </w:r>
                      <w:r w:rsidR="00E87581">
                        <w:rPr>
                          <w:rFonts w:cs="Times New Roman"/>
                          <w:color w:val="000000"/>
                          <w:sz w:val="20"/>
                          <w:szCs w:val="24"/>
                          <w:lang w:val="ro-RO"/>
                        </w:rPr>
                        <w:t xml:space="preserve"> de o importanță deosebită sunt acțiunile de</w:t>
                      </w:r>
                      <w:r w:rsidR="00BD0C72">
                        <w:rPr>
                          <w:rFonts w:cs="Times New Roman"/>
                          <w:color w:val="000000"/>
                          <w:sz w:val="20"/>
                          <w:szCs w:val="24"/>
                          <w:lang w:val="ro-RO"/>
                        </w:rPr>
                        <w:t xml:space="preserve"> asigurare a ponderării eșantionului CBGC </w:t>
                      </w:r>
                      <w:r w:rsidR="00BD0C72" w:rsidRPr="00BD0C72">
                        <w:rPr>
                          <w:rFonts w:cs="Times New Roman"/>
                          <w:color w:val="000000"/>
                          <w:sz w:val="20"/>
                          <w:szCs w:val="24"/>
                          <w:lang w:val="ro-RO"/>
                        </w:rPr>
                        <w:t>la dimensiunea populaţiei apreciată în baza recensământului 2014</w:t>
                      </w:r>
                      <w:r w:rsidR="00E87581">
                        <w:rPr>
                          <w:rFonts w:cs="Times New Roman"/>
                          <w:color w:val="000000"/>
                          <w:sz w:val="20"/>
                          <w:szCs w:val="24"/>
                          <w:lang w:val="ro-RO"/>
                        </w:rPr>
                        <w:t xml:space="preserve"> </w:t>
                      </w:r>
                      <w:r w:rsidRPr="00B153F8">
                        <w:rPr>
                          <w:rFonts w:cs="Times New Roman"/>
                          <w:color w:val="000000"/>
                          <w:sz w:val="20"/>
                          <w:szCs w:val="24"/>
                          <w:lang w:val="ro-RO"/>
                        </w:rPr>
                        <w:t>, precum și</w:t>
                      </w:r>
                      <w:r w:rsidR="00E87581">
                        <w:rPr>
                          <w:rFonts w:cs="Times New Roman"/>
                          <w:color w:val="000000"/>
                          <w:sz w:val="20"/>
                          <w:szCs w:val="24"/>
                          <w:lang w:val="ro-RO"/>
                        </w:rPr>
                        <w:t xml:space="preserve"> </w:t>
                      </w:r>
                      <w:r w:rsidR="00BD0C72">
                        <w:rPr>
                          <w:rFonts w:cs="Times New Roman"/>
                          <w:color w:val="000000"/>
                          <w:sz w:val="20"/>
                          <w:szCs w:val="24"/>
                          <w:lang w:val="ro-RO"/>
                        </w:rPr>
                        <w:t xml:space="preserve">măsurile care vor diminua rata non-răspunsurilor din cadrul CBGC. </w:t>
                      </w:r>
                    </w:p>
                  </w:txbxContent>
                </v:textbox>
                <w10:wrap type="square"/>
              </v:shape>
            </w:pict>
          </mc:Fallback>
        </mc:AlternateContent>
      </w:r>
      <w:r w:rsidR="003C6CB7" w:rsidRPr="00344A81">
        <w:rPr>
          <w:rFonts w:cs="Times New Roman"/>
          <w:color w:val="000000"/>
          <w:sz w:val="24"/>
          <w:szCs w:val="24"/>
          <w:lang w:val="ro-RO"/>
        </w:rPr>
        <w:t xml:space="preserve"> </w:t>
      </w:r>
      <w:r w:rsidR="0038189F" w:rsidRPr="00344A81">
        <w:rPr>
          <w:rFonts w:cs="Times New Roman"/>
          <w:color w:val="000000"/>
          <w:sz w:val="24"/>
          <w:szCs w:val="24"/>
          <w:lang w:val="ro-RO"/>
        </w:rPr>
        <w:t>În conformitate cu datele oficiale ale Biroului Naţional de Statistică, în anul 2015, rata sărăciei absolute a constituit 9,6% faţă de 11,4% în anul precedent (în reducere cu 1,8 puncte procentuale</w:t>
      </w:r>
      <w:r w:rsidR="00773986" w:rsidRPr="00344A81">
        <w:rPr>
          <w:rFonts w:cs="Times New Roman"/>
          <w:color w:val="000000"/>
          <w:sz w:val="24"/>
          <w:szCs w:val="24"/>
          <w:lang w:val="ro-RO"/>
        </w:rPr>
        <w:t xml:space="preserve"> faţă de 2014</w:t>
      </w:r>
      <w:r w:rsidR="0038189F" w:rsidRPr="00344A81">
        <w:rPr>
          <w:rFonts w:cs="Times New Roman"/>
          <w:color w:val="000000"/>
          <w:sz w:val="24"/>
          <w:szCs w:val="24"/>
          <w:lang w:val="ro-RO"/>
        </w:rPr>
        <w:t>). Pragul sărăciei</w:t>
      </w:r>
      <w:r w:rsidR="008E0032" w:rsidRPr="00344A81">
        <w:rPr>
          <w:rFonts w:cs="Times New Roman"/>
          <w:color w:val="000000"/>
          <w:sz w:val="24"/>
          <w:szCs w:val="24"/>
          <w:lang w:val="ro-RO"/>
        </w:rPr>
        <w:t xml:space="preserve"> absolute</w:t>
      </w:r>
      <w:r w:rsidR="0038189F" w:rsidRPr="00344A81">
        <w:rPr>
          <w:rFonts w:cs="Times New Roman"/>
          <w:color w:val="000000"/>
          <w:sz w:val="24"/>
          <w:szCs w:val="24"/>
          <w:lang w:val="ro-RO"/>
        </w:rPr>
        <w:t xml:space="preserve"> a constituit în medie pe lună pe o persoană </w:t>
      </w:r>
      <w:r w:rsidR="0038189F" w:rsidRPr="00344A81">
        <w:rPr>
          <w:rFonts w:cs="Times New Roman"/>
          <w:color w:val="000000"/>
          <w:sz w:val="24"/>
          <w:szCs w:val="24"/>
          <w:lang w:val="ro-RO"/>
        </w:rPr>
        <w:lastRenderedPageBreak/>
        <w:t>1378,9</w:t>
      </w:r>
      <w:r w:rsidR="0038189F" w:rsidRPr="00344A81">
        <w:rPr>
          <w:rFonts w:cs="Times New Roman"/>
          <w:sz w:val="24"/>
          <w:szCs w:val="24"/>
          <w:lang w:val="ro-RO"/>
        </w:rPr>
        <w:footnoteReference w:id="1"/>
      </w:r>
      <w:r w:rsidR="0038189F" w:rsidRPr="00344A81">
        <w:rPr>
          <w:rFonts w:cs="Times New Roman"/>
          <w:color w:val="000000"/>
          <w:sz w:val="24"/>
          <w:szCs w:val="24"/>
          <w:lang w:val="ro-RO"/>
        </w:rPr>
        <w:t xml:space="preserve"> lei, fiind în creştere faţă de anul 2014 cu 9,7%. O persoană se consideră săracă dacă </w:t>
      </w:r>
      <w:r w:rsidR="008712B4" w:rsidRPr="00344A81">
        <w:rPr>
          <w:rFonts w:cs="Times New Roman"/>
          <w:color w:val="000000"/>
          <w:sz w:val="24"/>
          <w:szCs w:val="24"/>
          <w:lang w:val="ro-RO"/>
        </w:rPr>
        <w:t>cheltuielile me</w:t>
      </w:r>
      <w:r w:rsidR="008712B4" w:rsidRPr="00344A81">
        <w:rPr>
          <w:color w:val="000000"/>
          <w:sz w:val="24"/>
          <w:szCs w:val="24"/>
          <w:lang w:val="ro-RO"/>
        </w:rPr>
        <w:t xml:space="preserve">dii lunare </w:t>
      </w:r>
      <w:r w:rsidR="00892857" w:rsidRPr="00344A81">
        <w:rPr>
          <w:color w:val="000000"/>
          <w:sz w:val="24"/>
          <w:szCs w:val="24"/>
          <w:lang w:val="ro-RO"/>
        </w:rPr>
        <w:t>sunt</w:t>
      </w:r>
      <w:r w:rsidR="008712B4" w:rsidRPr="00344A81">
        <w:rPr>
          <w:color w:val="000000"/>
          <w:sz w:val="24"/>
          <w:szCs w:val="24"/>
          <w:lang w:val="ro-RO"/>
        </w:rPr>
        <w:t xml:space="preserve"> mai mici </w:t>
      </w:r>
      <w:proofErr w:type="spellStart"/>
      <w:r w:rsidR="008712B4" w:rsidRPr="00344A81">
        <w:rPr>
          <w:color w:val="000000"/>
          <w:sz w:val="24"/>
          <w:szCs w:val="24"/>
          <w:lang w:val="ro-RO"/>
        </w:rPr>
        <w:t>decît</w:t>
      </w:r>
      <w:proofErr w:type="spellEnd"/>
      <w:r w:rsidR="008712B4" w:rsidRPr="00344A81">
        <w:rPr>
          <w:color w:val="000000"/>
          <w:sz w:val="24"/>
          <w:szCs w:val="24"/>
          <w:lang w:val="ro-RO"/>
        </w:rPr>
        <w:t xml:space="preserve"> valoarea pragului sărăciei. </w:t>
      </w:r>
    </w:p>
    <w:p w:rsidR="005D12AE" w:rsidRPr="00344A81" w:rsidRDefault="005D12AE" w:rsidP="00344A81">
      <w:pPr>
        <w:pStyle w:val="a9"/>
        <w:rPr>
          <w:sz w:val="24"/>
          <w:szCs w:val="24"/>
          <w:lang w:val="ro-RO"/>
        </w:rPr>
      </w:pPr>
      <w:r w:rsidRPr="00344A81">
        <w:rPr>
          <w:sz w:val="24"/>
          <w:szCs w:val="24"/>
          <w:lang w:val="ro-RO"/>
        </w:rPr>
        <w:t xml:space="preserve">Tabelul  </w:t>
      </w:r>
      <w:r w:rsidRPr="00344A81">
        <w:rPr>
          <w:sz w:val="24"/>
          <w:szCs w:val="24"/>
          <w:lang w:val="ro-RO"/>
        </w:rPr>
        <w:fldChar w:fldCharType="begin"/>
      </w:r>
      <w:r w:rsidRPr="00344A81">
        <w:rPr>
          <w:sz w:val="24"/>
          <w:szCs w:val="24"/>
          <w:lang w:val="ro-RO"/>
        </w:rPr>
        <w:instrText xml:space="preserve"> SEQ Tabelul_ \* ARABIC </w:instrText>
      </w:r>
      <w:r w:rsidRPr="00344A81">
        <w:rPr>
          <w:sz w:val="24"/>
          <w:szCs w:val="24"/>
          <w:lang w:val="ro-RO"/>
        </w:rPr>
        <w:fldChar w:fldCharType="separate"/>
      </w:r>
      <w:r w:rsidR="00D47DDE">
        <w:rPr>
          <w:noProof/>
          <w:sz w:val="24"/>
          <w:szCs w:val="24"/>
          <w:lang w:val="ro-RO"/>
        </w:rPr>
        <w:t>1</w:t>
      </w:r>
      <w:r w:rsidRPr="00344A81">
        <w:rPr>
          <w:sz w:val="24"/>
          <w:szCs w:val="24"/>
          <w:lang w:val="ro-RO"/>
        </w:rPr>
        <w:fldChar w:fldCharType="end"/>
      </w:r>
      <w:r w:rsidRPr="00344A81">
        <w:rPr>
          <w:sz w:val="24"/>
          <w:szCs w:val="24"/>
          <w:lang w:val="ro-RO"/>
        </w:rPr>
        <w:t>. Indicato</w:t>
      </w:r>
      <w:r w:rsidR="00344A81" w:rsidRPr="00344A81">
        <w:rPr>
          <w:sz w:val="24"/>
          <w:szCs w:val="24"/>
          <w:lang w:val="ro-RO"/>
        </w:rPr>
        <w:t>rii sărăciei în anii 2006 – 2015</w:t>
      </w:r>
    </w:p>
    <w:tbl>
      <w:tblPr>
        <w:tblW w:w="547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2"/>
        <w:gridCol w:w="752"/>
        <w:gridCol w:w="753"/>
        <w:gridCol w:w="753"/>
        <w:gridCol w:w="254"/>
        <w:gridCol w:w="501"/>
        <w:gridCol w:w="753"/>
        <w:gridCol w:w="753"/>
        <w:gridCol w:w="755"/>
        <w:gridCol w:w="753"/>
        <w:gridCol w:w="753"/>
        <w:gridCol w:w="778"/>
      </w:tblGrid>
      <w:tr w:rsidR="00344A81" w:rsidRPr="00344A81" w:rsidTr="00344A81">
        <w:tc>
          <w:tcPr>
            <w:tcW w:w="1397" w:type="pct"/>
            <w:tcBorders>
              <w:bottom w:val="single" w:sz="4" w:space="0" w:color="auto"/>
            </w:tcBorders>
          </w:tcPr>
          <w:p w:rsidR="005D12AE" w:rsidRPr="00344A81" w:rsidRDefault="005D12AE" w:rsidP="005D12AE">
            <w:pPr>
              <w:spacing w:after="0" w:line="240" w:lineRule="auto"/>
              <w:rPr>
                <w:rFonts w:ascii="Times New Roman" w:hAnsi="Times New Roman" w:cs="Times New Roman"/>
                <w:sz w:val="18"/>
                <w:szCs w:val="18"/>
                <w:lang w:val="ro-RO"/>
              </w:rPr>
            </w:pPr>
          </w:p>
        </w:tc>
        <w:tc>
          <w:tcPr>
            <w:tcW w:w="358"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2006</w:t>
            </w:r>
          </w:p>
        </w:tc>
        <w:tc>
          <w:tcPr>
            <w:tcW w:w="359"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2007</w:t>
            </w:r>
          </w:p>
        </w:tc>
        <w:tc>
          <w:tcPr>
            <w:tcW w:w="359"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2008</w:t>
            </w:r>
          </w:p>
        </w:tc>
        <w:tc>
          <w:tcPr>
            <w:tcW w:w="360" w:type="pct"/>
            <w:gridSpan w:val="2"/>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2009</w:t>
            </w:r>
          </w:p>
        </w:tc>
        <w:tc>
          <w:tcPr>
            <w:tcW w:w="359"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2010</w:t>
            </w:r>
          </w:p>
        </w:tc>
        <w:tc>
          <w:tcPr>
            <w:tcW w:w="359"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2011</w:t>
            </w:r>
          </w:p>
        </w:tc>
        <w:tc>
          <w:tcPr>
            <w:tcW w:w="360"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eastAsia="ro-RO"/>
              </w:rPr>
            </w:pPr>
            <w:r w:rsidRPr="00344A81">
              <w:rPr>
                <w:rFonts w:ascii="Times New Roman" w:hAnsi="Times New Roman" w:cs="Times New Roman"/>
                <w:b/>
                <w:color w:val="7030A0"/>
                <w:sz w:val="18"/>
                <w:szCs w:val="18"/>
                <w:lang w:val="ro-RO"/>
              </w:rPr>
              <w:t>2012</w:t>
            </w:r>
          </w:p>
        </w:tc>
        <w:tc>
          <w:tcPr>
            <w:tcW w:w="359"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rPr>
            </w:pPr>
            <w:r w:rsidRPr="00344A81">
              <w:rPr>
                <w:rFonts w:ascii="Times New Roman" w:hAnsi="Times New Roman" w:cs="Times New Roman"/>
                <w:b/>
                <w:color w:val="7030A0"/>
                <w:sz w:val="18"/>
                <w:szCs w:val="18"/>
                <w:lang w:val="ro-RO"/>
              </w:rPr>
              <w:t>2013</w:t>
            </w:r>
          </w:p>
        </w:tc>
        <w:tc>
          <w:tcPr>
            <w:tcW w:w="359"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rPr>
            </w:pPr>
            <w:r w:rsidRPr="00344A81">
              <w:rPr>
                <w:rFonts w:ascii="Times New Roman" w:hAnsi="Times New Roman" w:cs="Times New Roman"/>
                <w:b/>
                <w:color w:val="7030A0"/>
                <w:sz w:val="18"/>
                <w:szCs w:val="18"/>
                <w:lang w:val="ro-RO"/>
              </w:rPr>
              <w:t>2014</w:t>
            </w:r>
          </w:p>
        </w:tc>
        <w:tc>
          <w:tcPr>
            <w:tcW w:w="372" w:type="pct"/>
            <w:tcBorders>
              <w:bottom w:val="single" w:sz="4" w:space="0" w:color="auto"/>
            </w:tcBorders>
          </w:tcPr>
          <w:p w:rsidR="005D12AE" w:rsidRPr="00344A81" w:rsidRDefault="005D12AE" w:rsidP="005D12AE">
            <w:pPr>
              <w:spacing w:after="0" w:line="240" w:lineRule="auto"/>
              <w:ind w:left="567" w:hanging="567"/>
              <w:jc w:val="center"/>
              <w:rPr>
                <w:rFonts w:ascii="Times New Roman" w:hAnsi="Times New Roman" w:cs="Times New Roman"/>
                <w:b/>
                <w:color w:val="7030A0"/>
                <w:sz w:val="18"/>
                <w:szCs w:val="18"/>
                <w:lang w:val="ro-RO"/>
              </w:rPr>
            </w:pPr>
            <w:r w:rsidRPr="00344A81">
              <w:rPr>
                <w:rFonts w:ascii="Times New Roman" w:hAnsi="Times New Roman" w:cs="Times New Roman"/>
                <w:b/>
                <w:color w:val="7030A0"/>
                <w:sz w:val="18"/>
                <w:szCs w:val="18"/>
                <w:lang w:val="ro-RO"/>
              </w:rPr>
              <w:t>2015</w:t>
            </w:r>
          </w:p>
        </w:tc>
      </w:tr>
      <w:tr w:rsidR="00344A81" w:rsidRPr="00344A81" w:rsidTr="00344A81">
        <w:tc>
          <w:tcPr>
            <w:tcW w:w="1397" w:type="pct"/>
            <w:shd w:val="clear" w:color="auto" w:fill="CC99FF"/>
          </w:tcPr>
          <w:p w:rsidR="00344A81" w:rsidRPr="00344A81" w:rsidRDefault="00344A81" w:rsidP="005D12AE">
            <w:pPr>
              <w:spacing w:after="0" w:line="240" w:lineRule="auto"/>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Pragul sărăciei absolute (lei)</w:t>
            </w:r>
          </w:p>
        </w:tc>
        <w:tc>
          <w:tcPr>
            <w:tcW w:w="358" w:type="pct"/>
            <w:shd w:val="clear" w:color="auto" w:fill="CC99FF"/>
            <w:vAlign w:val="bottom"/>
          </w:tcPr>
          <w:p w:rsidR="00344A81" w:rsidRPr="00344A81" w:rsidRDefault="00344A81" w:rsidP="005D12AE">
            <w:pPr>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747,4</w:t>
            </w:r>
          </w:p>
        </w:tc>
        <w:tc>
          <w:tcPr>
            <w:tcW w:w="359" w:type="pct"/>
            <w:shd w:val="clear" w:color="auto" w:fill="CC99FF"/>
            <w:vAlign w:val="bottom"/>
          </w:tcPr>
          <w:p w:rsidR="00344A81" w:rsidRPr="00344A81" w:rsidRDefault="00344A81" w:rsidP="005D12AE">
            <w:pPr>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839,3</w:t>
            </w:r>
          </w:p>
        </w:tc>
        <w:tc>
          <w:tcPr>
            <w:tcW w:w="359" w:type="pct"/>
            <w:shd w:val="clear" w:color="auto" w:fill="CC99FF"/>
            <w:vAlign w:val="bottom"/>
          </w:tcPr>
          <w:p w:rsidR="00344A81" w:rsidRPr="00344A81" w:rsidRDefault="00344A81" w:rsidP="005D12AE">
            <w:pPr>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945,9</w:t>
            </w:r>
          </w:p>
        </w:tc>
        <w:tc>
          <w:tcPr>
            <w:tcW w:w="360" w:type="pct"/>
            <w:gridSpan w:val="2"/>
            <w:shd w:val="clear" w:color="auto" w:fill="CC99FF"/>
            <w:vAlign w:val="bottom"/>
          </w:tcPr>
          <w:p w:rsidR="00344A81" w:rsidRPr="00344A81" w:rsidRDefault="00344A81" w:rsidP="005D12AE">
            <w:pPr>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945,9</w:t>
            </w:r>
          </w:p>
        </w:tc>
        <w:tc>
          <w:tcPr>
            <w:tcW w:w="359" w:type="pct"/>
            <w:shd w:val="clear" w:color="auto" w:fill="CC99FF"/>
            <w:vAlign w:val="bottom"/>
          </w:tcPr>
          <w:p w:rsidR="00344A81" w:rsidRPr="00344A81" w:rsidRDefault="00344A81" w:rsidP="005D12AE">
            <w:pPr>
              <w:tabs>
                <w:tab w:val="left" w:pos="1137"/>
              </w:tabs>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1015,9</w:t>
            </w:r>
          </w:p>
        </w:tc>
        <w:tc>
          <w:tcPr>
            <w:tcW w:w="359" w:type="pct"/>
            <w:shd w:val="clear" w:color="auto" w:fill="CC99FF"/>
            <w:vAlign w:val="bottom"/>
          </w:tcPr>
          <w:p w:rsidR="00344A81" w:rsidRPr="00344A81" w:rsidRDefault="00344A81" w:rsidP="005D12AE">
            <w:pPr>
              <w:tabs>
                <w:tab w:val="left" w:pos="1137"/>
              </w:tabs>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1093,1</w:t>
            </w:r>
          </w:p>
        </w:tc>
        <w:tc>
          <w:tcPr>
            <w:tcW w:w="360" w:type="pct"/>
            <w:shd w:val="clear" w:color="auto" w:fill="CC99FF"/>
            <w:vAlign w:val="bottom"/>
          </w:tcPr>
          <w:p w:rsidR="00344A81" w:rsidRPr="00344A81" w:rsidRDefault="00344A81" w:rsidP="005D12AE">
            <w:pPr>
              <w:tabs>
                <w:tab w:val="left" w:pos="1137"/>
              </w:tabs>
              <w:spacing w:after="0" w:line="240" w:lineRule="auto"/>
              <w:jc w:val="center"/>
              <w:rPr>
                <w:rFonts w:ascii="Times New Roman" w:hAnsi="Times New Roman" w:cs="Times New Roman"/>
                <w:b/>
                <w:i/>
                <w:sz w:val="18"/>
                <w:szCs w:val="18"/>
                <w:lang w:val="ro-RO" w:eastAsia="ro-RO"/>
              </w:rPr>
            </w:pPr>
            <w:r w:rsidRPr="00344A81">
              <w:rPr>
                <w:rFonts w:ascii="Times New Roman" w:hAnsi="Times New Roman" w:cs="Times New Roman"/>
                <w:b/>
                <w:i/>
                <w:sz w:val="18"/>
                <w:szCs w:val="18"/>
                <w:lang w:val="ro-RO"/>
              </w:rPr>
              <w:t>1143,4</w:t>
            </w:r>
          </w:p>
        </w:tc>
        <w:tc>
          <w:tcPr>
            <w:tcW w:w="359" w:type="pct"/>
            <w:shd w:val="clear" w:color="auto" w:fill="CC99FF"/>
            <w:vAlign w:val="bottom"/>
          </w:tcPr>
          <w:p w:rsidR="00344A81" w:rsidRPr="00344A81" w:rsidRDefault="00344A81" w:rsidP="005D12AE">
            <w:pPr>
              <w:tabs>
                <w:tab w:val="left" w:pos="1137"/>
              </w:tabs>
              <w:spacing w:after="0" w:line="240" w:lineRule="auto"/>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1196,0</w:t>
            </w:r>
          </w:p>
        </w:tc>
        <w:tc>
          <w:tcPr>
            <w:tcW w:w="359" w:type="pct"/>
            <w:shd w:val="clear" w:color="auto" w:fill="CC99FF"/>
            <w:vAlign w:val="bottom"/>
          </w:tcPr>
          <w:p w:rsidR="00344A81" w:rsidRPr="00344A81" w:rsidRDefault="00344A81" w:rsidP="005D12AE">
            <w:pPr>
              <w:tabs>
                <w:tab w:val="left" w:pos="1137"/>
              </w:tabs>
              <w:spacing w:after="0" w:line="240" w:lineRule="auto"/>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1257,0</w:t>
            </w:r>
          </w:p>
        </w:tc>
        <w:tc>
          <w:tcPr>
            <w:tcW w:w="372" w:type="pct"/>
            <w:shd w:val="clear" w:color="auto" w:fill="CC99FF"/>
            <w:vAlign w:val="bottom"/>
          </w:tcPr>
          <w:p w:rsidR="00344A81" w:rsidRPr="00344A81" w:rsidRDefault="00344A81" w:rsidP="00344A81">
            <w:pPr>
              <w:spacing w:after="0" w:line="240" w:lineRule="auto"/>
              <w:ind w:right="51"/>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1378,9</w:t>
            </w:r>
          </w:p>
        </w:tc>
      </w:tr>
      <w:tr w:rsidR="00344A81" w:rsidRPr="00344A81" w:rsidTr="00344A81">
        <w:tc>
          <w:tcPr>
            <w:tcW w:w="1397" w:type="pct"/>
          </w:tcPr>
          <w:p w:rsidR="00344A81" w:rsidRPr="00344A81" w:rsidRDefault="00344A81" w:rsidP="005D12AE">
            <w:pPr>
              <w:spacing w:after="0" w:line="240" w:lineRule="auto"/>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Rata sărăciei absolute (%)</w:t>
            </w:r>
          </w:p>
        </w:tc>
        <w:tc>
          <w:tcPr>
            <w:tcW w:w="358"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30,2</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25,8</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26,4</w:t>
            </w:r>
          </w:p>
        </w:tc>
        <w:tc>
          <w:tcPr>
            <w:tcW w:w="360" w:type="pct"/>
            <w:gridSpan w:val="2"/>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26,3</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21,9</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17,5</w:t>
            </w:r>
          </w:p>
        </w:tc>
        <w:tc>
          <w:tcPr>
            <w:tcW w:w="360"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16,6</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12,7</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11,4</w:t>
            </w:r>
          </w:p>
        </w:tc>
        <w:tc>
          <w:tcPr>
            <w:tcW w:w="372" w:type="pct"/>
            <w:vAlign w:val="bottom"/>
          </w:tcPr>
          <w:p w:rsidR="00344A81" w:rsidRPr="00344A81" w:rsidRDefault="00344A81" w:rsidP="00344A81">
            <w:pPr>
              <w:spacing w:after="0" w:line="240" w:lineRule="auto"/>
              <w:ind w:right="51"/>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9,6</w:t>
            </w:r>
          </w:p>
        </w:tc>
      </w:tr>
      <w:tr w:rsidR="00344A81" w:rsidRPr="00344A81" w:rsidTr="00344A81">
        <w:tc>
          <w:tcPr>
            <w:tcW w:w="1397" w:type="pct"/>
          </w:tcPr>
          <w:p w:rsidR="00344A81" w:rsidRPr="00344A81" w:rsidRDefault="00344A81" w:rsidP="005D12AE">
            <w:pPr>
              <w:spacing w:after="0" w:line="240" w:lineRule="auto"/>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Profunzimea sărăciei absolute (%)</w:t>
            </w:r>
          </w:p>
        </w:tc>
        <w:tc>
          <w:tcPr>
            <w:tcW w:w="358"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7,9</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5,9</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6,4</w:t>
            </w:r>
          </w:p>
        </w:tc>
        <w:tc>
          <w:tcPr>
            <w:tcW w:w="360" w:type="pct"/>
            <w:gridSpan w:val="2"/>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5,9</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4,5</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3,2</w:t>
            </w:r>
          </w:p>
        </w:tc>
        <w:tc>
          <w:tcPr>
            <w:tcW w:w="360"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2,9</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2,0</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1,5</w:t>
            </w:r>
          </w:p>
        </w:tc>
        <w:tc>
          <w:tcPr>
            <w:tcW w:w="372" w:type="pct"/>
            <w:vAlign w:val="bottom"/>
          </w:tcPr>
          <w:p w:rsidR="00344A81" w:rsidRPr="00344A81" w:rsidRDefault="00344A81" w:rsidP="00344A81">
            <w:pPr>
              <w:spacing w:after="0" w:line="240" w:lineRule="auto"/>
              <w:ind w:right="51"/>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1,5</w:t>
            </w:r>
          </w:p>
        </w:tc>
      </w:tr>
      <w:tr w:rsidR="00344A81" w:rsidRPr="00344A81" w:rsidTr="00344A81">
        <w:tc>
          <w:tcPr>
            <w:tcW w:w="1397" w:type="pct"/>
            <w:tcBorders>
              <w:bottom w:val="single" w:sz="4" w:space="0" w:color="auto"/>
            </w:tcBorders>
          </w:tcPr>
          <w:p w:rsidR="00344A81" w:rsidRPr="00344A81" w:rsidRDefault="00344A81" w:rsidP="005D12AE">
            <w:pPr>
              <w:spacing w:after="0" w:line="240" w:lineRule="auto"/>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Severitatea sărăciei absolute (%)</w:t>
            </w:r>
          </w:p>
        </w:tc>
        <w:tc>
          <w:tcPr>
            <w:tcW w:w="358" w:type="pct"/>
            <w:tcBorders>
              <w:bottom w:val="single" w:sz="4" w:space="0" w:color="auto"/>
            </w:tcBorders>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3,0</w:t>
            </w:r>
          </w:p>
        </w:tc>
        <w:tc>
          <w:tcPr>
            <w:tcW w:w="359" w:type="pct"/>
            <w:tcBorders>
              <w:bottom w:val="single" w:sz="4" w:space="0" w:color="auto"/>
            </w:tcBorders>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2,1</w:t>
            </w:r>
          </w:p>
        </w:tc>
        <w:tc>
          <w:tcPr>
            <w:tcW w:w="359" w:type="pct"/>
            <w:tcBorders>
              <w:bottom w:val="single" w:sz="4" w:space="0" w:color="auto"/>
            </w:tcBorders>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2,3</w:t>
            </w:r>
          </w:p>
        </w:tc>
        <w:tc>
          <w:tcPr>
            <w:tcW w:w="360" w:type="pct"/>
            <w:gridSpan w:val="2"/>
            <w:tcBorders>
              <w:bottom w:val="single" w:sz="4" w:space="0" w:color="auto"/>
            </w:tcBorders>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2,0</w:t>
            </w:r>
          </w:p>
        </w:tc>
        <w:tc>
          <w:tcPr>
            <w:tcW w:w="359" w:type="pct"/>
            <w:tcBorders>
              <w:bottom w:val="single" w:sz="4" w:space="0" w:color="auto"/>
            </w:tcBorders>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1,4</w:t>
            </w:r>
          </w:p>
        </w:tc>
        <w:tc>
          <w:tcPr>
            <w:tcW w:w="359" w:type="pct"/>
            <w:tcBorders>
              <w:bottom w:val="single" w:sz="4" w:space="0" w:color="auto"/>
            </w:tcBorders>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1,0</w:t>
            </w:r>
          </w:p>
        </w:tc>
        <w:tc>
          <w:tcPr>
            <w:tcW w:w="360" w:type="pct"/>
            <w:tcBorders>
              <w:bottom w:val="single" w:sz="4" w:space="0" w:color="auto"/>
            </w:tcBorders>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0,8</w:t>
            </w:r>
          </w:p>
        </w:tc>
        <w:tc>
          <w:tcPr>
            <w:tcW w:w="359" w:type="pct"/>
            <w:tcBorders>
              <w:bottom w:val="single" w:sz="4" w:space="0" w:color="auto"/>
            </w:tcBorders>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0,5</w:t>
            </w:r>
          </w:p>
        </w:tc>
        <w:tc>
          <w:tcPr>
            <w:tcW w:w="359" w:type="pct"/>
            <w:tcBorders>
              <w:bottom w:val="single" w:sz="4" w:space="0" w:color="auto"/>
            </w:tcBorders>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0,3</w:t>
            </w:r>
          </w:p>
        </w:tc>
        <w:tc>
          <w:tcPr>
            <w:tcW w:w="372" w:type="pct"/>
            <w:tcBorders>
              <w:bottom w:val="single" w:sz="4" w:space="0" w:color="auto"/>
            </w:tcBorders>
            <w:vAlign w:val="bottom"/>
          </w:tcPr>
          <w:p w:rsidR="00344A81" w:rsidRPr="00344A81" w:rsidRDefault="00344A81" w:rsidP="00344A81">
            <w:pPr>
              <w:spacing w:after="0" w:line="240" w:lineRule="auto"/>
              <w:ind w:right="51"/>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0,4</w:t>
            </w:r>
          </w:p>
        </w:tc>
      </w:tr>
      <w:tr w:rsidR="00344A81" w:rsidRPr="00344A81" w:rsidTr="00344A81">
        <w:trPr>
          <w:trHeight w:val="311"/>
        </w:trPr>
        <w:tc>
          <w:tcPr>
            <w:tcW w:w="1397" w:type="pct"/>
            <w:shd w:val="clear" w:color="auto" w:fill="CC99FF"/>
          </w:tcPr>
          <w:p w:rsidR="00344A81" w:rsidRPr="00344A81" w:rsidRDefault="00344A81" w:rsidP="005D12AE">
            <w:pPr>
              <w:spacing w:after="0" w:line="240" w:lineRule="auto"/>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Pragul sărăciei extreme (lei)</w:t>
            </w:r>
          </w:p>
        </w:tc>
        <w:tc>
          <w:tcPr>
            <w:tcW w:w="358" w:type="pct"/>
            <w:shd w:val="clear" w:color="auto" w:fill="CC99FF"/>
            <w:vAlign w:val="bottom"/>
          </w:tcPr>
          <w:p w:rsidR="00344A81" w:rsidRPr="00344A81" w:rsidRDefault="00344A81" w:rsidP="005D12AE">
            <w:pPr>
              <w:spacing w:after="0" w:line="240" w:lineRule="auto"/>
              <w:ind w:left="567"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404,2</w:t>
            </w:r>
          </w:p>
        </w:tc>
        <w:tc>
          <w:tcPr>
            <w:tcW w:w="359" w:type="pct"/>
            <w:shd w:val="clear" w:color="auto" w:fill="CC99FF"/>
            <w:vAlign w:val="bottom"/>
          </w:tcPr>
          <w:p w:rsidR="00344A81" w:rsidRPr="00344A81" w:rsidRDefault="00344A81" w:rsidP="005D12AE">
            <w:pPr>
              <w:spacing w:after="0" w:line="240" w:lineRule="auto"/>
              <w:ind w:left="567"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453,9</w:t>
            </w:r>
          </w:p>
        </w:tc>
        <w:tc>
          <w:tcPr>
            <w:tcW w:w="359" w:type="pct"/>
            <w:shd w:val="clear" w:color="auto" w:fill="CC99FF"/>
            <w:vAlign w:val="bottom"/>
          </w:tcPr>
          <w:p w:rsidR="00344A81" w:rsidRPr="00344A81" w:rsidRDefault="00344A81" w:rsidP="005D12AE">
            <w:pPr>
              <w:spacing w:after="0" w:line="240" w:lineRule="auto"/>
              <w:ind w:left="567"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511,5</w:t>
            </w:r>
          </w:p>
        </w:tc>
        <w:tc>
          <w:tcPr>
            <w:tcW w:w="360" w:type="pct"/>
            <w:gridSpan w:val="2"/>
            <w:shd w:val="clear" w:color="auto" w:fill="CC99FF"/>
            <w:vAlign w:val="bottom"/>
          </w:tcPr>
          <w:p w:rsidR="00344A81" w:rsidRPr="00344A81" w:rsidRDefault="00344A81" w:rsidP="005D12AE">
            <w:pPr>
              <w:spacing w:after="0" w:line="240" w:lineRule="auto"/>
              <w:ind w:left="567"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511,5</w:t>
            </w:r>
          </w:p>
        </w:tc>
        <w:tc>
          <w:tcPr>
            <w:tcW w:w="359" w:type="pct"/>
            <w:shd w:val="clear" w:color="auto" w:fill="CC99FF"/>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549,4</w:t>
            </w:r>
          </w:p>
        </w:tc>
        <w:tc>
          <w:tcPr>
            <w:tcW w:w="359" w:type="pct"/>
            <w:shd w:val="clear" w:color="auto" w:fill="CC99FF"/>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591,2</w:t>
            </w:r>
          </w:p>
        </w:tc>
        <w:tc>
          <w:tcPr>
            <w:tcW w:w="360" w:type="pct"/>
            <w:shd w:val="clear" w:color="auto" w:fill="CC99FF"/>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618,4</w:t>
            </w:r>
          </w:p>
        </w:tc>
        <w:tc>
          <w:tcPr>
            <w:tcW w:w="359" w:type="pct"/>
            <w:shd w:val="clear" w:color="auto" w:fill="CC99FF"/>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646,8</w:t>
            </w:r>
          </w:p>
        </w:tc>
        <w:tc>
          <w:tcPr>
            <w:tcW w:w="359" w:type="pct"/>
            <w:shd w:val="clear" w:color="auto" w:fill="CC99FF"/>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679,8</w:t>
            </w:r>
          </w:p>
        </w:tc>
        <w:tc>
          <w:tcPr>
            <w:tcW w:w="372" w:type="pct"/>
            <w:shd w:val="clear" w:color="auto" w:fill="CC99FF"/>
            <w:vAlign w:val="bottom"/>
          </w:tcPr>
          <w:p w:rsidR="00344A81" w:rsidRPr="00344A81" w:rsidRDefault="00344A81" w:rsidP="00344A81">
            <w:pPr>
              <w:tabs>
                <w:tab w:val="left" w:pos="1137"/>
              </w:tabs>
              <w:spacing w:after="0" w:line="240" w:lineRule="auto"/>
              <w:ind w:left="567" w:right="-5" w:hanging="567"/>
              <w:jc w:val="center"/>
              <w:rPr>
                <w:rFonts w:ascii="Times New Roman" w:hAnsi="Times New Roman" w:cs="Times New Roman"/>
                <w:b/>
                <w:i/>
                <w:sz w:val="18"/>
                <w:szCs w:val="18"/>
                <w:lang w:val="ro-RO"/>
              </w:rPr>
            </w:pPr>
            <w:r w:rsidRPr="00344A81">
              <w:rPr>
                <w:rFonts w:ascii="Times New Roman" w:hAnsi="Times New Roman" w:cs="Times New Roman"/>
                <w:b/>
                <w:i/>
                <w:sz w:val="18"/>
                <w:szCs w:val="18"/>
                <w:lang w:val="ro-RO"/>
              </w:rPr>
              <w:t>745,7</w:t>
            </w:r>
          </w:p>
        </w:tc>
      </w:tr>
      <w:tr w:rsidR="00344A81" w:rsidRPr="00344A81" w:rsidTr="00344A81">
        <w:tc>
          <w:tcPr>
            <w:tcW w:w="1397" w:type="pct"/>
          </w:tcPr>
          <w:p w:rsidR="00344A81" w:rsidRPr="00344A81" w:rsidRDefault="00344A81" w:rsidP="005D12AE">
            <w:pPr>
              <w:spacing w:after="0" w:line="240" w:lineRule="auto"/>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Rata sărăciei extreme (%)</w:t>
            </w:r>
          </w:p>
        </w:tc>
        <w:tc>
          <w:tcPr>
            <w:tcW w:w="358"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4,5</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2,8</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3,2</w:t>
            </w:r>
          </w:p>
        </w:tc>
        <w:tc>
          <w:tcPr>
            <w:tcW w:w="360" w:type="pct"/>
            <w:gridSpan w:val="2"/>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2,1</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1,4</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0,9</w:t>
            </w:r>
          </w:p>
        </w:tc>
        <w:tc>
          <w:tcPr>
            <w:tcW w:w="360"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0,6</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0,3</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0,1</w:t>
            </w:r>
          </w:p>
        </w:tc>
        <w:tc>
          <w:tcPr>
            <w:tcW w:w="372" w:type="pct"/>
            <w:vAlign w:val="bottom"/>
          </w:tcPr>
          <w:p w:rsidR="00344A81" w:rsidRPr="00344A81" w:rsidRDefault="00344A81" w:rsidP="00344A81">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0,2</w:t>
            </w:r>
          </w:p>
        </w:tc>
      </w:tr>
      <w:tr w:rsidR="00344A81" w:rsidRPr="00344A81" w:rsidTr="00344A81">
        <w:tc>
          <w:tcPr>
            <w:tcW w:w="1397" w:type="pct"/>
          </w:tcPr>
          <w:p w:rsidR="00344A81" w:rsidRPr="00344A81" w:rsidRDefault="00344A81" w:rsidP="005D12AE">
            <w:pPr>
              <w:spacing w:after="0" w:line="240" w:lineRule="auto"/>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Profunzimea sărăciei extreme (%)</w:t>
            </w:r>
          </w:p>
        </w:tc>
        <w:tc>
          <w:tcPr>
            <w:tcW w:w="358"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1,0</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0,5</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0,5</w:t>
            </w:r>
          </w:p>
        </w:tc>
        <w:tc>
          <w:tcPr>
            <w:tcW w:w="360" w:type="pct"/>
            <w:gridSpan w:val="2"/>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0,4</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0,3</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0,1</w:t>
            </w:r>
          </w:p>
        </w:tc>
        <w:tc>
          <w:tcPr>
            <w:tcW w:w="360"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0,1</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c>
          <w:tcPr>
            <w:tcW w:w="372" w:type="pct"/>
            <w:vAlign w:val="bottom"/>
          </w:tcPr>
          <w:p w:rsidR="00344A81" w:rsidRPr="00344A81" w:rsidRDefault="00344A81" w:rsidP="00344A81">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r>
      <w:tr w:rsidR="00344A81" w:rsidRPr="00344A81" w:rsidTr="00344A81">
        <w:tc>
          <w:tcPr>
            <w:tcW w:w="1397" w:type="pct"/>
          </w:tcPr>
          <w:p w:rsidR="00344A81" w:rsidRPr="00344A81" w:rsidRDefault="00344A81" w:rsidP="005D12AE">
            <w:pPr>
              <w:spacing w:after="0" w:line="240" w:lineRule="auto"/>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Severitatea sărăciei extreme (%)</w:t>
            </w:r>
          </w:p>
        </w:tc>
        <w:tc>
          <w:tcPr>
            <w:tcW w:w="358"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0,4</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0,2</w:t>
            </w:r>
          </w:p>
        </w:tc>
        <w:tc>
          <w:tcPr>
            <w:tcW w:w="359" w:type="pct"/>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0,1</w:t>
            </w:r>
          </w:p>
        </w:tc>
        <w:tc>
          <w:tcPr>
            <w:tcW w:w="360" w:type="pct"/>
            <w:gridSpan w:val="2"/>
            <w:vAlign w:val="bottom"/>
          </w:tcPr>
          <w:p w:rsidR="00344A81" w:rsidRPr="00344A81" w:rsidRDefault="00344A81" w:rsidP="005D12AE">
            <w:pPr>
              <w:spacing w:after="0" w:line="240" w:lineRule="auto"/>
              <w:ind w:left="567"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0,1</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0,1</w:t>
            </w:r>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c>
          <w:tcPr>
            <w:tcW w:w="360"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eastAsia="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c>
          <w:tcPr>
            <w:tcW w:w="359" w:type="pct"/>
            <w:vAlign w:val="bottom"/>
          </w:tcPr>
          <w:p w:rsidR="00344A81" w:rsidRPr="00344A81" w:rsidRDefault="00344A81" w:rsidP="005D12AE">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c>
          <w:tcPr>
            <w:tcW w:w="372" w:type="pct"/>
            <w:vAlign w:val="bottom"/>
          </w:tcPr>
          <w:p w:rsidR="00344A81" w:rsidRPr="00344A81" w:rsidRDefault="00344A81" w:rsidP="00344A81">
            <w:pPr>
              <w:tabs>
                <w:tab w:val="left" w:pos="1137"/>
              </w:tabs>
              <w:spacing w:after="0" w:line="240" w:lineRule="auto"/>
              <w:ind w:left="567" w:right="-5" w:hanging="567"/>
              <w:jc w:val="center"/>
              <w:rPr>
                <w:rFonts w:ascii="Times New Roman" w:hAnsi="Times New Roman" w:cs="Times New Roman"/>
                <w:sz w:val="18"/>
                <w:szCs w:val="18"/>
                <w:lang w:val="ro-RO"/>
              </w:rPr>
            </w:pPr>
            <w:r w:rsidRPr="00344A81">
              <w:rPr>
                <w:rFonts w:ascii="Times New Roman" w:hAnsi="Times New Roman" w:cs="Times New Roman"/>
                <w:sz w:val="18"/>
                <w:szCs w:val="18"/>
                <w:lang w:val="ro-RO"/>
              </w:rPr>
              <w:t>0,</w:t>
            </w:r>
            <w:proofErr w:type="spellStart"/>
            <w:r w:rsidRPr="00344A81">
              <w:rPr>
                <w:rFonts w:ascii="Times New Roman" w:hAnsi="Times New Roman" w:cs="Times New Roman"/>
                <w:sz w:val="18"/>
                <w:szCs w:val="18"/>
                <w:lang w:val="ro-RO"/>
              </w:rPr>
              <w:t>0</w:t>
            </w:r>
            <w:proofErr w:type="spellEnd"/>
          </w:p>
        </w:tc>
      </w:tr>
      <w:tr w:rsidR="00344A81" w:rsidRPr="00344A81" w:rsidTr="00344A81">
        <w:trPr>
          <w:trHeight w:val="221"/>
        </w:trPr>
        <w:tc>
          <w:tcPr>
            <w:tcW w:w="2594" w:type="pct"/>
            <w:gridSpan w:val="5"/>
            <w:vAlign w:val="bottom"/>
          </w:tcPr>
          <w:p w:rsidR="005D12AE" w:rsidRPr="00344A81" w:rsidRDefault="005D12AE" w:rsidP="005D12AE">
            <w:pPr>
              <w:spacing w:after="0" w:line="240" w:lineRule="auto"/>
              <w:ind w:firstLine="567"/>
              <w:jc w:val="both"/>
              <w:rPr>
                <w:rFonts w:ascii="Times New Roman" w:hAnsi="Times New Roman" w:cs="Times New Roman"/>
                <w:sz w:val="18"/>
                <w:szCs w:val="18"/>
                <w:lang w:val="ro-RO"/>
              </w:rPr>
            </w:pPr>
            <w:r w:rsidRPr="00344A81">
              <w:rPr>
                <w:rFonts w:ascii="Times New Roman" w:hAnsi="Times New Roman" w:cs="Times New Roman"/>
                <w:i/>
                <w:sz w:val="18"/>
                <w:szCs w:val="18"/>
                <w:lang w:val="ro-RO"/>
              </w:rPr>
              <w:t>Sursa</w:t>
            </w:r>
            <w:r w:rsidRPr="00344A81">
              <w:rPr>
                <w:rFonts w:ascii="Times New Roman" w:hAnsi="Times New Roman" w:cs="Times New Roman"/>
                <w:sz w:val="18"/>
                <w:szCs w:val="18"/>
                <w:lang w:val="ro-RO"/>
              </w:rPr>
              <w:t xml:space="preserve">: </w:t>
            </w:r>
            <w:r w:rsidRPr="00344A81">
              <w:rPr>
                <w:rFonts w:ascii="Times New Roman" w:hAnsi="Times New Roman" w:cs="Times New Roman"/>
                <w:i/>
                <w:sz w:val="18"/>
                <w:szCs w:val="18"/>
                <w:lang w:val="ro-RO"/>
              </w:rPr>
              <w:t>BNS, în baza datelor CBGC</w:t>
            </w:r>
          </w:p>
        </w:tc>
        <w:tc>
          <w:tcPr>
            <w:tcW w:w="2406" w:type="pct"/>
            <w:gridSpan w:val="7"/>
          </w:tcPr>
          <w:p w:rsidR="005D12AE" w:rsidRPr="00344A81" w:rsidRDefault="005D12AE" w:rsidP="005D12AE">
            <w:pPr>
              <w:spacing w:after="0" w:line="240" w:lineRule="auto"/>
              <w:ind w:firstLine="567"/>
              <w:jc w:val="both"/>
              <w:rPr>
                <w:rFonts w:ascii="Times New Roman" w:hAnsi="Times New Roman" w:cs="Times New Roman"/>
                <w:i/>
                <w:sz w:val="18"/>
                <w:szCs w:val="18"/>
                <w:lang w:val="ro-RO"/>
              </w:rPr>
            </w:pPr>
          </w:p>
        </w:tc>
      </w:tr>
    </w:tbl>
    <w:p w:rsidR="006851D8" w:rsidRPr="00344A81" w:rsidRDefault="00773986" w:rsidP="00C6535A">
      <w:pPr>
        <w:spacing w:before="120"/>
        <w:jc w:val="both"/>
        <w:rPr>
          <w:sz w:val="24"/>
          <w:szCs w:val="24"/>
          <w:lang w:val="ro-RO"/>
        </w:rPr>
      </w:pPr>
      <w:r w:rsidRPr="00344A81">
        <w:rPr>
          <w:sz w:val="24"/>
          <w:szCs w:val="24"/>
          <w:lang w:val="ro-RO"/>
        </w:rPr>
        <w:t>Reducerea sărăciei a avut loc pe f</w:t>
      </w:r>
      <w:r w:rsidR="008E0032" w:rsidRPr="00344A81">
        <w:rPr>
          <w:sz w:val="24"/>
          <w:szCs w:val="24"/>
          <w:lang w:val="ro-RO"/>
        </w:rPr>
        <w:t>onul descreşterii economice</w:t>
      </w:r>
      <w:r w:rsidR="00A909AC" w:rsidRPr="00344A81">
        <w:rPr>
          <w:sz w:val="24"/>
          <w:szCs w:val="24"/>
          <w:lang w:val="ro-RO"/>
        </w:rPr>
        <w:t xml:space="preserve"> (-</w:t>
      </w:r>
      <w:r w:rsidR="008E0032" w:rsidRPr="00344A81">
        <w:rPr>
          <w:sz w:val="24"/>
          <w:szCs w:val="24"/>
          <w:lang w:val="ro-RO"/>
        </w:rPr>
        <w:t>0.5</w:t>
      </w:r>
      <w:r w:rsidRPr="00344A81">
        <w:rPr>
          <w:sz w:val="24"/>
          <w:szCs w:val="24"/>
          <w:lang w:val="ro-RO"/>
        </w:rPr>
        <w:t>%</w:t>
      </w:r>
      <w:r w:rsidR="00A909AC" w:rsidRPr="00344A81">
        <w:rPr>
          <w:sz w:val="24"/>
          <w:szCs w:val="24"/>
          <w:lang w:val="ro-RO"/>
        </w:rPr>
        <w:t>)</w:t>
      </w:r>
      <w:r w:rsidRPr="00344A81">
        <w:rPr>
          <w:sz w:val="24"/>
          <w:szCs w:val="24"/>
          <w:lang w:val="ro-RO"/>
        </w:rPr>
        <w:t xml:space="preserve">. Totodată, anul 2015 s-a caracterizat prin </w:t>
      </w:r>
      <w:r w:rsidR="00892857" w:rsidRPr="00344A81">
        <w:rPr>
          <w:sz w:val="24"/>
          <w:szCs w:val="24"/>
          <w:lang w:val="ro-RO"/>
        </w:rPr>
        <w:t>descreşteri în sectorul agricol (-13,8%),</w:t>
      </w:r>
      <w:r w:rsidR="00C6535A" w:rsidRPr="00344A81">
        <w:rPr>
          <w:sz w:val="24"/>
          <w:szCs w:val="24"/>
          <w:lang w:val="ro-RO"/>
        </w:rPr>
        <w:t xml:space="preserve"> a exporturilor şi importurilor (-15,9%, respectiv -25%), a volumului investiţiilor (-8,8%). </w:t>
      </w:r>
      <w:r w:rsidR="006851D8" w:rsidRPr="00344A81">
        <w:rPr>
          <w:sz w:val="24"/>
          <w:szCs w:val="24"/>
          <w:lang w:val="ro-RO"/>
        </w:rPr>
        <w:t>Evoluţie pozitivă a consemnat doar sectorul industrial (+0,6%), precum şi serviciile de piaţă prestate populaţiei (+1,2%).</w:t>
      </w:r>
    </w:p>
    <w:p w:rsidR="00773986" w:rsidRPr="00344A81" w:rsidRDefault="00A909AC" w:rsidP="00C6535A">
      <w:pPr>
        <w:spacing w:before="120"/>
        <w:jc w:val="both"/>
        <w:rPr>
          <w:sz w:val="24"/>
          <w:szCs w:val="24"/>
          <w:lang w:val="ro-RO"/>
        </w:rPr>
      </w:pPr>
      <w:r w:rsidRPr="00344A81">
        <w:rPr>
          <w:sz w:val="24"/>
          <w:szCs w:val="24"/>
          <w:lang w:val="ro-RO"/>
        </w:rPr>
        <w:t>C</w:t>
      </w:r>
      <w:r w:rsidR="00C6535A" w:rsidRPr="00344A81">
        <w:rPr>
          <w:sz w:val="24"/>
          <w:szCs w:val="24"/>
          <w:lang w:val="ro-RO"/>
        </w:rPr>
        <w:t xml:space="preserve">el mai important factor de menţinere a bunăstării populaţiei sunt remiterile de peste hotare. </w:t>
      </w:r>
      <w:r w:rsidR="006851D8" w:rsidRPr="00344A81">
        <w:rPr>
          <w:sz w:val="24"/>
          <w:szCs w:val="24"/>
          <w:lang w:val="ro-RO"/>
        </w:rPr>
        <w:t>În contextul crizei economice din unele ţări ale zonei Euro</w:t>
      </w:r>
      <w:r w:rsidRPr="00344A81">
        <w:rPr>
          <w:sz w:val="24"/>
          <w:szCs w:val="24"/>
          <w:lang w:val="ro-RO"/>
        </w:rPr>
        <w:t>, precum şi recesiunii</w:t>
      </w:r>
      <w:r w:rsidR="006851D8" w:rsidRPr="00344A81">
        <w:rPr>
          <w:sz w:val="24"/>
          <w:szCs w:val="24"/>
          <w:lang w:val="ro-RO"/>
        </w:rPr>
        <w:t xml:space="preserve"> din Federația Rusă</w:t>
      </w:r>
      <w:r w:rsidRPr="00344A81">
        <w:rPr>
          <w:sz w:val="24"/>
          <w:szCs w:val="24"/>
          <w:lang w:val="ro-RO"/>
        </w:rPr>
        <w:t>,</w:t>
      </w:r>
      <w:r w:rsidR="006851D8" w:rsidRPr="00344A81">
        <w:rPr>
          <w:sz w:val="24"/>
          <w:szCs w:val="24"/>
          <w:lang w:val="ro-RO"/>
        </w:rPr>
        <w:t xml:space="preserve"> </w:t>
      </w:r>
      <w:r w:rsidRPr="00344A81">
        <w:rPr>
          <w:sz w:val="24"/>
          <w:szCs w:val="24"/>
          <w:lang w:val="ro-RO"/>
        </w:rPr>
        <w:t>î</w:t>
      </w:r>
      <w:r w:rsidR="00C6535A" w:rsidRPr="00344A81">
        <w:rPr>
          <w:sz w:val="24"/>
          <w:szCs w:val="24"/>
          <w:lang w:val="ro-RO"/>
        </w:rPr>
        <w:t>n 2015 transferurile din străinătate s-au micșorat cu 26,4%</w:t>
      </w:r>
      <w:r w:rsidR="00C14387" w:rsidRPr="00344A81">
        <w:rPr>
          <w:sz w:val="24"/>
          <w:szCs w:val="24"/>
          <w:lang w:val="ro-RO"/>
        </w:rPr>
        <w:t>. Totuşi această diminuare a fost aplanată, într-o anumită măsură, de deprecierea monedei naţionale în raport cu principalele valute de referinţă</w:t>
      </w:r>
      <w:r w:rsidRPr="00344A81">
        <w:rPr>
          <w:sz w:val="24"/>
          <w:szCs w:val="24"/>
          <w:lang w:val="ro-RO"/>
        </w:rPr>
        <w:t>.</w:t>
      </w:r>
    </w:p>
    <w:p w:rsidR="00A909AC" w:rsidRPr="00344A81" w:rsidRDefault="00A909AC" w:rsidP="00C6535A">
      <w:pPr>
        <w:spacing w:before="120"/>
        <w:jc w:val="both"/>
        <w:rPr>
          <w:lang w:val="ro-RO"/>
        </w:rPr>
      </w:pPr>
      <w:r w:rsidRPr="00344A81">
        <w:rPr>
          <w:lang w:val="ro-RO"/>
        </w:rPr>
        <w:t xml:space="preserve">De asemenea, un impact pozitiv asupra familiilor sărace l-a avut ajutorul social, acordat de Guvern după o formulă care permite alocarea mult mai precisă a resurselor pentru a ajuta persoanele cu adevărat sărace. </w:t>
      </w:r>
    </w:p>
    <w:p w:rsidR="00E13F76" w:rsidRPr="00344A81" w:rsidRDefault="00E13F76" w:rsidP="00C6535A">
      <w:pPr>
        <w:spacing w:before="120"/>
        <w:jc w:val="both"/>
        <w:rPr>
          <w:color w:val="000000"/>
          <w:sz w:val="24"/>
          <w:szCs w:val="24"/>
          <w:lang w:val="ro-RO"/>
        </w:rPr>
      </w:pPr>
      <w:r w:rsidRPr="00344A81">
        <w:rPr>
          <w:color w:val="000000"/>
          <w:sz w:val="24"/>
          <w:szCs w:val="24"/>
          <w:lang w:val="ro-RO"/>
        </w:rPr>
        <w:t xml:space="preserve">Mediul de reşedinţă </w:t>
      </w:r>
      <w:proofErr w:type="spellStart"/>
      <w:r w:rsidRPr="00344A81">
        <w:rPr>
          <w:color w:val="000000"/>
          <w:sz w:val="24"/>
          <w:szCs w:val="24"/>
          <w:lang w:val="ro-RO"/>
        </w:rPr>
        <w:t>rămîne</w:t>
      </w:r>
      <w:proofErr w:type="spellEnd"/>
      <w:r w:rsidRPr="00344A81">
        <w:rPr>
          <w:color w:val="000000"/>
          <w:sz w:val="24"/>
          <w:szCs w:val="24"/>
          <w:lang w:val="ro-RO"/>
        </w:rPr>
        <w:t xml:space="preserve"> a fi un factor important în determinarea nivelului de bunăstare al populaţiei, nivelul sărăciei în mediul urban fiind semnificativ mai mic (3,1%) faţă de mediul rural</w:t>
      </w:r>
      <w:r w:rsidR="00DB039F" w:rsidRPr="00344A81">
        <w:rPr>
          <w:color w:val="000000"/>
          <w:sz w:val="24"/>
          <w:szCs w:val="24"/>
          <w:lang w:val="ro-RO"/>
        </w:rPr>
        <w:t xml:space="preserve"> (14,5%)</w:t>
      </w:r>
      <w:r w:rsidRPr="00344A81">
        <w:rPr>
          <w:color w:val="000000"/>
          <w:sz w:val="24"/>
          <w:szCs w:val="24"/>
          <w:lang w:val="ro-RO"/>
        </w:rPr>
        <w:t xml:space="preserve">. Comparativ cu anul precedent, se constată o descreştere a ratei sărăciei </w:t>
      </w:r>
      <w:proofErr w:type="spellStart"/>
      <w:r w:rsidR="00773986" w:rsidRPr="00344A81">
        <w:rPr>
          <w:color w:val="000000"/>
          <w:sz w:val="24"/>
          <w:szCs w:val="24"/>
          <w:lang w:val="ro-RO"/>
        </w:rPr>
        <w:t>atît</w:t>
      </w:r>
      <w:proofErr w:type="spellEnd"/>
      <w:r w:rsidRPr="00344A81">
        <w:rPr>
          <w:color w:val="000000"/>
          <w:sz w:val="24"/>
          <w:szCs w:val="24"/>
          <w:lang w:val="ro-RO"/>
        </w:rPr>
        <w:t xml:space="preserve"> în mediul urban, </w:t>
      </w:r>
      <w:proofErr w:type="spellStart"/>
      <w:r w:rsidRPr="00344A81">
        <w:rPr>
          <w:color w:val="000000"/>
          <w:sz w:val="24"/>
          <w:szCs w:val="24"/>
          <w:lang w:val="ro-RO"/>
        </w:rPr>
        <w:t>cît</w:t>
      </w:r>
      <w:proofErr w:type="spellEnd"/>
      <w:r w:rsidRPr="00344A81">
        <w:rPr>
          <w:color w:val="000000"/>
          <w:sz w:val="24"/>
          <w:szCs w:val="24"/>
          <w:lang w:val="ro-RO"/>
        </w:rPr>
        <w:t xml:space="preserve"> şi în mediul rural</w:t>
      </w:r>
      <w:r w:rsidR="00130415" w:rsidRPr="00344A81">
        <w:rPr>
          <w:color w:val="000000"/>
          <w:sz w:val="24"/>
          <w:szCs w:val="24"/>
          <w:lang w:val="ro-RO"/>
        </w:rPr>
        <w:t xml:space="preserve">. </w:t>
      </w:r>
      <w:r w:rsidRPr="00344A81">
        <w:rPr>
          <w:color w:val="000000"/>
          <w:sz w:val="24"/>
          <w:szCs w:val="24"/>
          <w:lang w:val="ro-RO"/>
        </w:rPr>
        <w:t xml:space="preserve"> </w:t>
      </w:r>
      <w:r w:rsidR="00130415" w:rsidRPr="00344A81">
        <w:rPr>
          <w:color w:val="000000"/>
          <w:sz w:val="24"/>
          <w:szCs w:val="24"/>
          <w:lang w:val="ro-RO"/>
        </w:rPr>
        <w:t>Î</w:t>
      </w:r>
      <w:r w:rsidRPr="00344A81">
        <w:rPr>
          <w:color w:val="000000"/>
          <w:sz w:val="24"/>
          <w:szCs w:val="24"/>
          <w:lang w:val="ro-RO"/>
        </w:rPr>
        <w:t>n cazul oraşelor mari</w:t>
      </w:r>
      <w:r w:rsidRPr="00344A81">
        <w:rPr>
          <w:color w:val="000000"/>
          <w:sz w:val="24"/>
          <w:szCs w:val="24"/>
          <w:vertAlign w:val="superscript"/>
          <w:lang w:val="ro-RO"/>
        </w:rPr>
        <w:footnoteReference w:id="2"/>
      </w:r>
      <w:r w:rsidRPr="00344A81">
        <w:rPr>
          <w:color w:val="000000"/>
          <w:sz w:val="24"/>
          <w:szCs w:val="24"/>
          <w:lang w:val="ro-RO"/>
        </w:rPr>
        <w:t xml:space="preserve"> şi oraşelor mici rata sărăciei a scăzut respectiv cu 1,2 si 2,7 puncte procentuale</w:t>
      </w:r>
      <w:r w:rsidR="00130415" w:rsidRPr="00344A81">
        <w:rPr>
          <w:color w:val="000000"/>
          <w:sz w:val="24"/>
          <w:szCs w:val="24"/>
          <w:lang w:val="ro-RO"/>
        </w:rPr>
        <w:t>, iar în mediul rural cu 1,9 puncte procentuale.</w:t>
      </w:r>
    </w:p>
    <w:p w:rsidR="00E13F76" w:rsidRPr="00344A81" w:rsidRDefault="00E13F76" w:rsidP="00C6535A">
      <w:pPr>
        <w:spacing w:before="120"/>
        <w:jc w:val="both"/>
        <w:rPr>
          <w:color w:val="000000"/>
          <w:sz w:val="24"/>
          <w:szCs w:val="24"/>
          <w:lang w:val="ro-RO"/>
        </w:rPr>
      </w:pPr>
      <w:r w:rsidRPr="00344A81">
        <w:rPr>
          <w:color w:val="000000"/>
          <w:sz w:val="24"/>
          <w:szCs w:val="24"/>
          <w:lang w:val="ro-RO"/>
        </w:rPr>
        <w:t>În funcţie de numărul de copii în familie</w:t>
      </w:r>
      <w:r w:rsidR="00130415" w:rsidRPr="00344A81">
        <w:rPr>
          <w:color w:val="000000"/>
          <w:sz w:val="24"/>
          <w:szCs w:val="24"/>
          <w:lang w:val="ro-RO"/>
        </w:rPr>
        <w:t>,</w:t>
      </w:r>
      <w:r w:rsidRPr="00344A81">
        <w:rPr>
          <w:color w:val="000000"/>
          <w:sz w:val="24"/>
          <w:szCs w:val="24"/>
          <w:lang w:val="ro-RO"/>
        </w:rPr>
        <w:t xml:space="preserve"> cel mai mare nivel al sărăciei este înregistrat </w:t>
      </w:r>
      <w:r w:rsidR="00577ECC" w:rsidRPr="00344A81">
        <w:rPr>
          <w:color w:val="000000"/>
          <w:sz w:val="24"/>
          <w:szCs w:val="24"/>
          <w:lang w:val="ro-RO"/>
        </w:rPr>
        <w:t>la</w:t>
      </w:r>
      <w:r w:rsidRPr="00344A81">
        <w:rPr>
          <w:color w:val="000000"/>
          <w:sz w:val="24"/>
          <w:szCs w:val="24"/>
          <w:lang w:val="ro-RO"/>
        </w:rPr>
        <w:t xml:space="preserve"> gospo</w:t>
      </w:r>
      <w:r w:rsidR="00577ECC" w:rsidRPr="00344A81">
        <w:rPr>
          <w:color w:val="000000"/>
          <w:sz w:val="24"/>
          <w:szCs w:val="24"/>
          <w:lang w:val="ro-RO"/>
        </w:rPr>
        <w:t>dăriile</w:t>
      </w:r>
      <w:r w:rsidR="00130415" w:rsidRPr="00344A81">
        <w:rPr>
          <w:color w:val="000000"/>
          <w:sz w:val="24"/>
          <w:szCs w:val="24"/>
          <w:lang w:val="ro-RO"/>
        </w:rPr>
        <w:t xml:space="preserve"> cu 3 şi mai muţi copii.</w:t>
      </w:r>
      <w:r w:rsidRPr="00344A81">
        <w:rPr>
          <w:color w:val="000000"/>
          <w:sz w:val="24"/>
          <w:szCs w:val="24"/>
          <w:lang w:val="ro-RO"/>
        </w:rPr>
        <w:t xml:space="preserve"> </w:t>
      </w:r>
      <w:r w:rsidR="00130415" w:rsidRPr="00344A81">
        <w:rPr>
          <w:color w:val="000000"/>
          <w:sz w:val="24"/>
          <w:szCs w:val="24"/>
          <w:lang w:val="ro-RO"/>
        </w:rPr>
        <w:t>A</w:t>
      </w:r>
      <w:r w:rsidRPr="00344A81">
        <w:rPr>
          <w:color w:val="000000"/>
          <w:sz w:val="24"/>
          <w:szCs w:val="24"/>
          <w:lang w:val="ro-RO"/>
        </w:rPr>
        <w:t xml:space="preserve">cestea se confruntă cu un risc al sărăciei de 23,2% faţă de 7,5% în cazul gospodăriilor cu un singur copil. Gospodăriile din 5 şi mai multe persoane este o altă categorie de gospodării care sunt supuse unui risc mai sporit al sărăciei (16,1%), comparativ cu gospodăriile formate dintr-o singură persoană (6,9%). </w:t>
      </w:r>
    </w:p>
    <w:p w:rsidR="00E13F76" w:rsidRPr="00344A81" w:rsidRDefault="00130415" w:rsidP="00C6535A">
      <w:pPr>
        <w:tabs>
          <w:tab w:val="left" w:pos="10080"/>
        </w:tabs>
        <w:spacing w:before="120"/>
        <w:jc w:val="both"/>
        <w:rPr>
          <w:color w:val="000000"/>
          <w:sz w:val="24"/>
          <w:szCs w:val="24"/>
          <w:lang w:val="ro-RO"/>
        </w:rPr>
      </w:pPr>
      <w:r w:rsidRPr="00344A81">
        <w:rPr>
          <w:color w:val="000000"/>
          <w:sz w:val="24"/>
          <w:szCs w:val="24"/>
          <w:lang w:val="ro-RO"/>
        </w:rPr>
        <w:lastRenderedPageBreak/>
        <w:t>La fel c</w:t>
      </w:r>
      <w:r w:rsidR="00E13F76" w:rsidRPr="00344A81">
        <w:rPr>
          <w:color w:val="000000"/>
          <w:sz w:val="24"/>
          <w:szCs w:val="24"/>
          <w:lang w:val="ro-RO"/>
        </w:rPr>
        <w:t xml:space="preserve">a în cazul multor altor ţări, sărăcia variază în funcţie de nivelul de educaţie al capului gospodăriei şi respectiv probabilitatea de a fi sărac este mai mică pentru gospodăriile cu un nivel mai înalt de instruire. Astfel, fiecare nivel de educaţie </w:t>
      </w:r>
      <w:r w:rsidRPr="00344A81">
        <w:rPr>
          <w:color w:val="000000"/>
          <w:sz w:val="24"/>
          <w:szCs w:val="24"/>
          <w:lang w:val="ro-RO"/>
        </w:rPr>
        <w:t xml:space="preserve">mai superior </w:t>
      </w:r>
      <w:r w:rsidR="00E13F76" w:rsidRPr="00344A81">
        <w:rPr>
          <w:color w:val="000000"/>
          <w:sz w:val="24"/>
          <w:szCs w:val="24"/>
          <w:lang w:val="ro-RO"/>
        </w:rPr>
        <w:t xml:space="preserve">al capului gospodăriei relevă o scădere a riscului sărăciei, de la 2,9% în cazul gospodăriilor unde capul gospodăriei are studii superioare până la 18,4% pentru gospodăriile unde capul gospodăriei nu are studii medii generale sau este fără studii. </w:t>
      </w:r>
    </w:p>
    <w:p w:rsidR="00E13F76" w:rsidRPr="00344A81" w:rsidRDefault="00E13F76" w:rsidP="00C6535A">
      <w:pPr>
        <w:spacing w:before="120"/>
        <w:jc w:val="both"/>
        <w:rPr>
          <w:color w:val="000000"/>
          <w:sz w:val="24"/>
          <w:szCs w:val="24"/>
          <w:lang w:val="ro-RO"/>
        </w:rPr>
      </w:pPr>
      <w:r w:rsidRPr="00344A81">
        <w:rPr>
          <w:color w:val="000000"/>
          <w:sz w:val="24"/>
          <w:szCs w:val="24"/>
          <w:lang w:val="ro-RO"/>
        </w:rPr>
        <w:t xml:space="preserve">Diferenţe se atestă şi în funcţie de vârsta capului gospodăriei, unde nivelul sărăciei creşte </w:t>
      </w:r>
      <w:r w:rsidR="00130415" w:rsidRPr="00344A81">
        <w:rPr>
          <w:color w:val="000000"/>
          <w:sz w:val="24"/>
          <w:szCs w:val="24"/>
          <w:lang w:val="ro-RO"/>
        </w:rPr>
        <w:t xml:space="preserve">respectiv </w:t>
      </w:r>
      <w:r w:rsidRPr="00344A81">
        <w:rPr>
          <w:color w:val="000000"/>
          <w:sz w:val="24"/>
          <w:szCs w:val="24"/>
          <w:lang w:val="ro-RO"/>
        </w:rPr>
        <w:t xml:space="preserve">pe măsura majorării </w:t>
      </w:r>
      <w:proofErr w:type="spellStart"/>
      <w:r w:rsidRPr="00344A81">
        <w:rPr>
          <w:color w:val="000000"/>
          <w:sz w:val="24"/>
          <w:szCs w:val="24"/>
          <w:lang w:val="ro-RO"/>
        </w:rPr>
        <w:t>vîrstei</w:t>
      </w:r>
      <w:proofErr w:type="spellEnd"/>
      <w:r w:rsidRPr="00344A81">
        <w:rPr>
          <w:color w:val="000000"/>
          <w:sz w:val="24"/>
          <w:szCs w:val="24"/>
          <w:lang w:val="ro-RO"/>
        </w:rPr>
        <w:t xml:space="preserve"> capului gospodăriei. Astfel, cele mai vulnerabile persoane sunt cele din cadrul gospodăriil</w:t>
      </w:r>
      <w:r w:rsidR="00130415" w:rsidRPr="00344A81">
        <w:rPr>
          <w:color w:val="000000"/>
          <w:sz w:val="24"/>
          <w:szCs w:val="24"/>
          <w:lang w:val="ro-RO"/>
        </w:rPr>
        <w:t>or conduse de persoane în etate. A</w:t>
      </w:r>
      <w:r w:rsidRPr="00344A81">
        <w:rPr>
          <w:color w:val="000000"/>
          <w:sz w:val="24"/>
          <w:szCs w:val="24"/>
          <w:lang w:val="ro-RO"/>
        </w:rPr>
        <w:t xml:space="preserve">cestea se confruntă cu un nivel al sărăciei de </w:t>
      </w:r>
      <w:r w:rsidR="00290214" w:rsidRPr="00344A81">
        <w:rPr>
          <w:color w:val="000000"/>
          <w:sz w:val="24"/>
          <w:szCs w:val="24"/>
          <w:lang w:val="ro-RO"/>
        </w:rPr>
        <w:t>peste 2 ori mai mare (</w:t>
      </w:r>
      <w:r w:rsidRPr="00344A81">
        <w:rPr>
          <w:color w:val="000000"/>
          <w:sz w:val="24"/>
          <w:szCs w:val="24"/>
          <w:lang w:val="ro-RO"/>
        </w:rPr>
        <w:t xml:space="preserve">10,7% </w:t>
      </w:r>
      <w:r w:rsidR="00290214" w:rsidRPr="00344A81">
        <w:rPr>
          <w:color w:val="000000"/>
          <w:sz w:val="24"/>
          <w:szCs w:val="24"/>
          <w:lang w:val="ro-RO"/>
        </w:rPr>
        <w:t xml:space="preserve">- pentru gospodăriile în etate </w:t>
      </w:r>
      <w:r w:rsidRPr="00344A81">
        <w:rPr>
          <w:color w:val="000000"/>
          <w:sz w:val="24"/>
          <w:szCs w:val="24"/>
          <w:lang w:val="ro-RO"/>
        </w:rPr>
        <w:t xml:space="preserve">faţă de 5,1% </w:t>
      </w:r>
      <w:r w:rsidR="00290214" w:rsidRPr="00344A81">
        <w:rPr>
          <w:color w:val="000000"/>
          <w:sz w:val="24"/>
          <w:szCs w:val="24"/>
          <w:lang w:val="ro-RO"/>
        </w:rPr>
        <w:t>- pentru gospodăriile</w:t>
      </w:r>
      <w:r w:rsidRPr="00344A81">
        <w:rPr>
          <w:color w:val="000000"/>
          <w:sz w:val="24"/>
          <w:szCs w:val="24"/>
          <w:lang w:val="ro-RO"/>
        </w:rPr>
        <w:t xml:space="preserve"> tinere</w:t>
      </w:r>
      <w:r w:rsidR="00290214" w:rsidRPr="00344A81">
        <w:rPr>
          <w:color w:val="000000"/>
          <w:sz w:val="24"/>
          <w:szCs w:val="24"/>
          <w:lang w:val="ro-RO"/>
        </w:rPr>
        <w:t>)</w:t>
      </w:r>
      <w:r w:rsidRPr="00344A81">
        <w:rPr>
          <w:color w:val="000000"/>
          <w:sz w:val="24"/>
          <w:szCs w:val="24"/>
          <w:lang w:val="ro-RO"/>
        </w:rPr>
        <w:t>.</w:t>
      </w:r>
    </w:p>
    <w:p w:rsidR="00290214" w:rsidRPr="00344A81" w:rsidRDefault="00E13F76" w:rsidP="00C6535A">
      <w:pPr>
        <w:spacing w:before="120"/>
        <w:jc w:val="both"/>
        <w:rPr>
          <w:sz w:val="24"/>
          <w:szCs w:val="24"/>
          <w:lang w:val="ro-RO"/>
        </w:rPr>
      </w:pPr>
      <w:r w:rsidRPr="00344A81">
        <w:rPr>
          <w:color w:val="000000"/>
          <w:sz w:val="24"/>
          <w:szCs w:val="24"/>
          <w:lang w:val="ro-RO"/>
        </w:rPr>
        <w:t xml:space="preserve">Nivelul de bunăstare al populaţiei este determinat şi de statutul socio-economic al gospodăriei. Cele mai vulnerabile categorii sunt gospodăriile conduse de salariaţi în sectorul agricol (27,1%) şi lucrători pe cont propriu în sectorul agricol (21,2%) în cazul cărora rata sărăciei a crescut. </w:t>
      </w:r>
      <w:r w:rsidR="00290214" w:rsidRPr="00344A81">
        <w:rPr>
          <w:color w:val="000000"/>
          <w:sz w:val="24"/>
          <w:szCs w:val="24"/>
          <w:lang w:val="ro-RO"/>
        </w:rPr>
        <w:t xml:space="preserve">Această evoluţie este legată de evoluţiile negative înregistrate în sectorul agricol în anul 2015, care a fost </w:t>
      </w:r>
      <w:r w:rsidR="00290214" w:rsidRPr="00344A81">
        <w:rPr>
          <w:sz w:val="24"/>
          <w:szCs w:val="24"/>
          <w:lang w:val="ro-RO"/>
        </w:rPr>
        <w:t>influenţat negativ de secetă.</w:t>
      </w:r>
    </w:p>
    <w:p w:rsidR="00E13F76" w:rsidRPr="00344A81" w:rsidRDefault="00E13F76" w:rsidP="00C6535A">
      <w:pPr>
        <w:spacing w:before="120"/>
        <w:jc w:val="both"/>
        <w:rPr>
          <w:sz w:val="24"/>
          <w:szCs w:val="24"/>
          <w:lang w:val="ro-RO"/>
        </w:rPr>
      </w:pPr>
      <w:r w:rsidRPr="00344A81">
        <w:rPr>
          <w:color w:val="000000"/>
          <w:sz w:val="24"/>
          <w:szCs w:val="24"/>
          <w:lang w:val="ro-RO"/>
        </w:rPr>
        <w:t>Pentru gospodăriile pensionari</w:t>
      </w:r>
      <w:r w:rsidR="00577ECC" w:rsidRPr="00344A81">
        <w:rPr>
          <w:color w:val="000000"/>
          <w:sz w:val="24"/>
          <w:szCs w:val="24"/>
          <w:lang w:val="ro-RO"/>
        </w:rPr>
        <w:t>lor</w:t>
      </w:r>
      <w:r w:rsidRPr="00344A81">
        <w:rPr>
          <w:color w:val="000000"/>
          <w:sz w:val="24"/>
          <w:szCs w:val="24"/>
          <w:lang w:val="ro-RO"/>
        </w:rPr>
        <w:t xml:space="preserve"> nivelul sărăciei </w:t>
      </w:r>
      <w:r w:rsidRPr="00344A81">
        <w:rPr>
          <w:sz w:val="24"/>
          <w:szCs w:val="24"/>
          <w:lang w:val="ro-RO"/>
        </w:rPr>
        <w:t xml:space="preserve">s-a redus </w:t>
      </w:r>
      <w:proofErr w:type="spellStart"/>
      <w:r w:rsidRPr="00344A81">
        <w:rPr>
          <w:sz w:val="24"/>
          <w:szCs w:val="24"/>
          <w:lang w:val="ro-RO"/>
        </w:rPr>
        <w:t>pînă</w:t>
      </w:r>
      <w:proofErr w:type="spellEnd"/>
      <w:r w:rsidRPr="00344A81">
        <w:rPr>
          <w:sz w:val="24"/>
          <w:szCs w:val="24"/>
          <w:lang w:val="ro-RO"/>
        </w:rPr>
        <w:t xml:space="preserve"> la 10,1% </w:t>
      </w:r>
      <w:r w:rsidRPr="00344A81">
        <w:rPr>
          <w:color w:val="000000"/>
          <w:sz w:val="24"/>
          <w:szCs w:val="24"/>
          <w:lang w:val="ro-RO"/>
        </w:rPr>
        <w:t>faţă de</w:t>
      </w:r>
      <w:r w:rsidRPr="00344A81">
        <w:rPr>
          <w:sz w:val="24"/>
          <w:szCs w:val="24"/>
          <w:lang w:val="ro-RO"/>
        </w:rPr>
        <w:t xml:space="preserve"> 14,6%</w:t>
      </w:r>
      <w:r w:rsidRPr="00344A81">
        <w:rPr>
          <w:color w:val="000000"/>
          <w:sz w:val="24"/>
          <w:szCs w:val="24"/>
          <w:lang w:val="ro-RO"/>
        </w:rPr>
        <w:t xml:space="preserve"> în anul precedent.</w:t>
      </w:r>
      <w:r w:rsidR="00290214" w:rsidRPr="00344A81">
        <w:rPr>
          <w:color w:val="000000"/>
          <w:sz w:val="24"/>
          <w:szCs w:val="24"/>
          <w:lang w:val="ro-RO"/>
        </w:rPr>
        <w:t xml:space="preserve"> Conform datelor oficiale, valoarea medie a pensiei lunare la 1 ianuarie 2016 a fost de 1165,22 lei si s-a majorat</w:t>
      </w:r>
      <w:r w:rsidR="00577ECC" w:rsidRPr="00344A81">
        <w:rPr>
          <w:color w:val="000000"/>
          <w:sz w:val="24"/>
          <w:szCs w:val="24"/>
          <w:lang w:val="ro-RO"/>
        </w:rPr>
        <w:t>,</w:t>
      </w:r>
      <w:r w:rsidR="00290214" w:rsidRPr="00344A81">
        <w:rPr>
          <w:color w:val="000000"/>
          <w:sz w:val="24"/>
          <w:szCs w:val="24"/>
          <w:lang w:val="ro-RO"/>
        </w:rPr>
        <w:t xml:space="preserve"> </w:t>
      </w:r>
      <w:r w:rsidR="00577ECC" w:rsidRPr="00344A81">
        <w:rPr>
          <w:color w:val="000000"/>
          <w:sz w:val="24"/>
          <w:szCs w:val="24"/>
          <w:lang w:val="ro-RO"/>
        </w:rPr>
        <w:t xml:space="preserve">în termeni nominali, </w:t>
      </w:r>
      <w:r w:rsidR="00290214" w:rsidRPr="00344A81">
        <w:rPr>
          <w:color w:val="000000"/>
          <w:sz w:val="24"/>
          <w:szCs w:val="24"/>
          <w:lang w:val="ro-RO"/>
        </w:rPr>
        <w:t xml:space="preserve">cu 7,1% față de aceeași dată a anului </w:t>
      </w:r>
      <w:r w:rsidR="00577ECC" w:rsidRPr="00344A81">
        <w:rPr>
          <w:color w:val="000000"/>
          <w:sz w:val="24"/>
          <w:szCs w:val="24"/>
          <w:lang w:val="ro-RO"/>
        </w:rPr>
        <w:t>precedent</w:t>
      </w:r>
      <w:r w:rsidR="00290214" w:rsidRPr="00344A81">
        <w:rPr>
          <w:color w:val="000000"/>
          <w:sz w:val="24"/>
          <w:szCs w:val="24"/>
          <w:lang w:val="ro-RO"/>
        </w:rPr>
        <w:t>.</w:t>
      </w:r>
    </w:p>
    <w:p w:rsidR="00E13F76" w:rsidRPr="00344A81" w:rsidRDefault="00E13F76" w:rsidP="00C6535A">
      <w:pPr>
        <w:spacing w:before="120"/>
        <w:jc w:val="both"/>
        <w:rPr>
          <w:color w:val="000000"/>
          <w:sz w:val="24"/>
          <w:szCs w:val="24"/>
          <w:lang w:val="ro-RO"/>
        </w:rPr>
      </w:pPr>
      <w:r w:rsidRPr="00344A81">
        <w:rPr>
          <w:color w:val="000000"/>
          <w:sz w:val="24"/>
          <w:szCs w:val="24"/>
          <w:lang w:val="ro-RO"/>
        </w:rPr>
        <w:t xml:space="preserve">Un alt indicator utilizat la măsurarea sărăciei este indicele profunzimii sărăciei care reprezintă deficitul mediu </w:t>
      </w:r>
      <w:r w:rsidR="005D12AE" w:rsidRPr="00344A81">
        <w:rPr>
          <w:sz w:val="24"/>
          <w:szCs w:val="24"/>
          <w:lang w:val="ro-RO"/>
        </w:rPr>
        <w:t>de venituri ale persoanelor sărace în raport cu pragul sărăciei</w:t>
      </w:r>
      <w:r w:rsidRPr="00344A81">
        <w:rPr>
          <w:color w:val="000000"/>
          <w:sz w:val="24"/>
          <w:szCs w:val="24"/>
          <w:lang w:val="ro-RO"/>
        </w:rPr>
        <w:t xml:space="preserve">. În anul 2015 acest indicator a constituit 1,5% (nivelul anului precedent), ceea ce înseamnă că pentru depăşirea sărăciei, în condiţiile menţinerii sau reducerii nivelului actual de inegalitate, este necesară majorarea consumului mediu al populaţiei cu cel puţin 1,5%. </w:t>
      </w:r>
      <w:r w:rsidR="005D12AE" w:rsidRPr="00344A81">
        <w:rPr>
          <w:sz w:val="24"/>
          <w:szCs w:val="24"/>
          <w:lang w:val="ro-RO"/>
        </w:rPr>
        <w:t xml:space="preserve">Aceasta semnifică că în 201, fiecare persoană săracă avea un deficit mediu lunar de circa 21 lei pentru a depăşi starea de sărăcie. </w:t>
      </w:r>
      <w:r w:rsidRPr="00344A81">
        <w:rPr>
          <w:color w:val="000000"/>
          <w:sz w:val="24"/>
          <w:szCs w:val="24"/>
          <w:lang w:val="ro-RO"/>
        </w:rPr>
        <w:t xml:space="preserve">Întru reflectarea nivelului de gravitate a fenomenului sărăciei este utilizat Indicele Severităţii </w:t>
      </w:r>
      <w:r w:rsidR="005D12AE" w:rsidRPr="00344A81">
        <w:rPr>
          <w:color w:val="000000"/>
          <w:sz w:val="24"/>
          <w:szCs w:val="24"/>
          <w:lang w:val="ro-RO"/>
        </w:rPr>
        <w:t>s</w:t>
      </w:r>
      <w:r w:rsidRPr="00344A81">
        <w:rPr>
          <w:color w:val="000000"/>
          <w:sz w:val="24"/>
          <w:szCs w:val="24"/>
          <w:lang w:val="ro-RO"/>
        </w:rPr>
        <w:t xml:space="preserve">ărăciei, care de fapt este sensibil la modul de distribuţie a nivelului de bunăstare în </w:t>
      </w:r>
      <w:proofErr w:type="spellStart"/>
      <w:r w:rsidRPr="00344A81">
        <w:rPr>
          <w:color w:val="000000"/>
          <w:sz w:val="24"/>
          <w:szCs w:val="24"/>
          <w:lang w:val="ro-RO"/>
        </w:rPr>
        <w:t>rîndul</w:t>
      </w:r>
      <w:proofErr w:type="spellEnd"/>
      <w:r w:rsidRPr="00344A81">
        <w:rPr>
          <w:color w:val="000000"/>
          <w:sz w:val="24"/>
          <w:szCs w:val="24"/>
          <w:lang w:val="ro-RO"/>
        </w:rPr>
        <w:t xml:space="preserve"> săracilor faţă de pragul sărăciei. În anul 2015 acest indicator a constituit 0,4%.</w:t>
      </w:r>
    </w:p>
    <w:p w:rsidR="00E13F76" w:rsidRPr="00344A81" w:rsidRDefault="00E13F76" w:rsidP="00E13F76">
      <w:pPr>
        <w:spacing w:before="120"/>
        <w:ind w:firstLine="709"/>
        <w:jc w:val="both"/>
        <w:rPr>
          <w:color w:val="000000"/>
          <w:sz w:val="26"/>
          <w:szCs w:val="26"/>
          <w:lang w:val="ro-RO"/>
        </w:rPr>
      </w:pPr>
      <w:r w:rsidRPr="00344A81">
        <w:rPr>
          <w:color w:val="000000"/>
          <w:lang w:val="ro-RO"/>
        </w:rPr>
        <w:br w:type="page"/>
      </w:r>
    </w:p>
    <w:p w:rsidR="00344A81" w:rsidRPr="00344A81" w:rsidRDefault="00344A81" w:rsidP="00344A81">
      <w:pPr>
        <w:tabs>
          <w:tab w:val="left" w:pos="720"/>
        </w:tabs>
        <w:spacing w:before="120" w:after="120"/>
        <w:ind w:firstLine="360"/>
        <w:jc w:val="center"/>
        <w:rPr>
          <w:b/>
          <w:caps/>
          <w:lang w:val="ro-RO"/>
        </w:rPr>
      </w:pPr>
      <w:r w:rsidRPr="00344A81">
        <w:rPr>
          <w:b/>
          <w:caps/>
          <w:lang w:val="ro-RO"/>
        </w:rPr>
        <w:lastRenderedPageBreak/>
        <w:t>Anexe statistice</w:t>
      </w:r>
    </w:p>
    <w:p w:rsidR="005D12AE" w:rsidRPr="00344A81" w:rsidRDefault="005D12AE" w:rsidP="005D12AE">
      <w:pPr>
        <w:spacing w:after="0" w:line="240" w:lineRule="auto"/>
        <w:rPr>
          <w:b/>
          <w:lang w:val="ro-RO"/>
        </w:rPr>
      </w:pPr>
    </w:p>
    <w:p w:rsidR="005D12AE" w:rsidRPr="00344A81" w:rsidRDefault="005D12AE" w:rsidP="005D12AE">
      <w:pPr>
        <w:spacing w:after="0" w:line="240" w:lineRule="auto"/>
        <w:rPr>
          <w:b/>
          <w:i/>
          <w:lang w:val="ro-RO"/>
        </w:rPr>
      </w:pPr>
      <w:r w:rsidRPr="00344A81">
        <w:rPr>
          <w:b/>
          <w:lang w:val="ro-RO"/>
        </w:rPr>
        <w:t xml:space="preserve">Tabelul 1. </w:t>
      </w:r>
      <w:r w:rsidRPr="00344A81">
        <w:rPr>
          <w:b/>
          <w:i/>
          <w:lang w:val="ro-RO"/>
        </w:rPr>
        <w:t>Indicatorii sărăciei, 2010-2015</w:t>
      </w:r>
    </w:p>
    <w:tbl>
      <w:tblPr>
        <w:tblW w:w="5062"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6"/>
        <w:gridCol w:w="1125"/>
        <w:gridCol w:w="1124"/>
        <w:gridCol w:w="1124"/>
        <w:gridCol w:w="1124"/>
        <w:gridCol w:w="1124"/>
        <w:gridCol w:w="1124"/>
      </w:tblGrid>
      <w:tr w:rsidR="005D12AE" w:rsidRPr="00344A81" w:rsidTr="002F3375">
        <w:tc>
          <w:tcPr>
            <w:tcW w:w="1482" w:type="pct"/>
            <w:tcBorders>
              <w:left w:val="nil"/>
              <w:bottom w:val="nil"/>
              <w:right w:val="single" w:sz="4" w:space="0" w:color="auto"/>
            </w:tcBorders>
            <w:shd w:val="clear" w:color="auto" w:fill="auto"/>
          </w:tcPr>
          <w:p w:rsidR="005D12AE" w:rsidRPr="00344A81" w:rsidRDefault="005D12AE" w:rsidP="005D12AE">
            <w:pPr>
              <w:spacing w:after="0" w:line="240" w:lineRule="auto"/>
              <w:rPr>
                <w:i/>
                <w:lang w:val="ro-RO"/>
              </w:rPr>
            </w:pPr>
          </w:p>
        </w:tc>
        <w:tc>
          <w:tcPr>
            <w:tcW w:w="586" w:type="pct"/>
            <w:tcBorders>
              <w:bottom w:val="nil"/>
            </w:tcBorders>
            <w:shd w:val="clear" w:color="auto" w:fill="auto"/>
          </w:tcPr>
          <w:p w:rsidR="005D12AE" w:rsidRPr="00344A81" w:rsidRDefault="005D12AE" w:rsidP="005D12AE">
            <w:pPr>
              <w:spacing w:after="0" w:line="240" w:lineRule="auto"/>
              <w:jc w:val="center"/>
              <w:rPr>
                <w:b/>
                <w:lang w:val="ro-RO"/>
              </w:rPr>
            </w:pPr>
            <w:r w:rsidRPr="00344A81">
              <w:rPr>
                <w:b/>
                <w:lang w:val="ro-RO"/>
              </w:rPr>
              <w:t>2010</w:t>
            </w:r>
          </w:p>
        </w:tc>
        <w:tc>
          <w:tcPr>
            <w:tcW w:w="586" w:type="pct"/>
            <w:tcBorders>
              <w:bottom w:val="nil"/>
            </w:tcBorders>
            <w:shd w:val="clear" w:color="auto" w:fill="auto"/>
          </w:tcPr>
          <w:p w:rsidR="005D12AE" w:rsidRPr="00344A81" w:rsidRDefault="005D12AE" w:rsidP="005D12AE">
            <w:pPr>
              <w:spacing w:after="0" w:line="240" w:lineRule="auto"/>
              <w:jc w:val="center"/>
              <w:rPr>
                <w:b/>
                <w:lang w:val="ro-RO"/>
              </w:rPr>
            </w:pPr>
            <w:r w:rsidRPr="00344A81">
              <w:rPr>
                <w:b/>
                <w:lang w:val="ro-RO"/>
              </w:rPr>
              <w:t>2011</w:t>
            </w:r>
          </w:p>
        </w:tc>
        <w:tc>
          <w:tcPr>
            <w:tcW w:w="586" w:type="pct"/>
            <w:tcBorders>
              <w:bottom w:val="nil"/>
              <w:right w:val="nil"/>
            </w:tcBorders>
            <w:shd w:val="clear" w:color="auto" w:fill="auto"/>
          </w:tcPr>
          <w:p w:rsidR="005D12AE" w:rsidRPr="00344A81" w:rsidRDefault="005D12AE" w:rsidP="005D12AE">
            <w:pPr>
              <w:spacing w:after="0" w:line="240" w:lineRule="auto"/>
              <w:jc w:val="center"/>
              <w:rPr>
                <w:b/>
                <w:lang w:val="ro-RO"/>
              </w:rPr>
            </w:pPr>
            <w:r w:rsidRPr="00344A81">
              <w:rPr>
                <w:b/>
                <w:lang w:val="ro-RO"/>
              </w:rPr>
              <w:t>2012</w:t>
            </w:r>
          </w:p>
        </w:tc>
        <w:tc>
          <w:tcPr>
            <w:tcW w:w="586" w:type="pct"/>
            <w:tcBorders>
              <w:bottom w:val="nil"/>
              <w:right w:val="nil"/>
            </w:tcBorders>
            <w:shd w:val="clear" w:color="auto" w:fill="auto"/>
          </w:tcPr>
          <w:p w:rsidR="005D12AE" w:rsidRPr="00344A81" w:rsidRDefault="005D12AE" w:rsidP="005D12AE">
            <w:pPr>
              <w:spacing w:after="0" w:line="240" w:lineRule="auto"/>
              <w:jc w:val="center"/>
              <w:rPr>
                <w:b/>
                <w:lang w:val="ro-RO"/>
              </w:rPr>
            </w:pPr>
            <w:r w:rsidRPr="00344A81">
              <w:rPr>
                <w:b/>
                <w:lang w:val="ro-RO"/>
              </w:rPr>
              <w:t>2013</w:t>
            </w:r>
          </w:p>
        </w:tc>
        <w:tc>
          <w:tcPr>
            <w:tcW w:w="586" w:type="pct"/>
            <w:tcBorders>
              <w:bottom w:val="nil"/>
              <w:right w:val="nil"/>
            </w:tcBorders>
            <w:shd w:val="clear" w:color="auto" w:fill="auto"/>
          </w:tcPr>
          <w:p w:rsidR="005D12AE" w:rsidRPr="00344A81" w:rsidRDefault="005D12AE" w:rsidP="005D12AE">
            <w:pPr>
              <w:spacing w:after="0" w:line="240" w:lineRule="auto"/>
              <w:jc w:val="center"/>
              <w:rPr>
                <w:b/>
                <w:lang w:val="ro-RO"/>
              </w:rPr>
            </w:pPr>
            <w:r w:rsidRPr="00344A81">
              <w:rPr>
                <w:b/>
                <w:lang w:val="ro-RO"/>
              </w:rPr>
              <w:t>2014</w:t>
            </w:r>
          </w:p>
        </w:tc>
        <w:tc>
          <w:tcPr>
            <w:tcW w:w="586" w:type="pct"/>
            <w:tcBorders>
              <w:bottom w:val="nil"/>
              <w:right w:val="nil"/>
            </w:tcBorders>
            <w:shd w:val="clear" w:color="auto" w:fill="auto"/>
          </w:tcPr>
          <w:p w:rsidR="005D12AE" w:rsidRPr="00344A81" w:rsidRDefault="005D12AE" w:rsidP="005D12AE">
            <w:pPr>
              <w:spacing w:after="0" w:line="240" w:lineRule="auto"/>
              <w:jc w:val="center"/>
              <w:rPr>
                <w:b/>
                <w:lang w:val="ro-RO"/>
              </w:rPr>
            </w:pPr>
            <w:r w:rsidRPr="00344A81">
              <w:rPr>
                <w:b/>
                <w:lang w:val="ro-RO"/>
              </w:rPr>
              <w:t>2015</w:t>
            </w:r>
          </w:p>
        </w:tc>
      </w:tr>
      <w:tr w:rsidR="005D12AE" w:rsidRPr="00344A81" w:rsidTr="002F3375">
        <w:tc>
          <w:tcPr>
            <w:tcW w:w="1482" w:type="pct"/>
            <w:tcBorders>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Pragul absolut al sărăciei (lei)</w:t>
            </w:r>
          </w:p>
        </w:tc>
        <w:tc>
          <w:tcPr>
            <w:tcW w:w="586" w:type="pct"/>
            <w:tcBorders>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1015,9</w:t>
            </w:r>
          </w:p>
        </w:tc>
        <w:tc>
          <w:tcPr>
            <w:tcW w:w="586" w:type="pct"/>
            <w:tcBorders>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1093,1</w:t>
            </w:r>
          </w:p>
        </w:tc>
        <w:tc>
          <w:tcPr>
            <w:tcW w:w="586" w:type="pct"/>
            <w:tcBorders>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1143,4</w:t>
            </w:r>
          </w:p>
        </w:tc>
        <w:tc>
          <w:tcPr>
            <w:tcW w:w="586" w:type="pct"/>
            <w:tcBorders>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1196,0</w:t>
            </w:r>
          </w:p>
        </w:tc>
        <w:tc>
          <w:tcPr>
            <w:tcW w:w="586" w:type="pct"/>
            <w:tcBorders>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1257,0</w:t>
            </w:r>
          </w:p>
        </w:tc>
        <w:tc>
          <w:tcPr>
            <w:tcW w:w="586" w:type="pct"/>
            <w:tcBorders>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1378,9</w:t>
            </w:r>
          </w:p>
        </w:tc>
      </w:tr>
      <w:tr w:rsidR="005D12AE" w:rsidRPr="00344A81" w:rsidTr="002F3375">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Rata sărăciei absolute</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21,9</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17,5</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16,6</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12,7</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11,4</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9,6</w:t>
            </w:r>
          </w:p>
        </w:tc>
      </w:tr>
      <w:tr w:rsidR="005D12AE" w:rsidRPr="00344A81" w:rsidTr="002F3375">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Profunzimea sărăciei absolute</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4,5</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3,2</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2,9</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2,0</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1,5</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1,5</w:t>
            </w:r>
          </w:p>
        </w:tc>
      </w:tr>
      <w:tr w:rsidR="005D12AE" w:rsidRPr="00344A81" w:rsidTr="002F3375">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Severitatea sărăciei absolute</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1,4</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1,0</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0,8</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0,5</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0,3</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0,4</w:t>
            </w:r>
          </w:p>
        </w:tc>
      </w:tr>
      <w:tr w:rsidR="005D12AE" w:rsidRPr="00344A81" w:rsidTr="002F3375">
        <w:trPr>
          <w:trHeight w:val="70"/>
        </w:trPr>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p>
        </w:tc>
      </w:tr>
      <w:tr w:rsidR="005D12AE" w:rsidRPr="00344A81" w:rsidTr="002F3375">
        <w:trPr>
          <w:trHeight w:val="70"/>
        </w:trPr>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Pragul sărăciei extreme (lei)</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549,4</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591,2</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618,4</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646,8</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679,8</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745,7</w:t>
            </w:r>
          </w:p>
        </w:tc>
      </w:tr>
      <w:tr w:rsidR="005D12AE" w:rsidRPr="00344A81" w:rsidTr="002F3375">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Rata sărăciei extreme</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1,4</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0,9</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0,6</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0,3</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0,1</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0,2</w:t>
            </w:r>
          </w:p>
        </w:tc>
      </w:tr>
      <w:tr w:rsidR="005D12AE" w:rsidRPr="00344A81" w:rsidTr="002F3375">
        <w:tc>
          <w:tcPr>
            <w:tcW w:w="1482"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Profunzimea sărăciei extreme</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0,3</w:t>
            </w:r>
          </w:p>
        </w:tc>
        <w:tc>
          <w:tcPr>
            <w:tcW w:w="586" w:type="pct"/>
            <w:tcBorders>
              <w:top w:val="nil"/>
              <w:bottom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0,1</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0,1</w:t>
            </w:r>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c>
          <w:tcPr>
            <w:tcW w:w="586" w:type="pct"/>
            <w:tcBorders>
              <w:top w:val="nil"/>
              <w:bottom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r>
      <w:tr w:rsidR="005D12AE" w:rsidRPr="00344A81" w:rsidTr="002F3375">
        <w:tc>
          <w:tcPr>
            <w:tcW w:w="1482" w:type="pct"/>
            <w:tcBorders>
              <w:top w:val="nil"/>
              <w:left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Severitatea sărăciei extreme</w:t>
            </w:r>
          </w:p>
        </w:tc>
        <w:tc>
          <w:tcPr>
            <w:tcW w:w="586" w:type="pct"/>
            <w:tcBorders>
              <w:top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0,1</w:t>
            </w:r>
          </w:p>
        </w:tc>
        <w:tc>
          <w:tcPr>
            <w:tcW w:w="586" w:type="pct"/>
            <w:tcBorders>
              <w:top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c>
          <w:tcPr>
            <w:tcW w:w="586" w:type="pct"/>
            <w:tcBorders>
              <w:top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c>
          <w:tcPr>
            <w:tcW w:w="586" w:type="pct"/>
            <w:tcBorders>
              <w:top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c>
          <w:tcPr>
            <w:tcW w:w="586" w:type="pct"/>
            <w:tcBorders>
              <w:top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c>
          <w:tcPr>
            <w:tcW w:w="586" w:type="pct"/>
            <w:tcBorders>
              <w:top w:val="nil"/>
              <w:right w:val="nil"/>
            </w:tcBorders>
            <w:shd w:val="clear" w:color="auto" w:fill="auto"/>
            <w:vAlign w:val="center"/>
          </w:tcPr>
          <w:p w:rsidR="005D12AE" w:rsidRPr="00344A81" w:rsidRDefault="005D12AE" w:rsidP="005D12AE">
            <w:pPr>
              <w:spacing w:after="0" w:line="240" w:lineRule="auto"/>
              <w:ind w:right="51"/>
              <w:jc w:val="right"/>
              <w:rPr>
                <w:lang w:val="ro-RO"/>
              </w:rPr>
            </w:pPr>
            <w:r w:rsidRPr="00344A81">
              <w:rPr>
                <w:lang w:val="ro-RO"/>
              </w:rPr>
              <w:t>0,</w:t>
            </w:r>
            <w:proofErr w:type="spellStart"/>
            <w:r w:rsidRPr="00344A81">
              <w:rPr>
                <w:lang w:val="ro-RO"/>
              </w:rPr>
              <w:t>0</w:t>
            </w:r>
            <w:proofErr w:type="spellEnd"/>
          </w:p>
        </w:tc>
      </w:tr>
    </w:tbl>
    <w:p w:rsidR="005D12AE" w:rsidRPr="00344A81" w:rsidRDefault="005D12AE" w:rsidP="005D12AE">
      <w:pPr>
        <w:spacing w:after="0" w:line="240" w:lineRule="auto"/>
        <w:jc w:val="center"/>
        <w:rPr>
          <w:lang w:val="ro-RO"/>
        </w:rPr>
      </w:pPr>
    </w:p>
    <w:p w:rsidR="005D12AE" w:rsidRPr="00344A81" w:rsidRDefault="005D12AE" w:rsidP="005D12AE">
      <w:pPr>
        <w:spacing w:after="0" w:line="240" w:lineRule="auto"/>
        <w:jc w:val="both"/>
        <w:rPr>
          <w:b/>
          <w:i/>
          <w:lang w:val="ro-RO"/>
        </w:rPr>
      </w:pPr>
      <w:r w:rsidRPr="00344A81">
        <w:rPr>
          <w:b/>
          <w:lang w:val="ro-RO"/>
        </w:rPr>
        <w:t>Tabelul 2</w:t>
      </w:r>
      <w:r w:rsidRPr="00344A81">
        <w:rPr>
          <w:b/>
          <w:i/>
          <w:lang w:val="ro-RO"/>
        </w:rPr>
        <w:t>. Rata sărăciei, 2010-2015</w:t>
      </w:r>
    </w:p>
    <w:tbl>
      <w:tblPr>
        <w:tblW w:w="5044" w:type="pct"/>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88"/>
        <w:gridCol w:w="672"/>
        <w:gridCol w:w="673"/>
        <w:gridCol w:w="673"/>
        <w:gridCol w:w="673"/>
        <w:gridCol w:w="673"/>
        <w:gridCol w:w="673"/>
        <w:gridCol w:w="673"/>
        <w:gridCol w:w="673"/>
        <w:gridCol w:w="673"/>
        <w:gridCol w:w="673"/>
        <w:gridCol w:w="673"/>
        <w:gridCol w:w="667"/>
      </w:tblGrid>
      <w:tr w:rsidR="005D12AE" w:rsidRPr="00344A81" w:rsidTr="002F3375">
        <w:tc>
          <w:tcPr>
            <w:tcW w:w="779" w:type="pct"/>
            <w:vMerge w:val="restart"/>
            <w:shd w:val="clear" w:color="auto" w:fill="auto"/>
          </w:tcPr>
          <w:p w:rsidR="005D12AE" w:rsidRPr="00344A81" w:rsidRDefault="005D12AE" w:rsidP="005D12AE">
            <w:pPr>
              <w:spacing w:after="0" w:line="240" w:lineRule="auto"/>
              <w:rPr>
                <w:lang w:val="ro-RO"/>
              </w:rPr>
            </w:pPr>
          </w:p>
        </w:tc>
        <w:tc>
          <w:tcPr>
            <w:tcW w:w="2111" w:type="pct"/>
            <w:gridSpan w:val="6"/>
            <w:shd w:val="clear" w:color="auto" w:fill="auto"/>
          </w:tcPr>
          <w:p w:rsidR="005D12AE" w:rsidRPr="00344A81" w:rsidRDefault="005D12AE" w:rsidP="005D12AE">
            <w:pPr>
              <w:spacing w:after="0" w:line="240" w:lineRule="auto"/>
              <w:jc w:val="center"/>
              <w:rPr>
                <w:b/>
                <w:lang w:val="ro-RO"/>
              </w:rPr>
            </w:pPr>
            <w:r w:rsidRPr="00344A81">
              <w:rPr>
                <w:b/>
                <w:lang w:val="ro-RO"/>
              </w:rPr>
              <w:t>Rata sărăciei absolute, %</w:t>
            </w:r>
          </w:p>
        </w:tc>
        <w:tc>
          <w:tcPr>
            <w:tcW w:w="2110" w:type="pct"/>
            <w:gridSpan w:val="6"/>
            <w:shd w:val="clear" w:color="auto" w:fill="auto"/>
          </w:tcPr>
          <w:p w:rsidR="005D12AE" w:rsidRPr="00344A81" w:rsidRDefault="005D12AE" w:rsidP="005D12AE">
            <w:pPr>
              <w:spacing w:after="0" w:line="240" w:lineRule="auto"/>
              <w:jc w:val="center"/>
              <w:rPr>
                <w:b/>
                <w:lang w:val="ro-RO"/>
              </w:rPr>
            </w:pPr>
            <w:r w:rsidRPr="00344A81">
              <w:rPr>
                <w:b/>
                <w:lang w:val="ro-RO"/>
              </w:rPr>
              <w:t>Rata sărăciei extreme, %</w:t>
            </w:r>
          </w:p>
        </w:tc>
      </w:tr>
      <w:tr w:rsidR="005D12AE" w:rsidRPr="00344A81" w:rsidTr="002F3375">
        <w:tc>
          <w:tcPr>
            <w:tcW w:w="779" w:type="pct"/>
            <w:vMerge/>
            <w:tcBorders>
              <w:bottom w:val="single" w:sz="4" w:space="0" w:color="auto"/>
            </w:tcBorders>
            <w:shd w:val="clear" w:color="auto" w:fill="auto"/>
          </w:tcPr>
          <w:p w:rsidR="005D12AE" w:rsidRPr="00344A81" w:rsidRDefault="005D12AE" w:rsidP="005D12AE">
            <w:pPr>
              <w:spacing w:after="0" w:line="240" w:lineRule="auto"/>
              <w:rPr>
                <w:lang w:val="ro-RO"/>
              </w:rPr>
            </w:pPr>
          </w:p>
        </w:tc>
        <w:tc>
          <w:tcPr>
            <w:tcW w:w="352" w:type="pct"/>
            <w:tcBorders>
              <w:bottom w:val="single" w:sz="4" w:space="0" w:color="auto"/>
            </w:tcBorders>
            <w:shd w:val="clear" w:color="auto" w:fill="auto"/>
          </w:tcPr>
          <w:p w:rsidR="005D12AE" w:rsidRPr="00344A81" w:rsidRDefault="005D12AE" w:rsidP="005D12AE">
            <w:pPr>
              <w:spacing w:after="0" w:line="240" w:lineRule="auto"/>
              <w:jc w:val="center"/>
              <w:rPr>
                <w:b/>
                <w:lang w:val="ro-RO"/>
              </w:rPr>
            </w:pPr>
            <w:r w:rsidRPr="00344A81">
              <w:rPr>
                <w:b/>
                <w:lang w:val="ro-RO"/>
              </w:rPr>
              <w:t>2010</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2011</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2012</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2013</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2014</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2015</w:t>
            </w:r>
          </w:p>
        </w:tc>
        <w:tc>
          <w:tcPr>
            <w:tcW w:w="352" w:type="pct"/>
            <w:tcBorders>
              <w:bottom w:val="single" w:sz="4" w:space="0" w:color="auto"/>
            </w:tcBorders>
            <w:shd w:val="clear" w:color="auto" w:fill="auto"/>
          </w:tcPr>
          <w:p w:rsidR="005D12AE" w:rsidRPr="00344A81" w:rsidRDefault="005D12AE" w:rsidP="005D12AE">
            <w:pPr>
              <w:spacing w:after="0" w:line="240" w:lineRule="auto"/>
              <w:jc w:val="center"/>
              <w:rPr>
                <w:b/>
                <w:lang w:val="ro-RO"/>
              </w:rPr>
            </w:pPr>
            <w:r w:rsidRPr="00344A81">
              <w:rPr>
                <w:b/>
                <w:lang w:val="ro-RO"/>
              </w:rPr>
              <w:t>2010</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2011</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2012</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2013</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2014</w:t>
            </w:r>
          </w:p>
        </w:tc>
        <w:tc>
          <w:tcPr>
            <w:tcW w:w="349" w:type="pct"/>
            <w:shd w:val="clear" w:color="auto" w:fill="auto"/>
          </w:tcPr>
          <w:p w:rsidR="005D12AE" w:rsidRPr="00344A81" w:rsidRDefault="005D12AE" w:rsidP="005D12AE">
            <w:pPr>
              <w:spacing w:after="0" w:line="240" w:lineRule="auto"/>
              <w:jc w:val="center"/>
              <w:rPr>
                <w:b/>
                <w:lang w:val="ro-RO"/>
              </w:rPr>
            </w:pPr>
            <w:r w:rsidRPr="00344A81">
              <w:rPr>
                <w:b/>
                <w:lang w:val="ro-RO"/>
              </w:rPr>
              <w:t>2015</w:t>
            </w:r>
          </w:p>
        </w:tc>
      </w:tr>
      <w:tr w:rsidR="005D12AE" w:rsidRPr="00344A81" w:rsidTr="002F3375">
        <w:tc>
          <w:tcPr>
            <w:tcW w:w="779" w:type="pct"/>
            <w:tcBorders>
              <w:bottom w:val="nil"/>
            </w:tcBorders>
            <w:shd w:val="clear" w:color="auto" w:fill="auto"/>
          </w:tcPr>
          <w:p w:rsidR="005D12AE" w:rsidRPr="00344A81" w:rsidRDefault="005D12AE" w:rsidP="005D12AE">
            <w:pPr>
              <w:spacing w:after="0" w:line="240" w:lineRule="auto"/>
              <w:rPr>
                <w:lang w:val="ro-RO"/>
              </w:rPr>
            </w:pPr>
            <w:r w:rsidRPr="00344A81">
              <w:rPr>
                <w:lang w:val="ro-RO"/>
              </w:rPr>
              <w:t>Total populaţie</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21,9</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17,5</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16,6</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12,7</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11,4</w:t>
            </w:r>
          </w:p>
        </w:tc>
        <w:tc>
          <w:tcPr>
            <w:tcW w:w="352" w:type="pct"/>
            <w:tcBorders>
              <w:bottom w:val="nil"/>
            </w:tcBorders>
            <w:shd w:val="clear" w:color="auto" w:fill="auto"/>
            <w:vAlign w:val="center"/>
          </w:tcPr>
          <w:p w:rsidR="005D12AE" w:rsidRPr="00344A81" w:rsidRDefault="005D12AE" w:rsidP="005D12AE">
            <w:pPr>
              <w:tabs>
                <w:tab w:val="left" w:pos="270"/>
              </w:tabs>
              <w:spacing w:after="0" w:line="240" w:lineRule="auto"/>
              <w:jc w:val="right"/>
              <w:rPr>
                <w:lang w:val="ro-RO"/>
              </w:rPr>
            </w:pPr>
            <w:r w:rsidRPr="00344A81">
              <w:rPr>
                <w:lang w:val="ro-RO"/>
              </w:rPr>
              <w:t>9,6</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1,4</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0,9</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0,6</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0,3</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0,1</w:t>
            </w:r>
          </w:p>
        </w:tc>
        <w:tc>
          <w:tcPr>
            <w:tcW w:w="349"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0,2</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rPr>
                <w:lang w:val="ro-RO"/>
              </w:rPr>
            </w:pPr>
            <w:r w:rsidRPr="00344A81">
              <w:rPr>
                <w:lang w:val="ro-RO"/>
              </w:rPr>
              <w:t xml:space="preserve">        inclusiv:</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right w:val="single" w:sz="4" w:space="0" w:color="auto"/>
            </w:tcBorders>
            <w:shd w:val="clear" w:color="auto" w:fill="auto"/>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p>
        </w:tc>
        <w:tc>
          <w:tcPr>
            <w:tcW w:w="349" w:type="pct"/>
            <w:tcBorders>
              <w:top w:val="nil"/>
              <w:bottom w:val="nil"/>
            </w:tcBorders>
            <w:shd w:val="clear" w:color="auto" w:fill="auto"/>
          </w:tcPr>
          <w:p w:rsidR="005D12AE" w:rsidRPr="00344A81" w:rsidRDefault="005D12AE" w:rsidP="005D12AE">
            <w:pPr>
              <w:spacing w:after="0" w:line="240" w:lineRule="auto"/>
              <w:jc w:val="right"/>
              <w:rPr>
                <w:lang w:val="ro-RO"/>
              </w:rPr>
            </w:pP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rPr>
                <w:lang w:val="ro-RO"/>
              </w:rPr>
            </w:pPr>
            <w:r w:rsidRPr="00344A81">
              <w:rPr>
                <w:lang w:val="ro-RO"/>
              </w:rPr>
              <w:t>Mediul urban</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10,4</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7,4</w:t>
            </w:r>
          </w:p>
        </w:tc>
        <w:tc>
          <w:tcPr>
            <w:tcW w:w="352" w:type="pct"/>
            <w:tcBorders>
              <w:top w:val="nil"/>
              <w:left w:val="single" w:sz="4" w:space="0" w:color="auto"/>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8,2</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4,6</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5,0</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3,1</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0,4</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0,2</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0,2</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0,1</w:t>
            </w:r>
          </w:p>
        </w:tc>
        <w:tc>
          <w:tcPr>
            <w:tcW w:w="349"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ind w:firstLine="180"/>
              <w:rPr>
                <w:lang w:val="ro-RO"/>
              </w:rPr>
            </w:pPr>
            <w:r w:rsidRPr="00344A81">
              <w:rPr>
                <w:lang w:val="ro-RO"/>
              </w:rPr>
              <w:t>Oraşe mari</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7,3</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4,2</w:t>
            </w:r>
          </w:p>
        </w:tc>
        <w:tc>
          <w:tcPr>
            <w:tcW w:w="352" w:type="pct"/>
            <w:tcBorders>
              <w:top w:val="nil"/>
              <w:left w:val="single" w:sz="4" w:space="0" w:color="auto"/>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4,3</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1,0</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w:t>
            </w:r>
            <w:proofErr w:type="spellStart"/>
            <w:r w:rsidRPr="00344A81">
              <w:rPr>
                <w:lang w:val="ro-RO"/>
              </w:rPr>
              <w:t>2</w:t>
            </w:r>
            <w:proofErr w:type="spellEnd"/>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0,4</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0,</w:t>
            </w:r>
            <w:proofErr w:type="spellStart"/>
            <w:r w:rsidRPr="00344A81">
              <w:rPr>
                <w:lang w:val="ro-RO"/>
              </w:rPr>
              <w:t>0</w:t>
            </w:r>
            <w:proofErr w:type="spellEnd"/>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0,2</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c>
          <w:tcPr>
            <w:tcW w:w="349"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ind w:firstLine="180"/>
              <w:rPr>
                <w:lang w:val="ro-RO"/>
              </w:rPr>
            </w:pPr>
            <w:r w:rsidRPr="00344A81">
              <w:rPr>
                <w:lang w:val="ro-RO"/>
              </w:rPr>
              <w:t>Oraşe mici</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14,2</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11,3</w:t>
            </w:r>
          </w:p>
        </w:tc>
        <w:tc>
          <w:tcPr>
            <w:tcW w:w="352" w:type="pct"/>
            <w:tcBorders>
              <w:top w:val="nil"/>
              <w:left w:val="single" w:sz="4" w:space="0" w:color="auto"/>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13,0</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9,1</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8,4</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5,7</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0,3</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0,4</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0,2</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0,1</w:t>
            </w:r>
          </w:p>
        </w:tc>
        <w:tc>
          <w:tcPr>
            <w:tcW w:w="349"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rPr>
                <w:lang w:val="ro-RO"/>
              </w:rPr>
            </w:pPr>
            <w:r w:rsidRPr="00344A81">
              <w:rPr>
                <w:lang w:val="ro-RO"/>
              </w:rPr>
              <w:t>Mediul rural</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30,3</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25,0</w:t>
            </w:r>
          </w:p>
        </w:tc>
        <w:tc>
          <w:tcPr>
            <w:tcW w:w="352" w:type="pct"/>
            <w:tcBorders>
              <w:top w:val="nil"/>
              <w:left w:val="single" w:sz="4" w:space="0" w:color="auto"/>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22,8</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18,8</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16,4</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14,5</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2,1</w:t>
            </w:r>
          </w:p>
        </w:tc>
        <w:tc>
          <w:tcPr>
            <w:tcW w:w="352" w:type="pct"/>
            <w:tcBorders>
              <w:top w:val="nil"/>
              <w:bottom w:val="nil"/>
              <w:right w:val="single" w:sz="4" w:space="0" w:color="auto"/>
            </w:tcBorders>
            <w:shd w:val="clear" w:color="auto" w:fill="auto"/>
          </w:tcPr>
          <w:p w:rsidR="005D12AE" w:rsidRPr="00344A81" w:rsidRDefault="005D12AE" w:rsidP="005D12AE">
            <w:pPr>
              <w:spacing w:after="0" w:line="240" w:lineRule="auto"/>
              <w:jc w:val="right"/>
              <w:rPr>
                <w:lang w:val="ro-RO"/>
              </w:rPr>
            </w:pPr>
            <w:r w:rsidRPr="00344A81">
              <w:rPr>
                <w:lang w:val="ro-RO"/>
              </w:rPr>
              <w:t>1,4</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0,8</w:t>
            </w:r>
          </w:p>
        </w:tc>
        <w:tc>
          <w:tcPr>
            <w:tcW w:w="352" w:type="pct"/>
            <w:tcBorders>
              <w:top w:val="nil"/>
              <w:left w:val="single" w:sz="4" w:space="0" w:color="auto"/>
              <w:bottom w:val="nil"/>
            </w:tcBorders>
            <w:shd w:val="clear" w:color="auto" w:fill="auto"/>
          </w:tcPr>
          <w:p w:rsidR="005D12AE" w:rsidRPr="00344A81" w:rsidRDefault="005D12AE" w:rsidP="005D12AE">
            <w:pPr>
              <w:spacing w:after="0" w:line="240" w:lineRule="auto"/>
              <w:jc w:val="right"/>
              <w:rPr>
                <w:lang w:val="ro-RO"/>
              </w:rPr>
            </w:pPr>
            <w:r w:rsidRPr="00344A81">
              <w:rPr>
                <w:lang w:val="ro-RO"/>
              </w:rPr>
              <w:t>0,4</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0,1</w:t>
            </w:r>
          </w:p>
        </w:tc>
        <w:tc>
          <w:tcPr>
            <w:tcW w:w="349"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0,3</w:t>
            </w:r>
          </w:p>
        </w:tc>
      </w:tr>
      <w:tr w:rsidR="005D12AE" w:rsidRPr="00344A81" w:rsidTr="002F3375">
        <w:tc>
          <w:tcPr>
            <w:tcW w:w="779" w:type="pct"/>
            <w:tcBorders>
              <w:top w:val="nil"/>
              <w:bottom w:val="single" w:sz="4" w:space="0" w:color="auto"/>
            </w:tcBorders>
            <w:shd w:val="clear" w:color="auto" w:fill="auto"/>
          </w:tcPr>
          <w:p w:rsidR="005D12AE" w:rsidRPr="00344A81" w:rsidRDefault="005D12AE" w:rsidP="005D12AE">
            <w:pPr>
              <w:spacing w:after="0" w:line="240" w:lineRule="auto"/>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single" w:sz="4" w:space="0" w:color="auto"/>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right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left w:val="single" w:sz="4" w:space="0" w:color="auto"/>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left w:val="single" w:sz="4" w:space="0" w:color="auto"/>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49"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r>
    </w:tbl>
    <w:p w:rsidR="005D12AE" w:rsidRPr="00344A81" w:rsidRDefault="005D12AE" w:rsidP="005D12AE">
      <w:pPr>
        <w:spacing w:after="0" w:line="240" w:lineRule="auto"/>
        <w:rPr>
          <w:b/>
          <w:lang w:val="ro-RO"/>
        </w:rPr>
      </w:pPr>
    </w:p>
    <w:p w:rsidR="005D12AE" w:rsidRPr="00344A81" w:rsidRDefault="005D12AE" w:rsidP="005D12AE">
      <w:pPr>
        <w:spacing w:after="0" w:line="240" w:lineRule="auto"/>
        <w:jc w:val="both"/>
        <w:rPr>
          <w:b/>
          <w:i/>
          <w:lang w:val="ro-RO"/>
        </w:rPr>
      </w:pPr>
      <w:r w:rsidRPr="00344A81">
        <w:rPr>
          <w:b/>
          <w:lang w:val="ro-RO"/>
        </w:rPr>
        <w:t>Tabelul 3</w:t>
      </w:r>
      <w:r w:rsidRPr="00344A81">
        <w:rPr>
          <w:b/>
          <w:i/>
          <w:lang w:val="ro-RO"/>
        </w:rPr>
        <w:t>. Profunzimea şi severitatea sărăciei, 2010-2015</w:t>
      </w:r>
    </w:p>
    <w:tbl>
      <w:tblPr>
        <w:tblW w:w="5044" w:type="pct"/>
        <w:tblBorders>
          <w:top w:val="single" w:sz="4" w:space="0" w:color="auto"/>
          <w:bottom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88"/>
        <w:gridCol w:w="672"/>
        <w:gridCol w:w="673"/>
        <w:gridCol w:w="673"/>
        <w:gridCol w:w="673"/>
        <w:gridCol w:w="673"/>
        <w:gridCol w:w="673"/>
        <w:gridCol w:w="673"/>
        <w:gridCol w:w="673"/>
        <w:gridCol w:w="673"/>
        <w:gridCol w:w="673"/>
        <w:gridCol w:w="673"/>
        <w:gridCol w:w="667"/>
      </w:tblGrid>
      <w:tr w:rsidR="005D12AE" w:rsidRPr="00344A81" w:rsidTr="002F3375">
        <w:tc>
          <w:tcPr>
            <w:tcW w:w="779" w:type="pct"/>
            <w:vMerge w:val="restart"/>
            <w:shd w:val="clear" w:color="auto" w:fill="auto"/>
          </w:tcPr>
          <w:p w:rsidR="005D12AE" w:rsidRPr="00344A81" w:rsidRDefault="005D12AE" w:rsidP="005D12AE">
            <w:pPr>
              <w:spacing w:after="0" w:line="240" w:lineRule="auto"/>
              <w:rPr>
                <w:lang w:val="ro-RO"/>
              </w:rPr>
            </w:pPr>
          </w:p>
        </w:tc>
        <w:tc>
          <w:tcPr>
            <w:tcW w:w="2111" w:type="pct"/>
            <w:gridSpan w:val="6"/>
            <w:shd w:val="clear" w:color="auto" w:fill="auto"/>
          </w:tcPr>
          <w:p w:rsidR="005D12AE" w:rsidRPr="00344A81" w:rsidRDefault="005D12AE" w:rsidP="005D12AE">
            <w:pPr>
              <w:spacing w:after="0" w:line="240" w:lineRule="auto"/>
              <w:jc w:val="center"/>
              <w:rPr>
                <w:b/>
                <w:lang w:val="ro-RO"/>
              </w:rPr>
            </w:pPr>
            <w:r w:rsidRPr="00344A81">
              <w:rPr>
                <w:b/>
                <w:lang w:val="ro-RO"/>
              </w:rPr>
              <w:t>Indicele profunzimii sărăciei, %</w:t>
            </w:r>
          </w:p>
        </w:tc>
        <w:tc>
          <w:tcPr>
            <w:tcW w:w="2110" w:type="pct"/>
            <w:gridSpan w:val="6"/>
            <w:shd w:val="clear" w:color="auto" w:fill="auto"/>
          </w:tcPr>
          <w:p w:rsidR="005D12AE" w:rsidRPr="00344A81" w:rsidRDefault="005D12AE" w:rsidP="005D12AE">
            <w:pPr>
              <w:spacing w:after="0" w:line="240" w:lineRule="auto"/>
              <w:jc w:val="center"/>
              <w:rPr>
                <w:b/>
                <w:lang w:val="ro-RO"/>
              </w:rPr>
            </w:pPr>
            <w:r w:rsidRPr="00344A81">
              <w:rPr>
                <w:b/>
                <w:lang w:val="ro-RO"/>
              </w:rPr>
              <w:t>Indicele severităţii sărăciei, %</w:t>
            </w:r>
          </w:p>
        </w:tc>
      </w:tr>
      <w:tr w:rsidR="005D12AE" w:rsidRPr="00344A81" w:rsidTr="002F3375">
        <w:tc>
          <w:tcPr>
            <w:tcW w:w="779" w:type="pct"/>
            <w:vMerge/>
            <w:tcBorders>
              <w:bottom w:val="single" w:sz="4" w:space="0" w:color="auto"/>
            </w:tcBorders>
            <w:shd w:val="clear" w:color="auto" w:fill="auto"/>
          </w:tcPr>
          <w:p w:rsidR="005D12AE" w:rsidRPr="00344A81" w:rsidRDefault="005D12AE" w:rsidP="005D12AE">
            <w:pPr>
              <w:spacing w:after="0" w:line="240" w:lineRule="auto"/>
              <w:rPr>
                <w:lang w:val="ro-RO"/>
              </w:rPr>
            </w:pPr>
          </w:p>
        </w:tc>
        <w:tc>
          <w:tcPr>
            <w:tcW w:w="352" w:type="pct"/>
            <w:tcBorders>
              <w:bottom w:val="single" w:sz="4" w:space="0" w:color="auto"/>
            </w:tcBorders>
            <w:shd w:val="clear" w:color="auto" w:fill="auto"/>
          </w:tcPr>
          <w:p w:rsidR="005D12AE" w:rsidRPr="00344A81" w:rsidRDefault="005D12AE" w:rsidP="005D12AE">
            <w:pPr>
              <w:spacing w:after="0" w:line="240" w:lineRule="auto"/>
              <w:jc w:val="center"/>
              <w:rPr>
                <w:b/>
                <w:lang w:val="ro-RO"/>
              </w:rPr>
            </w:pPr>
            <w:r w:rsidRPr="00344A81">
              <w:rPr>
                <w:b/>
                <w:lang w:val="ro-RO"/>
              </w:rPr>
              <w:t>2010</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2011</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2012</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2013</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2014</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2015</w:t>
            </w:r>
          </w:p>
        </w:tc>
        <w:tc>
          <w:tcPr>
            <w:tcW w:w="352" w:type="pct"/>
            <w:tcBorders>
              <w:bottom w:val="single" w:sz="4" w:space="0" w:color="auto"/>
            </w:tcBorders>
            <w:shd w:val="clear" w:color="auto" w:fill="auto"/>
          </w:tcPr>
          <w:p w:rsidR="005D12AE" w:rsidRPr="00344A81" w:rsidRDefault="005D12AE" w:rsidP="005D12AE">
            <w:pPr>
              <w:spacing w:after="0" w:line="240" w:lineRule="auto"/>
              <w:jc w:val="center"/>
              <w:rPr>
                <w:b/>
                <w:lang w:val="ro-RO"/>
              </w:rPr>
            </w:pPr>
            <w:r w:rsidRPr="00344A81">
              <w:rPr>
                <w:b/>
                <w:lang w:val="ro-RO"/>
              </w:rPr>
              <w:t>2010</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2011</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2012</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2013</w:t>
            </w:r>
          </w:p>
        </w:tc>
        <w:tc>
          <w:tcPr>
            <w:tcW w:w="352" w:type="pct"/>
            <w:shd w:val="clear" w:color="auto" w:fill="auto"/>
          </w:tcPr>
          <w:p w:rsidR="005D12AE" w:rsidRPr="00344A81" w:rsidRDefault="005D12AE" w:rsidP="005D12AE">
            <w:pPr>
              <w:spacing w:after="0" w:line="240" w:lineRule="auto"/>
              <w:jc w:val="center"/>
              <w:rPr>
                <w:b/>
                <w:lang w:val="ro-RO"/>
              </w:rPr>
            </w:pPr>
            <w:r w:rsidRPr="00344A81">
              <w:rPr>
                <w:b/>
                <w:lang w:val="ro-RO"/>
              </w:rPr>
              <w:t>2014</w:t>
            </w:r>
          </w:p>
        </w:tc>
        <w:tc>
          <w:tcPr>
            <w:tcW w:w="349" w:type="pct"/>
            <w:shd w:val="clear" w:color="auto" w:fill="auto"/>
          </w:tcPr>
          <w:p w:rsidR="005D12AE" w:rsidRPr="00344A81" w:rsidRDefault="005D12AE" w:rsidP="005D12AE">
            <w:pPr>
              <w:spacing w:after="0" w:line="240" w:lineRule="auto"/>
              <w:jc w:val="center"/>
              <w:rPr>
                <w:b/>
                <w:lang w:val="ro-RO"/>
              </w:rPr>
            </w:pPr>
            <w:r w:rsidRPr="00344A81">
              <w:rPr>
                <w:b/>
                <w:lang w:val="ro-RO"/>
              </w:rPr>
              <w:t>2015</w:t>
            </w:r>
          </w:p>
        </w:tc>
      </w:tr>
      <w:tr w:rsidR="005D12AE" w:rsidRPr="00344A81" w:rsidTr="002F3375">
        <w:tc>
          <w:tcPr>
            <w:tcW w:w="779" w:type="pct"/>
            <w:tcBorders>
              <w:bottom w:val="nil"/>
            </w:tcBorders>
            <w:shd w:val="clear" w:color="auto" w:fill="auto"/>
          </w:tcPr>
          <w:p w:rsidR="005D12AE" w:rsidRPr="00344A81" w:rsidRDefault="005D12AE" w:rsidP="005D12AE">
            <w:pPr>
              <w:spacing w:after="0" w:line="240" w:lineRule="auto"/>
              <w:rPr>
                <w:lang w:val="ro-RO"/>
              </w:rPr>
            </w:pPr>
            <w:r w:rsidRPr="00344A81">
              <w:rPr>
                <w:lang w:val="ro-RO"/>
              </w:rPr>
              <w:t>Total populaţie</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4,5</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3,2</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2,9</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w:t>
            </w:r>
          </w:p>
        </w:tc>
        <w:tc>
          <w:tcPr>
            <w:tcW w:w="352"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1,5</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0,8</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52" w:type="pct"/>
            <w:tcBorders>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0,3</w:t>
            </w:r>
          </w:p>
        </w:tc>
        <w:tc>
          <w:tcPr>
            <w:tcW w:w="349" w:type="pct"/>
            <w:tcBorders>
              <w:bottom w:val="nil"/>
            </w:tcBorders>
            <w:shd w:val="clear" w:color="auto" w:fill="auto"/>
          </w:tcPr>
          <w:p w:rsidR="005D12AE" w:rsidRPr="00344A81" w:rsidRDefault="005D12AE" w:rsidP="005D12AE">
            <w:pPr>
              <w:spacing w:after="0" w:line="240" w:lineRule="auto"/>
              <w:jc w:val="right"/>
              <w:rPr>
                <w:lang w:val="ro-RO"/>
              </w:rPr>
            </w:pPr>
            <w:r w:rsidRPr="00344A81">
              <w:rPr>
                <w:lang w:val="ro-RO"/>
              </w:rPr>
              <w:t>0,4</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rPr>
                <w:lang w:val="ro-RO"/>
              </w:rPr>
            </w:pPr>
            <w:r w:rsidRPr="00344A81">
              <w:rPr>
                <w:lang w:val="ro-RO"/>
              </w:rPr>
              <w:t xml:space="preserve">        inclusiv:</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p>
        </w:tc>
        <w:tc>
          <w:tcPr>
            <w:tcW w:w="349" w:type="pct"/>
            <w:tcBorders>
              <w:top w:val="nil"/>
              <w:bottom w:val="nil"/>
            </w:tcBorders>
            <w:shd w:val="clear" w:color="auto" w:fill="auto"/>
          </w:tcPr>
          <w:p w:rsidR="005D12AE" w:rsidRPr="00344A81" w:rsidRDefault="005D12AE" w:rsidP="005D12AE">
            <w:pPr>
              <w:spacing w:after="0" w:line="240" w:lineRule="auto"/>
              <w:jc w:val="right"/>
              <w:rPr>
                <w:lang w:val="ro-RO"/>
              </w:rPr>
            </w:pP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rPr>
                <w:lang w:val="ro-RO"/>
              </w:rPr>
            </w:pPr>
            <w:r w:rsidRPr="00344A81">
              <w:rPr>
                <w:lang w:val="ro-RO"/>
              </w:rPr>
              <w:t>Mediul urban</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w:t>
            </w:r>
            <w:proofErr w:type="spellStart"/>
            <w:r w:rsidRPr="00344A81">
              <w:rPr>
                <w:lang w:val="ro-RO"/>
              </w:rPr>
              <w:t>1</w:t>
            </w:r>
            <w:proofErr w:type="spellEnd"/>
          </w:p>
        </w:tc>
        <w:tc>
          <w:tcPr>
            <w:tcW w:w="352"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0,7</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0,5</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0,3</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0,3</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c>
          <w:tcPr>
            <w:tcW w:w="349"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ind w:firstLine="180"/>
              <w:rPr>
                <w:lang w:val="ro-RO"/>
              </w:rPr>
            </w:pPr>
            <w:r w:rsidRPr="00344A81">
              <w:rPr>
                <w:lang w:val="ro-RO"/>
              </w:rPr>
              <w:t>Oraşe mari</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52"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0,7</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0,3</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0,1</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0,3</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0,2</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w:t>
            </w:r>
            <w:proofErr w:type="spellStart"/>
            <w:r w:rsidRPr="00344A81">
              <w:rPr>
                <w:lang w:val="ro-RO"/>
              </w:rPr>
              <w:t>0</w:t>
            </w:r>
            <w:proofErr w:type="spellEnd"/>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c>
          <w:tcPr>
            <w:tcW w:w="349" w:type="pct"/>
            <w:tcBorders>
              <w:top w:val="nil"/>
              <w:bottom w:val="nil"/>
            </w:tcBorders>
            <w:shd w:val="clear" w:color="auto" w:fill="auto"/>
            <w:vAlign w:val="center"/>
          </w:tcPr>
          <w:p w:rsidR="005D12AE" w:rsidRPr="00344A81" w:rsidRDefault="005D12AE" w:rsidP="005D12AE">
            <w:pPr>
              <w:tabs>
                <w:tab w:val="left" w:pos="330"/>
              </w:tabs>
              <w:spacing w:after="0" w:line="240" w:lineRule="auto"/>
              <w:jc w:val="right"/>
              <w:rPr>
                <w:lang w:val="ro-RO"/>
              </w:rPr>
            </w:pPr>
            <w:r w:rsidRPr="00344A81">
              <w:rPr>
                <w:lang w:val="ro-RO"/>
              </w:rPr>
              <w:t>0,</w:t>
            </w:r>
            <w:proofErr w:type="spellStart"/>
            <w:r w:rsidRPr="00344A81">
              <w:rPr>
                <w:lang w:val="ro-RO"/>
              </w:rPr>
              <w:t>0</w:t>
            </w:r>
            <w:proofErr w:type="spellEnd"/>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ind w:firstLine="180"/>
              <w:rPr>
                <w:lang w:val="ro-RO"/>
              </w:rPr>
            </w:pPr>
            <w:r w:rsidRPr="00344A81">
              <w:rPr>
                <w:lang w:val="ro-RO"/>
              </w:rPr>
              <w:t>Oraşe mici</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2,5</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w:t>
            </w:r>
          </w:p>
        </w:tc>
        <w:tc>
          <w:tcPr>
            <w:tcW w:w="352"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0,8</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0,9</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0,6</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0,3</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0,1</w:t>
            </w:r>
          </w:p>
        </w:tc>
        <w:tc>
          <w:tcPr>
            <w:tcW w:w="349"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0,2</w:t>
            </w:r>
          </w:p>
        </w:tc>
      </w:tr>
      <w:tr w:rsidR="005D12AE" w:rsidRPr="00344A81" w:rsidTr="002F3375">
        <w:tc>
          <w:tcPr>
            <w:tcW w:w="779" w:type="pct"/>
            <w:tcBorders>
              <w:top w:val="nil"/>
              <w:bottom w:val="nil"/>
            </w:tcBorders>
            <w:shd w:val="clear" w:color="auto" w:fill="auto"/>
          </w:tcPr>
          <w:p w:rsidR="005D12AE" w:rsidRPr="00344A81" w:rsidRDefault="005D12AE" w:rsidP="005D12AE">
            <w:pPr>
              <w:spacing w:after="0" w:line="240" w:lineRule="auto"/>
              <w:rPr>
                <w:lang w:val="ro-RO"/>
              </w:rPr>
            </w:pPr>
            <w:r w:rsidRPr="00344A81">
              <w:rPr>
                <w:lang w:val="ro-RO"/>
              </w:rPr>
              <w:t>Mediul rural</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6,5</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4,8</w:t>
            </w:r>
          </w:p>
        </w:tc>
        <w:tc>
          <w:tcPr>
            <w:tcW w:w="352"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4,1</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3,1</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2,3</w:t>
            </w:r>
          </w:p>
        </w:tc>
        <w:tc>
          <w:tcPr>
            <w:tcW w:w="352" w:type="pct"/>
            <w:tcBorders>
              <w:top w:val="nil"/>
              <w:bottom w:val="nil"/>
            </w:tcBorders>
            <w:shd w:val="clear" w:color="auto" w:fill="auto"/>
          </w:tcPr>
          <w:p w:rsidR="005D12AE" w:rsidRPr="00344A81" w:rsidRDefault="005D12AE" w:rsidP="005D12AE">
            <w:pPr>
              <w:spacing w:after="0" w:line="240" w:lineRule="auto"/>
              <w:jc w:val="right"/>
              <w:rPr>
                <w:lang w:val="ro-RO"/>
              </w:rPr>
            </w:pPr>
            <w:r w:rsidRPr="00344A81">
              <w:rPr>
                <w:lang w:val="ro-RO"/>
              </w:rPr>
              <w:t>2,</w:t>
            </w:r>
            <w:proofErr w:type="spellStart"/>
            <w:r w:rsidRPr="00344A81">
              <w:rPr>
                <w:lang w:val="ro-RO"/>
              </w:rPr>
              <w:t>2</w:t>
            </w:r>
            <w:proofErr w:type="spellEnd"/>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w:t>
            </w:r>
          </w:p>
        </w:tc>
        <w:tc>
          <w:tcPr>
            <w:tcW w:w="352" w:type="pct"/>
            <w:tcBorders>
              <w:top w:val="nil"/>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w:t>
            </w:r>
          </w:p>
        </w:tc>
        <w:tc>
          <w:tcPr>
            <w:tcW w:w="352" w:type="pct"/>
            <w:tcBorders>
              <w:top w:val="nil"/>
              <w:left w:val="single" w:sz="4" w:space="0" w:color="auto"/>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0,8</w:t>
            </w:r>
          </w:p>
        </w:tc>
        <w:tc>
          <w:tcPr>
            <w:tcW w:w="352"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c>
          <w:tcPr>
            <w:tcW w:w="349" w:type="pct"/>
            <w:tcBorders>
              <w:top w:val="nil"/>
              <w:bottom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0,5</w:t>
            </w:r>
          </w:p>
        </w:tc>
      </w:tr>
      <w:tr w:rsidR="005D12AE" w:rsidRPr="00344A81" w:rsidTr="002F3375">
        <w:tc>
          <w:tcPr>
            <w:tcW w:w="779" w:type="pct"/>
            <w:tcBorders>
              <w:top w:val="nil"/>
              <w:bottom w:val="single" w:sz="4" w:space="0" w:color="auto"/>
            </w:tcBorders>
            <w:shd w:val="clear" w:color="auto" w:fill="auto"/>
          </w:tcPr>
          <w:p w:rsidR="005D12AE" w:rsidRPr="00344A81" w:rsidRDefault="005D12AE" w:rsidP="005D12AE">
            <w:pPr>
              <w:spacing w:after="0" w:line="240" w:lineRule="auto"/>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right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left w:val="single" w:sz="4" w:space="0" w:color="auto"/>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left w:val="single" w:sz="4" w:space="0" w:color="auto"/>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52"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c>
          <w:tcPr>
            <w:tcW w:w="349" w:type="pct"/>
            <w:tcBorders>
              <w:top w:val="nil"/>
              <w:bottom w:val="single" w:sz="4" w:space="0" w:color="auto"/>
            </w:tcBorders>
            <w:shd w:val="clear" w:color="auto" w:fill="auto"/>
          </w:tcPr>
          <w:p w:rsidR="005D12AE" w:rsidRPr="00344A81" w:rsidRDefault="005D12AE" w:rsidP="005D12AE">
            <w:pPr>
              <w:spacing w:after="0" w:line="240" w:lineRule="auto"/>
              <w:jc w:val="center"/>
              <w:rPr>
                <w:lang w:val="ro-RO"/>
              </w:rPr>
            </w:pPr>
          </w:p>
        </w:tc>
      </w:tr>
    </w:tbl>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jc w:val="both"/>
        <w:rPr>
          <w:b/>
          <w:i/>
          <w:lang w:val="ro-RO"/>
        </w:rPr>
      </w:pPr>
    </w:p>
    <w:p w:rsidR="005D12AE" w:rsidRPr="00344A81" w:rsidRDefault="005D12AE" w:rsidP="005D12AE">
      <w:pPr>
        <w:spacing w:after="0" w:line="240" w:lineRule="auto"/>
        <w:rPr>
          <w:b/>
          <w:lang w:val="ro-RO"/>
        </w:rPr>
      </w:pPr>
      <w:r w:rsidRPr="00344A81">
        <w:rPr>
          <w:b/>
          <w:lang w:val="ro-RO"/>
        </w:rPr>
        <w:lastRenderedPageBreak/>
        <w:t xml:space="preserve">Tabelul 4. </w:t>
      </w:r>
      <w:r w:rsidRPr="00344A81">
        <w:rPr>
          <w:b/>
          <w:i/>
          <w:lang w:val="ro-RO"/>
        </w:rPr>
        <w:t>Structura şi rata sărăciei în funcţie de principalele caracteristici ale gospodăriilor casnice, 2010-2015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3" w:type="dxa"/>
        </w:tblCellMar>
        <w:tblLook w:val="01E0" w:firstRow="1" w:lastRow="1" w:firstColumn="1" w:lastColumn="1" w:noHBand="0" w:noVBand="0"/>
      </w:tblPr>
      <w:tblGrid>
        <w:gridCol w:w="2074"/>
        <w:gridCol w:w="611"/>
        <w:gridCol w:w="613"/>
        <w:gridCol w:w="613"/>
        <w:gridCol w:w="613"/>
        <w:gridCol w:w="612"/>
        <w:gridCol w:w="613"/>
        <w:gridCol w:w="622"/>
        <w:gridCol w:w="622"/>
        <w:gridCol w:w="622"/>
        <w:gridCol w:w="642"/>
        <w:gridCol w:w="622"/>
        <w:gridCol w:w="622"/>
      </w:tblGrid>
      <w:tr w:rsidR="005D12AE" w:rsidRPr="00344A81" w:rsidTr="005D12AE">
        <w:trPr>
          <w:tblHeader/>
        </w:trPr>
        <w:tc>
          <w:tcPr>
            <w:tcW w:w="1095" w:type="pct"/>
            <w:vMerge w:val="restart"/>
            <w:tcBorders>
              <w:left w:val="nil"/>
              <w:right w:val="single" w:sz="4" w:space="0" w:color="auto"/>
            </w:tcBorders>
            <w:shd w:val="clear" w:color="auto" w:fill="auto"/>
          </w:tcPr>
          <w:p w:rsidR="005D12AE" w:rsidRPr="00344A81" w:rsidRDefault="005D12AE" w:rsidP="005D12AE">
            <w:pPr>
              <w:spacing w:after="0" w:line="240" w:lineRule="auto"/>
              <w:rPr>
                <w:lang w:val="ro-RO"/>
              </w:rPr>
            </w:pPr>
          </w:p>
        </w:tc>
        <w:tc>
          <w:tcPr>
            <w:tcW w:w="1954" w:type="pct"/>
            <w:gridSpan w:val="6"/>
            <w:tcBorders>
              <w:left w:val="single" w:sz="4" w:space="0" w:color="auto"/>
              <w:right w:val="single" w:sz="4" w:space="0" w:color="auto"/>
            </w:tcBorders>
            <w:shd w:val="clear" w:color="auto" w:fill="auto"/>
          </w:tcPr>
          <w:p w:rsidR="005D12AE" w:rsidRPr="00344A81" w:rsidRDefault="005D12AE" w:rsidP="005D12AE">
            <w:pPr>
              <w:spacing w:after="0" w:line="240" w:lineRule="auto"/>
              <w:jc w:val="center"/>
              <w:rPr>
                <w:b/>
                <w:lang w:val="ro-RO"/>
              </w:rPr>
            </w:pPr>
            <w:r w:rsidRPr="00344A81">
              <w:rPr>
                <w:b/>
                <w:lang w:val="ro-RO"/>
              </w:rPr>
              <w:t>Rata sărăciei</w:t>
            </w:r>
          </w:p>
        </w:tc>
        <w:tc>
          <w:tcPr>
            <w:tcW w:w="1952" w:type="pct"/>
            <w:gridSpan w:val="6"/>
            <w:tcBorders>
              <w:left w:val="single" w:sz="4" w:space="0" w:color="auto"/>
              <w:right w:val="nil"/>
            </w:tcBorders>
            <w:shd w:val="clear" w:color="auto" w:fill="auto"/>
          </w:tcPr>
          <w:p w:rsidR="005D12AE" w:rsidRPr="00344A81" w:rsidRDefault="005D12AE" w:rsidP="005D12AE">
            <w:pPr>
              <w:spacing w:after="0" w:line="240" w:lineRule="auto"/>
              <w:jc w:val="center"/>
              <w:rPr>
                <w:b/>
                <w:lang w:val="ro-RO"/>
              </w:rPr>
            </w:pPr>
            <w:r w:rsidRPr="00344A81">
              <w:rPr>
                <w:b/>
                <w:lang w:val="ro-RO"/>
              </w:rPr>
              <w:t>Structura populaţiei sărace, %</w:t>
            </w:r>
          </w:p>
        </w:tc>
      </w:tr>
      <w:tr w:rsidR="005D12AE" w:rsidRPr="00344A81" w:rsidTr="005D12AE">
        <w:trPr>
          <w:tblHeader/>
        </w:trPr>
        <w:tc>
          <w:tcPr>
            <w:tcW w:w="1095" w:type="pct"/>
            <w:vMerge/>
            <w:tcBorders>
              <w:left w:val="nil"/>
              <w:bottom w:val="single" w:sz="4" w:space="0" w:color="auto"/>
              <w:right w:val="single" w:sz="4" w:space="0" w:color="auto"/>
            </w:tcBorders>
            <w:shd w:val="clear" w:color="auto" w:fill="auto"/>
          </w:tcPr>
          <w:p w:rsidR="005D12AE" w:rsidRPr="00344A81" w:rsidRDefault="005D12AE" w:rsidP="005D12AE">
            <w:pPr>
              <w:spacing w:after="0" w:line="240" w:lineRule="auto"/>
              <w:rPr>
                <w:lang w:val="ro-RO"/>
              </w:rPr>
            </w:pPr>
          </w:p>
        </w:tc>
        <w:tc>
          <w:tcPr>
            <w:tcW w:w="325" w:type="pct"/>
            <w:tcBorders>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2010</w:t>
            </w:r>
          </w:p>
        </w:tc>
        <w:tc>
          <w:tcPr>
            <w:tcW w:w="326" w:type="pct"/>
            <w:tcBorders>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2011</w:t>
            </w:r>
          </w:p>
        </w:tc>
        <w:tc>
          <w:tcPr>
            <w:tcW w:w="326" w:type="pct"/>
            <w:tcBorders>
              <w:left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2012</w:t>
            </w:r>
          </w:p>
        </w:tc>
        <w:tc>
          <w:tcPr>
            <w:tcW w:w="326" w:type="pct"/>
            <w:tcBorders>
              <w:left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2013</w:t>
            </w:r>
          </w:p>
        </w:tc>
        <w:tc>
          <w:tcPr>
            <w:tcW w:w="325" w:type="pct"/>
            <w:tcBorders>
              <w:left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2014</w:t>
            </w:r>
          </w:p>
        </w:tc>
        <w:tc>
          <w:tcPr>
            <w:tcW w:w="325" w:type="pct"/>
            <w:tcBorders>
              <w:left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2015</w:t>
            </w:r>
          </w:p>
        </w:tc>
        <w:tc>
          <w:tcPr>
            <w:tcW w:w="325" w:type="pct"/>
            <w:tcBorders>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2010</w:t>
            </w:r>
          </w:p>
        </w:tc>
        <w:tc>
          <w:tcPr>
            <w:tcW w:w="325" w:type="pct"/>
            <w:tcBorders>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2011</w:t>
            </w:r>
          </w:p>
        </w:tc>
        <w:tc>
          <w:tcPr>
            <w:tcW w:w="325" w:type="pct"/>
            <w:tcBorders>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2012</w:t>
            </w:r>
          </w:p>
        </w:tc>
        <w:tc>
          <w:tcPr>
            <w:tcW w:w="325" w:type="pct"/>
            <w:tcBorders>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2013</w:t>
            </w:r>
          </w:p>
        </w:tc>
        <w:tc>
          <w:tcPr>
            <w:tcW w:w="325" w:type="pct"/>
            <w:tcBorders>
              <w:top w:val="nil"/>
              <w:left w:val="single" w:sz="4" w:space="0" w:color="auto"/>
              <w:bottom w:val="single" w:sz="4" w:space="0" w:color="auto"/>
              <w:right w:val="nil"/>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2014</w:t>
            </w:r>
          </w:p>
        </w:tc>
        <w:tc>
          <w:tcPr>
            <w:tcW w:w="325" w:type="pct"/>
            <w:tcBorders>
              <w:top w:val="nil"/>
              <w:left w:val="single" w:sz="4" w:space="0" w:color="auto"/>
              <w:bottom w:val="single" w:sz="4" w:space="0" w:color="auto"/>
              <w:right w:val="nil"/>
            </w:tcBorders>
            <w:shd w:val="clear" w:color="auto" w:fill="auto"/>
            <w:vAlign w:val="center"/>
          </w:tcPr>
          <w:p w:rsidR="005D12AE" w:rsidRPr="00344A81" w:rsidRDefault="005D12AE" w:rsidP="005D12AE">
            <w:pPr>
              <w:spacing w:after="0" w:line="240" w:lineRule="auto"/>
              <w:jc w:val="right"/>
              <w:rPr>
                <w:b/>
                <w:lang w:val="ro-RO"/>
              </w:rPr>
            </w:pPr>
            <w:r w:rsidRPr="00344A81">
              <w:rPr>
                <w:b/>
                <w:lang w:val="ro-RO"/>
              </w:rPr>
              <w:t>2015</w:t>
            </w:r>
          </w:p>
        </w:tc>
      </w:tr>
      <w:tr w:rsidR="005D12AE" w:rsidRPr="00344A81" w:rsidTr="005D12AE">
        <w:tc>
          <w:tcPr>
            <w:tcW w:w="1095" w:type="pct"/>
            <w:tcBorders>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Mediul de reşedinţă</w:t>
            </w:r>
          </w:p>
        </w:tc>
        <w:tc>
          <w:tcPr>
            <w:tcW w:w="325"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6"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6"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6"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top w:val="single" w:sz="4" w:space="0" w:color="auto"/>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ind w:left="-5" w:right="-15"/>
              <w:jc w:val="right"/>
              <w:rPr>
                <w:lang w:val="ro-RO"/>
              </w:rPr>
            </w:pP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 xml:space="preserve">Urban </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10,4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8,2</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4,6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5,0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20,0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20,9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15,6</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18,7</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Rural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30,3</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25,0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18,8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16,4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80,0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82,1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79,1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84,4</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81,3</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86,0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Total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21,9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17,5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16,6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12,7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11,4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9,6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Mărimea gospodăriei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1 persoană</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6,9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8,7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8,5</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2 persoane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16,8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13,5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w:t>
            </w:r>
            <w:proofErr w:type="spellStart"/>
            <w:r w:rsidRPr="00344A81">
              <w:rPr>
                <w:color w:val="000000"/>
                <w:lang w:val="ro-RO"/>
              </w:rPr>
              <w:t>7</w:t>
            </w:r>
            <w:proofErr w:type="spellEnd"/>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17,2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20,6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20,5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23,5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27,2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22,6</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3 persoane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13,1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11,8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7,6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17,2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13,7</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18,6</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4 persoane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16,9</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21,3</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22,1</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5 şi mai multe persoane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35,0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28,0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28,6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25,5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32,1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30,9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32,4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33,2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28,6</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28,1</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Total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21,9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17,5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16,6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12,7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11,4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9,6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Componenţa gospodăriei</w:t>
            </w:r>
            <w:r w:rsidRPr="00344A81">
              <w:rPr>
                <w:rStyle w:val="a7"/>
                <w:i/>
                <w:lang w:val="ro-RO"/>
              </w:rPr>
              <w:footnoteReference w:id="3"/>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Gospodării cu 1 copil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13,5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23,8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19,5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18,9</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18,1</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Gospodării cu 2 copii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24,6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10,2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19,9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15,1</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19,9</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18,9</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84" w:hanging="32"/>
              <w:rPr>
                <w:lang w:val="ro-RO"/>
              </w:rPr>
            </w:pPr>
            <w:r w:rsidRPr="00344A81">
              <w:rPr>
                <w:lang w:val="ro-RO"/>
              </w:rPr>
              <w:t xml:space="preserve">Gospodării cu 3 şi mai mulţi copii </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39,1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36,9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34,6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34,6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27,1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23,2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12,4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12,4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16,3</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13,6</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firstLine="252"/>
              <w:rPr>
                <w:lang w:val="ro-RO"/>
              </w:rPr>
            </w:pPr>
            <w:r w:rsidRPr="00344A81">
              <w:rPr>
                <w:lang w:val="ro-RO"/>
              </w:rPr>
              <w:t>Gospodării fără copii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44,3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47,1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45,9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48,5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49,2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49,5</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Total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21,9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17,5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16,6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12,7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11,4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9,6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i/>
                <w:lang w:val="ro-RO"/>
              </w:rPr>
            </w:pPr>
            <w:proofErr w:type="spellStart"/>
            <w:r w:rsidRPr="00344A81">
              <w:rPr>
                <w:i/>
                <w:lang w:val="ro-RO"/>
              </w:rPr>
              <w:t>Vîrsta</w:t>
            </w:r>
            <w:proofErr w:type="spellEnd"/>
            <w:r w:rsidRPr="00344A81">
              <w:rPr>
                <w:i/>
                <w:lang w:val="ro-RO"/>
              </w:rPr>
              <w:t xml:space="preserve"> capului gospodăriei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right="-15" w:hanging="5"/>
              <w:jc w:val="right"/>
              <w:rPr>
                <w:lang w:val="ro-RO"/>
              </w:rPr>
            </w:pP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proofErr w:type="spellStart"/>
            <w:r w:rsidRPr="00344A81">
              <w:rPr>
                <w:lang w:val="ro-RO"/>
              </w:rPr>
              <w:t>pînă</w:t>
            </w:r>
            <w:proofErr w:type="spellEnd"/>
            <w:r w:rsidRPr="00344A81">
              <w:rPr>
                <w:lang w:val="ro-RO"/>
              </w:rPr>
              <w:t xml:space="preserve"> la 30 ani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10,9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7,0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5,1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6,7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3,8</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2,6</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3,2</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30-39 ani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17,9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17,2</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13,7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17,5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40-49 ani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23,7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21,8</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19,6</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21,3</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50-59 ani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22,4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24,3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23,4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23,2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23,6</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27,0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24,4</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 xml:space="preserve">60-64 ani </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18,2</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19,0</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9,</w:t>
            </w:r>
            <w:proofErr w:type="spellStart"/>
            <w:r w:rsidRPr="00344A81">
              <w:rPr>
                <w:color w:val="000000"/>
                <w:lang w:val="ro-RO"/>
              </w:rPr>
              <w:t>9</w:t>
            </w:r>
            <w:proofErr w:type="spellEnd"/>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12,5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10,2</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12,9</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11,5</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65 ani şi peste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30,2</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25,6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23,7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10,7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26,0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26,0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25,1</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25,3</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22,7</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Total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21,9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17,5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16,6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12,7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11,4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9,6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Nivelul de educaţie al capului gospodăriei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Studii superioare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w:t>
            </w:r>
            <w:proofErr w:type="spellStart"/>
            <w:r w:rsidRPr="00344A81">
              <w:rPr>
                <w:color w:val="000000"/>
                <w:lang w:val="ro-RO"/>
              </w:rPr>
              <w:t>2</w:t>
            </w:r>
            <w:proofErr w:type="spellEnd"/>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0,7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2,4</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5,3</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Studii medii profesionale şi de specialitate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17,5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12,5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13,6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9,7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34,3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29,7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34,3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35,1</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37,0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34,6</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Studii medii generale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23,1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19,6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16,3</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8,4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19,8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16,2</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Studii gimnaziale, primare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39,7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33,8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30,3</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24,5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44,2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47,6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46,2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43,4</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42,1</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43,9</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lastRenderedPageBreak/>
              <w:t>Total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21,9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17,5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16,6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12,7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11,4</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9,6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rPr>
                <w:i/>
                <w:lang w:val="ro-RO"/>
              </w:rPr>
            </w:pPr>
            <w:r w:rsidRPr="00344A81">
              <w:rPr>
                <w:i/>
                <w:lang w:val="ro-RO"/>
              </w:rPr>
              <w:t>Statutul socio-economic al gospodăriei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tabs>
                <w:tab w:val="left" w:pos="764"/>
              </w:tabs>
              <w:spacing w:after="0" w:line="240" w:lineRule="auto"/>
              <w:ind w:left="-5" w:right="-15" w:hanging="5"/>
              <w:jc w:val="right"/>
              <w:rPr>
                <w:lang w:val="ro-RO"/>
              </w:rPr>
            </w:pP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Salariaţi în sectorul agricol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44,9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32,4</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37,1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31,3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25,5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27,1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10,9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12,9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15,1</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12,1</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15,6</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Salariaţi în sectorul non-agricol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6,9</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5,9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6,8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16,2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15,8</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20,5</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15,6</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Lucrători pe cont propriu în sectorul agricol</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36,5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33,6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27,8</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21,7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19,8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26,9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21,9</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15,8</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15,7</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18,3</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Pensionari</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28,1</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22,3</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22,6</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14,6</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10,1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35,7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37,0</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40,2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34,7</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38,7</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33,3</w:t>
            </w:r>
          </w:p>
        </w:tc>
      </w:tr>
      <w:tr w:rsidR="005D12AE" w:rsidRPr="00344A81" w:rsidTr="005D12AE">
        <w:tc>
          <w:tcPr>
            <w:tcW w:w="1095" w:type="pct"/>
            <w:tcBorders>
              <w:top w:val="nil"/>
              <w:left w:val="nil"/>
              <w:bottom w:val="nil"/>
              <w:right w:val="single" w:sz="4" w:space="0" w:color="auto"/>
            </w:tcBorders>
            <w:shd w:val="clear" w:color="auto" w:fill="auto"/>
          </w:tcPr>
          <w:p w:rsidR="005D12AE" w:rsidRPr="00344A81" w:rsidRDefault="005D12AE" w:rsidP="005D12AE">
            <w:pPr>
              <w:spacing w:after="0" w:line="240" w:lineRule="auto"/>
              <w:ind w:left="252"/>
              <w:rPr>
                <w:lang w:val="ro-RO"/>
              </w:rPr>
            </w:pPr>
            <w:r w:rsidRPr="00344A81">
              <w:rPr>
                <w:lang w:val="ro-RO"/>
              </w:rPr>
              <w:t>Alte</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14,5</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12,7</w:t>
            </w:r>
          </w:p>
        </w:tc>
        <w:tc>
          <w:tcPr>
            <w:tcW w:w="326"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11,7</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7,3</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7,5</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8,1</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14,8</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14,2</w:t>
            </w:r>
          </w:p>
        </w:tc>
        <w:tc>
          <w:tcPr>
            <w:tcW w:w="325" w:type="pct"/>
            <w:tcBorders>
              <w:top w:val="nil"/>
              <w:left w:val="single" w:sz="4" w:space="0" w:color="auto"/>
              <w:bottom w:val="nil"/>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18,6</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13,0</w:t>
            </w:r>
          </w:p>
        </w:tc>
        <w:tc>
          <w:tcPr>
            <w:tcW w:w="325" w:type="pct"/>
            <w:tcBorders>
              <w:top w:val="nil"/>
              <w:left w:val="single" w:sz="4" w:space="0" w:color="auto"/>
              <w:bottom w:val="nil"/>
              <w:right w:val="nil"/>
            </w:tcBorders>
            <w:shd w:val="clear" w:color="auto" w:fill="auto"/>
            <w:vAlign w:val="center"/>
          </w:tcPr>
          <w:p w:rsidR="005D12AE" w:rsidRPr="00344A81" w:rsidRDefault="005D12AE" w:rsidP="005D12AE">
            <w:pPr>
              <w:widowControl w:val="0"/>
              <w:autoSpaceDE w:val="0"/>
              <w:autoSpaceDN w:val="0"/>
              <w:adjustRightInd w:val="0"/>
              <w:spacing w:after="0" w:line="240" w:lineRule="auto"/>
              <w:jc w:val="right"/>
              <w:rPr>
                <w:color w:val="000000"/>
                <w:lang w:val="ro-RO"/>
              </w:rPr>
            </w:pPr>
            <w:r w:rsidRPr="00344A81">
              <w:rPr>
                <w:color w:val="000000"/>
                <w:lang w:val="ro-RO"/>
              </w:rPr>
              <w:t>17,2</w:t>
            </w:r>
          </w:p>
        </w:tc>
      </w:tr>
      <w:tr w:rsidR="005D12AE" w:rsidRPr="00344A81" w:rsidTr="005D12AE">
        <w:tc>
          <w:tcPr>
            <w:tcW w:w="1095" w:type="pct"/>
            <w:tcBorders>
              <w:top w:val="nil"/>
              <w:left w:val="nil"/>
              <w:bottom w:val="single" w:sz="4" w:space="0" w:color="auto"/>
              <w:right w:val="single" w:sz="4" w:space="0" w:color="auto"/>
            </w:tcBorders>
            <w:shd w:val="clear" w:color="auto" w:fill="auto"/>
          </w:tcPr>
          <w:p w:rsidR="005D12AE" w:rsidRPr="00344A81" w:rsidRDefault="005D12AE" w:rsidP="005D12AE">
            <w:pPr>
              <w:spacing w:after="0" w:line="240" w:lineRule="auto"/>
              <w:rPr>
                <w:lang w:val="ro-RO"/>
              </w:rPr>
            </w:pPr>
            <w:r w:rsidRPr="00344A81">
              <w:rPr>
                <w:lang w:val="ro-RO"/>
              </w:rPr>
              <w:t>Total</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21,9</w:t>
            </w:r>
          </w:p>
        </w:tc>
        <w:tc>
          <w:tcPr>
            <w:tcW w:w="326"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17,5</w:t>
            </w:r>
          </w:p>
        </w:tc>
        <w:tc>
          <w:tcPr>
            <w:tcW w:w="326"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tabs>
                <w:tab w:val="left" w:pos="709"/>
              </w:tabs>
              <w:spacing w:after="0" w:line="240" w:lineRule="auto"/>
              <w:jc w:val="right"/>
              <w:rPr>
                <w:lang w:val="ro-RO"/>
              </w:rPr>
            </w:pPr>
            <w:r w:rsidRPr="00344A81">
              <w:rPr>
                <w:lang w:val="ro-RO"/>
              </w:rPr>
              <w:t>16,6</w:t>
            </w:r>
          </w:p>
        </w:tc>
        <w:tc>
          <w:tcPr>
            <w:tcW w:w="326"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12,7</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11,4</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ind w:left="-5" w:right="-15"/>
              <w:jc w:val="right"/>
              <w:rPr>
                <w:lang w:val="ro-RO"/>
              </w:rPr>
            </w:pPr>
            <w:r w:rsidRPr="00344A81">
              <w:rPr>
                <w:lang w:val="ro-RO"/>
              </w:rPr>
              <w:t>9,6</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single" w:sz="4" w:space="0" w:color="auto"/>
              <w:right w:val="single" w:sz="4" w:space="0" w:color="auto"/>
            </w:tcBorders>
            <w:shd w:val="clear" w:color="auto" w:fill="auto"/>
            <w:vAlign w:val="center"/>
          </w:tcPr>
          <w:p w:rsidR="005D12AE" w:rsidRPr="00344A81" w:rsidRDefault="005D12AE" w:rsidP="005D12AE">
            <w:pPr>
              <w:spacing w:after="0" w:line="240" w:lineRule="auto"/>
              <w:jc w:val="right"/>
              <w:rPr>
                <w:lang w:val="ro-RO"/>
              </w:rPr>
            </w:pPr>
            <w:r w:rsidRPr="00344A81">
              <w:rPr>
                <w:lang w:val="ro-RO"/>
              </w:rPr>
              <w:t>100,0</w:t>
            </w:r>
          </w:p>
        </w:tc>
        <w:tc>
          <w:tcPr>
            <w:tcW w:w="325" w:type="pct"/>
            <w:tcBorders>
              <w:top w:val="nil"/>
              <w:left w:val="single" w:sz="4" w:space="0" w:color="auto"/>
              <w:bottom w:val="single" w:sz="4" w:space="0" w:color="auto"/>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c>
          <w:tcPr>
            <w:tcW w:w="325" w:type="pct"/>
            <w:tcBorders>
              <w:top w:val="nil"/>
              <w:left w:val="single" w:sz="4" w:space="0" w:color="auto"/>
              <w:bottom w:val="single" w:sz="4" w:space="0" w:color="auto"/>
              <w:right w:val="nil"/>
            </w:tcBorders>
            <w:shd w:val="clear" w:color="auto" w:fill="auto"/>
            <w:vAlign w:val="center"/>
          </w:tcPr>
          <w:p w:rsidR="005D12AE" w:rsidRPr="00344A81" w:rsidRDefault="005D12AE" w:rsidP="005D12AE">
            <w:pPr>
              <w:tabs>
                <w:tab w:val="left" w:pos="764"/>
              </w:tabs>
              <w:spacing w:after="0" w:line="240" w:lineRule="auto"/>
              <w:ind w:left="-5" w:right="-15"/>
              <w:jc w:val="right"/>
              <w:rPr>
                <w:lang w:val="ro-RO"/>
              </w:rPr>
            </w:pPr>
            <w:r w:rsidRPr="00344A81">
              <w:rPr>
                <w:lang w:val="ro-RO"/>
              </w:rPr>
              <w:t>100,0</w:t>
            </w:r>
          </w:p>
        </w:tc>
      </w:tr>
    </w:tbl>
    <w:p w:rsidR="005D12AE" w:rsidRPr="00344A81" w:rsidRDefault="005D12AE" w:rsidP="005D12AE">
      <w:pPr>
        <w:spacing w:after="0" w:line="240" w:lineRule="auto"/>
        <w:jc w:val="both"/>
        <w:rPr>
          <w:lang w:val="ro-RO"/>
        </w:rPr>
      </w:pPr>
    </w:p>
    <w:p w:rsidR="00E9649A" w:rsidRPr="00344A81" w:rsidRDefault="00E9649A" w:rsidP="005D12AE">
      <w:pPr>
        <w:spacing w:after="0" w:line="240" w:lineRule="auto"/>
        <w:rPr>
          <w:lang w:val="ro-RO"/>
        </w:rPr>
      </w:pPr>
    </w:p>
    <w:sectPr w:rsidR="00E9649A" w:rsidRPr="00344A81" w:rsidSect="00344A8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8AA" w:rsidRDefault="00CF38AA" w:rsidP="00E13F76">
      <w:pPr>
        <w:spacing w:after="0" w:line="240" w:lineRule="auto"/>
      </w:pPr>
      <w:r>
        <w:separator/>
      </w:r>
    </w:p>
  </w:endnote>
  <w:endnote w:type="continuationSeparator" w:id="0">
    <w:p w:rsidR="00CF38AA" w:rsidRDefault="00CF38AA" w:rsidP="00E1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8AA" w:rsidRDefault="00CF38AA" w:rsidP="00E13F76">
      <w:pPr>
        <w:spacing w:after="0" w:line="240" w:lineRule="auto"/>
      </w:pPr>
      <w:r>
        <w:separator/>
      </w:r>
    </w:p>
  </w:footnote>
  <w:footnote w:type="continuationSeparator" w:id="0">
    <w:p w:rsidR="00CF38AA" w:rsidRDefault="00CF38AA" w:rsidP="00E13F76">
      <w:pPr>
        <w:spacing w:after="0" w:line="240" w:lineRule="auto"/>
      </w:pPr>
      <w:r>
        <w:continuationSeparator/>
      </w:r>
    </w:p>
  </w:footnote>
  <w:footnote w:id="1">
    <w:p w:rsidR="0038189F" w:rsidRPr="00424ECD" w:rsidRDefault="0038189F" w:rsidP="0038189F">
      <w:pPr>
        <w:pStyle w:val="a5"/>
        <w:rPr>
          <w:sz w:val="16"/>
          <w:szCs w:val="16"/>
          <w:lang w:val="ro-RO"/>
        </w:rPr>
      </w:pPr>
      <w:r w:rsidRPr="00424ECD">
        <w:rPr>
          <w:rStyle w:val="a7"/>
          <w:sz w:val="16"/>
          <w:szCs w:val="16"/>
        </w:rPr>
        <w:footnoteRef/>
      </w:r>
      <w:r w:rsidRPr="00424ECD">
        <w:rPr>
          <w:sz w:val="16"/>
          <w:szCs w:val="16"/>
          <w:lang w:val="en-GB"/>
        </w:rPr>
        <w:t xml:space="preserve"> </w:t>
      </w:r>
      <w:r w:rsidRPr="00424ECD">
        <w:rPr>
          <w:sz w:val="16"/>
          <w:szCs w:val="16"/>
          <w:lang w:val="ro-RO"/>
        </w:rPr>
        <w:t>Pragul sărăciei a fost calculat în baza pragului pentru anul 20</w:t>
      </w:r>
      <w:r w:rsidRPr="00424ECD">
        <w:rPr>
          <w:sz w:val="16"/>
          <w:szCs w:val="16"/>
          <w:lang w:val="en-GB"/>
        </w:rPr>
        <w:t>1</w:t>
      </w:r>
      <w:r>
        <w:rPr>
          <w:sz w:val="16"/>
          <w:szCs w:val="16"/>
          <w:lang w:val="en-GB"/>
        </w:rPr>
        <w:t>4</w:t>
      </w:r>
      <w:r w:rsidRPr="00424ECD">
        <w:rPr>
          <w:sz w:val="16"/>
          <w:szCs w:val="16"/>
          <w:lang w:val="ro-RO"/>
        </w:rPr>
        <w:t xml:space="preserve"> prin indexarea la valoarea medie anuală a IPC pentru 20</w:t>
      </w:r>
      <w:r w:rsidRPr="00424ECD">
        <w:rPr>
          <w:sz w:val="16"/>
          <w:szCs w:val="16"/>
          <w:lang w:val="en-GB"/>
        </w:rPr>
        <w:t>1</w:t>
      </w:r>
      <w:r>
        <w:rPr>
          <w:sz w:val="16"/>
          <w:szCs w:val="16"/>
          <w:lang w:val="en-GB"/>
        </w:rPr>
        <w:t>5</w:t>
      </w:r>
      <w:r w:rsidRPr="00424ECD">
        <w:rPr>
          <w:sz w:val="16"/>
          <w:szCs w:val="16"/>
          <w:lang w:val="ro-RO"/>
        </w:rPr>
        <w:t xml:space="preserve"> (1</w:t>
      </w:r>
      <w:r w:rsidRPr="00424ECD">
        <w:rPr>
          <w:sz w:val="16"/>
          <w:szCs w:val="16"/>
          <w:lang w:val="en-GB"/>
        </w:rPr>
        <w:t>0</w:t>
      </w:r>
      <w:r>
        <w:rPr>
          <w:sz w:val="16"/>
          <w:szCs w:val="16"/>
          <w:lang w:val="en-GB"/>
        </w:rPr>
        <w:t>9</w:t>
      </w:r>
      <w:r w:rsidRPr="00424ECD">
        <w:rPr>
          <w:sz w:val="16"/>
          <w:szCs w:val="16"/>
          <w:lang w:val="ro-RO"/>
        </w:rPr>
        <w:t>,</w:t>
      </w:r>
      <w:r>
        <w:rPr>
          <w:sz w:val="16"/>
          <w:szCs w:val="16"/>
          <w:lang w:val="ro-RO"/>
        </w:rPr>
        <w:t>7</w:t>
      </w:r>
      <w:r w:rsidRPr="00424ECD">
        <w:rPr>
          <w:sz w:val="16"/>
          <w:szCs w:val="16"/>
          <w:lang w:val="ro-RO"/>
        </w:rPr>
        <w:t>%)</w:t>
      </w:r>
    </w:p>
  </w:footnote>
  <w:footnote w:id="2">
    <w:p w:rsidR="00E13F76" w:rsidRPr="006201B8" w:rsidRDefault="00E13F76" w:rsidP="00E13F76">
      <w:pPr>
        <w:pStyle w:val="a5"/>
        <w:rPr>
          <w:lang w:val="ro-RO"/>
        </w:rPr>
      </w:pPr>
      <w:r>
        <w:rPr>
          <w:rStyle w:val="a7"/>
        </w:rPr>
        <w:footnoteRef/>
      </w:r>
      <w:r w:rsidRPr="006201B8">
        <w:rPr>
          <w:lang w:val="ro-RO"/>
        </w:rPr>
        <w:t xml:space="preserve"> </w:t>
      </w:r>
      <w:r w:rsidRPr="006201B8">
        <w:rPr>
          <w:sz w:val="16"/>
          <w:szCs w:val="16"/>
          <w:lang w:val="ro-RO"/>
        </w:rPr>
        <w:t>Mun. Chişinău şi Bălţi</w:t>
      </w:r>
    </w:p>
  </w:footnote>
  <w:footnote w:id="3">
    <w:p w:rsidR="005D12AE" w:rsidRPr="00423DD6" w:rsidRDefault="005D12AE" w:rsidP="005D12AE">
      <w:pPr>
        <w:pStyle w:val="a5"/>
        <w:rPr>
          <w:sz w:val="16"/>
          <w:szCs w:val="16"/>
          <w:lang w:val="ro-RO"/>
        </w:rPr>
      </w:pPr>
      <w:r w:rsidRPr="00423DD6">
        <w:rPr>
          <w:rStyle w:val="a7"/>
          <w:sz w:val="16"/>
          <w:szCs w:val="16"/>
        </w:rPr>
        <w:footnoteRef/>
      </w:r>
      <w:r w:rsidRPr="00423DD6">
        <w:rPr>
          <w:sz w:val="16"/>
          <w:szCs w:val="16"/>
          <w:lang w:val="ro-RO"/>
        </w:rPr>
        <w:t xml:space="preserve"> Gospodării cu copii au fost considerate gospodăriile în componenţa cărora sunt copii în </w:t>
      </w:r>
      <w:proofErr w:type="spellStart"/>
      <w:r w:rsidRPr="00423DD6">
        <w:rPr>
          <w:sz w:val="16"/>
          <w:szCs w:val="16"/>
          <w:lang w:val="ro-RO"/>
        </w:rPr>
        <w:t>vîrstă</w:t>
      </w:r>
      <w:proofErr w:type="spellEnd"/>
      <w:r w:rsidRPr="00423DD6">
        <w:rPr>
          <w:sz w:val="16"/>
          <w:szCs w:val="16"/>
          <w:lang w:val="ro-RO"/>
        </w:rPr>
        <w:t xml:space="preserve"> de </w:t>
      </w:r>
      <w:proofErr w:type="spellStart"/>
      <w:r w:rsidRPr="00423DD6">
        <w:rPr>
          <w:sz w:val="16"/>
          <w:szCs w:val="16"/>
          <w:lang w:val="ro-RO"/>
        </w:rPr>
        <w:t>pînă</w:t>
      </w:r>
      <w:proofErr w:type="spellEnd"/>
      <w:r w:rsidRPr="00423DD6">
        <w:rPr>
          <w:sz w:val="16"/>
          <w:szCs w:val="16"/>
          <w:lang w:val="ro-RO"/>
        </w:rPr>
        <w:t xml:space="preserve"> la 16 ani.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A4981"/>
    <w:multiLevelType w:val="hybridMultilevel"/>
    <w:tmpl w:val="CC0EAD56"/>
    <w:lvl w:ilvl="0" w:tplc="90C67D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F76"/>
    <w:rsid w:val="000305F3"/>
    <w:rsid w:val="000732CE"/>
    <w:rsid w:val="00086749"/>
    <w:rsid w:val="00124A12"/>
    <w:rsid w:val="00130415"/>
    <w:rsid w:val="00141ADC"/>
    <w:rsid w:val="00181FAE"/>
    <w:rsid w:val="00290214"/>
    <w:rsid w:val="00322AC4"/>
    <w:rsid w:val="003403D4"/>
    <w:rsid w:val="00344A81"/>
    <w:rsid w:val="00380456"/>
    <w:rsid w:val="0038189F"/>
    <w:rsid w:val="003836EE"/>
    <w:rsid w:val="003909F3"/>
    <w:rsid w:val="003C6CB7"/>
    <w:rsid w:val="00450D01"/>
    <w:rsid w:val="004F3424"/>
    <w:rsid w:val="00565787"/>
    <w:rsid w:val="0057574D"/>
    <w:rsid w:val="00577ECC"/>
    <w:rsid w:val="005C76C2"/>
    <w:rsid w:val="005D12AE"/>
    <w:rsid w:val="006336E9"/>
    <w:rsid w:val="006851D8"/>
    <w:rsid w:val="006A12E4"/>
    <w:rsid w:val="006C5F51"/>
    <w:rsid w:val="007052DE"/>
    <w:rsid w:val="0072307C"/>
    <w:rsid w:val="00773986"/>
    <w:rsid w:val="007A0B4B"/>
    <w:rsid w:val="008712B4"/>
    <w:rsid w:val="00886FC6"/>
    <w:rsid w:val="00892857"/>
    <w:rsid w:val="008C3EC6"/>
    <w:rsid w:val="008E0032"/>
    <w:rsid w:val="009467A7"/>
    <w:rsid w:val="00A54A2F"/>
    <w:rsid w:val="00A909AC"/>
    <w:rsid w:val="00AA13C2"/>
    <w:rsid w:val="00AE6448"/>
    <w:rsid w:val="00AF4FF3"/>
    <w:rsid w:val="00B153F8"/>
    <w:rsid w:val="00B47B06"/>
    <w:rsid w:val="00BC7EEF"/>
    <w:rsid w:val="00BD0C72"/>
    <w:rsid w:val="00BE4950"/>
    <w:rsid w:val="00C14387"/>
    <w:rsid w:val="00C47B35"/>
    <w:rsid w:val="00C5552F"/>
    <w:rsid w:val="00C5644E"/>
    <w:rsid w:val="00C6535A"/>
    <w:rsid w:val="00CD2436"/>
    <w:rsid w:val="00CF38AA"/>
    <w:rsid w:val="00D47DDE"/>
    <w:rsid w:val="00DB039F"/>
    <w:rsid w:val="00E03E29"/>
    <w:rsid w:val="00E13F76"/>
    <w:rsid w:val="00E42448"/>
    <w:rsid w:val="00E87581"/>
    <w:rsid w:val="00E9649A"/>
    <w:rsid w:val="00F0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3F76"/>
    <w:pPr>
      <w:spacing w:after="0" w:line="240" w:lineRule="auto"/>
      <w:jc w:val="center"/>
    </w:pPr>
    <w:rPr>
      <w:rFonts w:ascii="Times New Roman" w:eastAsia="Times New Roman" w:hAnsi="Times New Roman" w:cs="Times New Roman"/>
      <w:sz w:val="28"/>
      <w:szCs w:val="20"/>
      <w:lang w:val="ro-RO" w:eastAsia="ru-RU"/>
    </w:rPr>
  </w:style>
  <w:style w:type="character" w:customStyle="1" w:styleId="a4">
    <w:name w:val="Основной текст Знак"/>
    <w:basedOn w:val="a0"/>
    <w:link w:val="a3"/>
    <w:rsid w:val="00E13F76"/>
    <w:rPr>
      <w:rFonts w:ascii="Times New Roman" w:eastAsia="Times New Roman" w:hAnsi="Times New Roman" w:cs="Times New Roman"/>
      <w:sz w:val="28"/>
      <w:szCs w:val="20"/>
      <w:lang w:val="ro-RO" w:eastAsia="ru-RU"/>
    </w:rPr>
  </w:style>
  <w:style w:type="paragraph" w:customStyle="1" w:styleId="CharChar">
    <w:name w:val="Знак Знак Char Char"/>
    <w:basedOn w:val="a"/>
    <w:rsid w:val="00E13F76"/>
    <w:pPr>
      <w:spacing w:after="160" w:line="240" w:lineRule="exact"/>
    </w:pPr>
    <w:rPr>
      <w:rFonts w:ascii="Arial" w:eastAsia="Batang" w:hAnsi="Arial" w:cs="Arial"/>
      <w:sz w:val="20"/>
      <w:szCs w:val="20"/>
    </w:rPr>
  </w:style>
  <w:style w:type="paragraph" w:styleId="a5">
    <w:name w:val="footnote text"/>
    <w:basedOn w:val="a"/>
    <w:link w:val="a6"/>
    <w:semiHidden/>
    <w:rsid w:val="00E13F76"/>
    <w:pPr>
      <w:spacing w:after="0" w:line="240" w:lineRule="auto"/>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semiHidden/>
    <w:rsid w:val="00E13F76"/>
    <w:rPr>
      <w:rFonts w:ascii="Times New Roman" w:eastAsia="Times New Roman" w:hAnsi="Times New Roman" w:cs="Times New Roman"/>
      <w:sz w:val="20"/>
      <w:szCs w:val="20"/>
      <w:lang w:val="ru-RU" w:eastAsia="ru-RU"/>
    </w:rPr>
  </w:style>
  <w:style w:type="character" w:styleId="a7">
    <w:name w:val="footnote reference"/>
    <w:basedOn w:val="a0"/>
    <w:semiHidden/>
    <w:rsid w:val="00E13F76"/>
    <w:rPr>
      <w:vertAlign w:val="superscript"/>
    </w:rPr>
  </w:style>
  <w:style w:type="paragraph" w:styleId="a8">
    <w:name w:val="List Paragraph"/>
    <w:basedOn w:val="a"/>
    <w:uiPriority w:val="34"/>
    <w:qFormat/>
    <w:rsid w:val="005C76C2"/>
    <w:pPr>
      <w:ind w:left="720"/>
      <w:contextualSpacing/>
    </w:pPr>
  </w:style>
  <w:style w:type="paragraph" w:customStyle="1" w:styleId="CharChar0">
    <w:name w:val="Знак Знак Char Char"/>
    <w:basedOn w:val="a"/>
    <w:rsid w:val="005D12AE"/>
    <w:pPr>
      <w:spacing w:after="160" w:line="240" w:lineRule="exact"/>
    </w:pPr>
    <w:rPr>
      <w:rFonts w:ascii="Arial" w:eastAsia="Batang" w:hAnsi="Arial" w:cs="Arial"/>
      <w:sz w:val="20"/>
      <w:szCs w:val="20"/>
    </w:rPr>
  </w:style>
  <w:style w:type="paragraph" w:styleId="a9">
    <w:name w:val="caption"/>
    <w:basedOn w:val="a"/>
    <w:next w:val="a"/>
    <w:qFormat/>
    <w:rsid w:val="005D12AE"/>
    <w:pPr>
      <w:spacing w:after="0" w:line="240" w:lineRule="auto"/>
    </w:pPr>
    <w:rPr>
      <w:rFonts w:ascii="Times New Roman" w:eastAsia="Times New Roman" w:hAnsi="Times New Roman" w:cs="Times New Roman"/>
      <w:b/>
      <w:bCs/>
      <w:sz w:val="20"/>
      <w:szCs w:val="20"/>
      <w:lang w:val="ru-RU" w:eastAsia="ru-RU"/>
    </w:rPr>
  </w:style>
  <w:style w:type="paragraph" w:styleId="aa">
    <w:name w:val="No Spacing"/>
    <w:link w:val="ab"/>
    <w:uiPriority w:val="1"/>
    <w:qFormat/>
    <w:rsid w:val="00344A81"/>
    <w:pPr>
      <w:spacing w:after="0" w:line="240" w:lineRule="auto"/>
    </w:pPr>
    <w:rPr>
      <w:rFonts w:eastAsiaTheme="minorEastAsia"/>
    </w:rPr>
  </w:style>
  <w:style w:type="character" w:customStyle="1" w:styleId="ab">
    <w:name w:val="Без интервала Знак"/>
    <w:basedOn w:val="a0"/>
    <w:link w:val="aa"/>
    <w:uiPriority w:val="1"/>
    <w:rsid w:val="00344A81"/>
    <w:rPr>
      <w:rFonts w:eastAsiaTheme="minorEastAsia"/>
    </w:rPr>
  </w:style>
  <w:style w:type="paragraph" w:styleId="ac">
    <w:name w:val="Balloon Text"/>
    <w:basedOn w:val="a"/>
    <w:link w:val="ad"/>
    <w:uiPriority w:val="99"/>
    <w:semiHidden/>
    <w:unhideWhenUsed/>
    <w:rsid w:val="00344A8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4A81"/>
    <w:rPr>
      <w:rFonts w:ascii="Tahoma" w:hAnsi="Tahoma" w:cs="Tahoma"/>
      <w:sz w:val="16"/>
      <w:szCs w:val="16"/>
    </w:rPr>
  </w:style>
  <w:style w:type="paragraph" w:styleId="ae">
    <w:name w:val="Body Text Indent"/>
    <w:basedOn w:val="a"/>
    <w:link w:val="af"/>
    <w:uiPriority w:val="99"/>
    <w:semiHidden/>
    <w:unhideWhenUsed/>
    <w:rsid w:val="00344A81"/>
    <w:pPr>
      <w:spacing w:after="120"/>
      <w:ind w:left="283"/>
    </w:pPr>
  </w:style>
  <w:style w:type="character" w:customStyle="1" w:styleId="af">
    <w:name w:val="Основной текст с отступом Знак"/>
    <w:basedOn w:val="a0"/>
    <w:link w:val="ae"/>
    <w:uiPriority w:val="99"/>
    <w:semiHidden/>
    <w:rsid w:val="00344A81"/>
  </w:style>
  <w:style w:type="paragraph" w:customStyle="1" w:styleId="graphtable">
    <w:name w:val="graph&amp;table"/>
    <w:basedOn w:val="a3"/>
    <w:next w:val="ae"/>
    <w:rsid w:val="00344A81"/>
    <w:pPr>
      <w:widowControl w:val="0"/>
      <w:spacing w:before="20" w:after="20"/>
      <w:jc w:val="both"/>
    </w:pPr>
    <w:rPr>
      <w:rFonts w:ascii="Arial" w:hAnsi="Arial"/>
      <w:spacing w:val="-5"/>
      <w:sz w:val="21"/>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3F76"/>
    <w:pPr>
      <w:spacing w:after="0" w:line="240" w:lineRule="auto"/>
      <w:jc w:val="center"/>
    </w:pPr>
    <w:rPr>
      <w:rFonts w:ascii="Times New Roman" w:eastAsia="Times New Roman" w:hAnsi="Times New Roman" w:cs="Times New Roman"/>
      <w:sz w:val="28"/>
      <w:szCs w:val="20"/>
      <w:lang w:val="ro-RO" w:eastAsia="ru-RU"/>
    </w:rPr>
  </w:style>
  <w:style w:type="character" w:customStyle="1" w:styleId="a4">
    <w:name w:val="Основной текст Знак"/>
    <w:basedOn w:val="a0"/>
    <w:link w:val="a3"/>
    <w:rsid w:val="00E13F76"/>
    <w:rPr>
      <w:rFonts w:ascii="Times New Roman" w:eastAsia="Times New Roman" w:hAnsi="Times New Roman" w:cs="Times New Roman"/>
      <w:sz w:val="28"/>
      <w:szCs w:val="20"/>
      <w:lang w:val="ro-RO" w:eastAsia="ru-RU"/>
    </w:rPr>
  </w:style>
  <w:style w:type="paragraph" w:customStyle="1" w:styleId="CharChar">
    <w:name w:val="Знак Знак Char Char"/>
    <w:basedOn w:val="a"/>
    <w:rsid w:val="00E13F76"/>
    <w:pPr>
      <w:spacing w:after="160" w:line="240" w:lineRule="exact"/>
    </w:pPr>
    <w:rPr>
      <w:rFonts w:ascii="Arial" w:eastAsia="Batang" w:hAnsi="Arial" w:cs="Arial"/>
      <w:sz w:val="20"/>
      <w:szCs w:val="20"/>
    </w:rPr>
  </w:style>
  <w:style w:type="paragraph" w:styleId="a5">
    <w:name w:val="footnote text"/>
    <w:basedOn w:val="a"/>
    <w:link w:val="a6"/>
    <w:semiHidden/>
    <w:rsid w:val="00E13F76"/>
    <w:pPr>
      <w:spacing w:after="0" w:line="240" w:lineRule="auto"/>
    </w:pPr>
    <w:rPr>
      <w:rFonts w:ascii="Times New Roman" w:eastAsia="Times New Roman" w:hAnsi="Times New Roman" w:cs="Times New Roman"/>
      <w:sz w:val="20"/>
      <w:szCs w:val="20"/>
      <w:lang w:val="ru-RU" w:eastAsia="ru-RU"/>
    </w:rPr>
  </w:style>
  <w:style w:type="character" w:customStyle="1" w:styleId="a6">
    <w:name w:val="Текст сноски Знак"/>
    <w:basedOn w:val="a0"/>
    <w:link w:val="a5"/>
    <w:semiHidden/>
    <w:rsid w:val="00E13F76"/>
    <w:rPr>
      <w:rFonts w:ascii="Times New Roman" w:eastAsia="Times New Roman" w:hAnsi="Times New Roman" w:cs="Times New Roman"/>
      <w:sz w:val="20"/>
      <w:szCs w:val="20"/>
      <w:lang w:val="ru-RU" w:eastAsia="ru-RU"/>
    </w:rPr>
  </w:style>
  <w:style w:type="character" w:styleId="a7">
    <w:name w:val="footnote reference"/>
    <w:basedOn w:val="a0"/>
    <w:semiHidden/>
    <w:rsid w:val="00E13F76"/>
    <w:rPr>
      <w:vertAlign w:val="superscript"/>
    </w:rPr>
  </w:style>
  <w:style w:type="paragraph" w:styleId="a8">
    <w:name w:val="List Paragraph"/>
    <w:basedOn w:val="a"/>
    <w:uiPriority w:val="34"/>
    <w:qFormat/>
    <w:rsid w:val="005C76C2"/>
    <w:pPr>
      <w:ind w:left="720"/>
      <w:contextualSpacing/>
    </w:pPr>
  </w:style>
  <w:style w:type="paragraph" w:customStyle="1" w:styleId="CharChar0">
    <w:name w:val="Знак Знак Char Char"/>
    <w:basedOn w:val="a"/>
    <w:rsid w:val="005D12AE"/>
    <w:pPr>
      <w:spacing w:after="160" w:line="240" w:lineRule="exact"/>
    </w:pPr>
    <w:rPr>
      <w:rFonts w:ascii="Arial" w:eastAsia="Batang" w:hAnsi="Arial" w:cs="Arial"/>
      <w:sz w:val="20"/>
      <w:szCs w:val="20"/>
    </w:rPr>
  </w:style>
  <w:style w:type="paragraph" w:styleId="a9">
    <w:name w:val="caption"/>
    <w:basedOn w:val="a"/>
    <w:next w:val="a"/>
    <w:qFormat/>
    <w:rsid w:val="005D12AE"/>
    <w:pPr>
      <w:spacing w:after="0" w:line="240" w:lineRule="auto"/>
    </w:pPr>
    <w:rPr>
      <w:rFonts w:ascii="Times New Roman" w:eastAsia="Times New Roman" w:hAnsi="Times New Roman" w:cs="Times New Roman"/>
      <w:b/>
      <w:bCs/>
      <w:sz w:val="20"/>
      <w:szCs w:val="20"/>
      <w:lang w:val="ru-RU" w:eastAsia="ru-RU"/>
    </w:rPr>
  </w:style>
  <w:style w:type="paragraph" w:styleId="aa">
    <w:name w:val="No Spacing"/>
    <w:link w:val="ab"/>
    <w:uiPriority w:val="1"/>
    <w:qFormat/>
    <w:rsid w:val="00344A81"/>
    <w:pPr>
      <w:spacing w:after="0" w:line="240" w:lineRule="auto"/>
    </w:pPr>
    <w:rPr>
      <w:rFonts w:eastAsiaTheme="minorEastAsia"/>
    </w:rPr>
  </w:style>
  <w:style w:type="character" w:customStyle="1" w:styleId="ab">
    <w:name w:val="Без интервала Знак"/>
    <w:basedOn w:val="a0"/>
    <w:link w:val="aa"/>
    <w:uiPriority w:val="1"/>
    <w:rsid w:val="00344A81"/>
    <w:rPr>
      <w:rFonts w:eastAsiaTheme="minorEastAsia"/>
    </w:rPr>
  </w:style>
  <w:style w:type="paragraph" w:styleId="ac">
    <w:name w:val="Balloon Text"/>
    <w:basedOn w:val="a"/>
    <w:link w:val="ad"/>
    <w:uiPriority w:val="99"/>
    <w:semiHidden/>
    <w:unhideWhenUsed/>
    <w:rsid w:val="00344A8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44A81"/>
    <w:rPr>
      <w:rFonts w:ascii="Tahoma" w:hAnsi="Tahoma" w:cs="Tahoma"/>
      <w:sz w:val="16"/>
      <w:szCs w:val="16"/>
    </w:rPr>
  </w:style>
  <w:style w:type="paragraph" w:styleId="ae">
    <w:name w:val="Body Text Indent"/>
    <w:basedOn w:val="a"/>
    <w:link w:val="af"/>
    <w:uiPriority w:val="99"/>
    <w:semiHidden/>
    <w:unhideWhenUsed/>
    <w:rsid w:val="00344A81"/>
    <w:pPr>
      <w:spacing w:after="120"/>
      <w:ind w:left="283"/>
    </w:pPr>
  </w:style>
  <w:style w:type="character" w:customStyle="1" w:styleId="af">
    <w:name w:val="Основной текст с отступом Знак"/>
    <w:basedOn w:val="a0"/>
    <w:link w:val="ae"/>
    <w:uiPriority w:val="99"/>
    <w:semiHidden/>
    <w:rsid w:val="00344A81"/>
  </w:style>
  <w:style w:type="paragraph" w:customStyle="1" w:styleId="graphtable">
    <w:name w:val="graph&amp;table"/>
    <w:basedOn w:val="a3"/>
    <w:next w:val="ae"/>
    <w:rsid w:val="00344A81"/>
    <w:pPr>
      <w:widowControl w:val="0"/>
      <w:spacing w:before="20" w:after="20"/>
      <w:jc w:val="both"/>
    </w:pPr>
    <w:rPr>
      <w:rFonts w:ascii="Arial" w:hAnsi="Arial"/>
      <w:spacing w:val="-5"/>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89267">
      <w:bodyDiv w:val="1"/>
      <w:marLeft w:val="0"/>
      <w:marRight w:val="0"/>
      <w:marTop w:val="0"/>
      <w:marBottom w:val="0"/>
      <w:divBdr>
        <w:top w:val="none" w:sz="0" w:space="0" w:color="auto"/>
        <w:left w:val="none" w:sz="0" w:space="0" w:color="auto"/>
        <w:bottom w:val="none" w:sz="0" w:space="0" w:color="auto"/>
        <w:right w:val="none" w:sz="0" w:space="0" w:color="auto"/>
      </w:divBdr>
    </w:div>
    <w:div w:id="109039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190B4-1145-4927-A62F-88E9971EC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1542</Words>
  <Characters>8796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Notă informativăSĂRĂCIA ÎN REPUBLICA MOLDOVA 2014</vt:lpstr>
      <vt:lpstr/>
    </vt:vector>
  </TitlesOfParts>
  <Company>SPecialiST RePack</Company>
  <LinksUpToDate>false</LinksUpToDate>
  <CharactersWithSpaces>10318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informativăSĂRĂCIA ÎN REPUBLICA MOLDOVA 2014</dc:title>
  <dc:creator>Cristian</dc:creator>
  <cp:lastModifiedBy>Cristian</cp:lastModifiedBy>
  <cp:revision>2</cp:revision>
  <dcterms:created xsi:type="dcterms:W3CDTF">2016-12-01T18:24:00Z</dcterms:created>
  <dcterms:modified xsi:type="dcterms:W3CDTF">2016-12-01T18:24:00Z</dcterms:modified>
</cp:coreProperties>
</file>