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9D" w:rsidRPr="00BC1BE2" w:rsidRDefault="00DB729D" w:rsidP="00DB729D">
      <w:pPr>
        <w:pStyle w:val="a4"/>
        <w:ind w:left="1080"/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BC1BE2">
        <w:rPr>
          <w:rFonts w:ascii="Times New Roman" w:hAnsi="Times New Roman"/>
          <w:b/>
          <w:sz w:val="22"/>
          <w:szCs w:val="22"/>
          <w:lang w:val="ro-RO"/>
        </w:rPr>
        <w:t>NOTĂ INFORMATIVĂ</w:t>
      </w:r>
    </w:p>
    <w:p w:rsidR="00DB729D" w:rsidRPr="00BC1BE2" w:rsidRDefault="00DB729D" w:rsidP="00DB729D">
      <w:pPr>
        <w:pStyle w:val="a4"/>
        <w:ind w:left="1080"/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BC1BE2">
        <w:rPr>
          <w:rFonts w:ascii="Times New Roman" w:hAnsi="Times New Roman"/>
          <w:b/>
          <w:sz w:val="22"/>
          <w:szCs w:val="22"/>
          <w:lang w:val="ro-RO"/>
        </w:rPr>
        <w:t>privind relaţiile comercial-economice între</w:t>
      </w:r>
    </w:p>
    <w:p w:rsidR="00DB729D" w:rsidRPr="00BC1BE2" w:rsidRDefault="00DB729D" w:rsidP="00DB729D">
      <w:pPr>
        <w:pStyle w:val="a4"/>
        <w:ind w:left="1080"/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BC1BE2">
        <w:rPr>
          <w:rFonts w:ascii="Times New Roman" w:hAnsi="Times New Roman"/>
          <w:b/>
          <w:sz w:val="22"/>
          <w:szCs w:val="22"/>
          <w:lang w:val="ro-RO"/>
        </w:rPr>
        <w:t>Republica Moldova şi Republica Polonă pentru anul 2014</w:t>
      </w:r>
    </w:p>
    <w:p w:rsidR="00DB729D" w:rsidRPr="00BC1BE2" w:rsidRDefault="00DB729D" w:rsidP="00DB729D">
      <w:pPr>
        <w:pStyle w:val="a8"/>
        <w:ind w:left="1080"/>
        <w:jc w:val="both"/>
        <w:rPr>
          <w:b/>
          <w:sz w:val="22"/>
          <w:szCs w:val="22"/>
          <w:lang w:val="ro-RO"/>
        </w:rPr>
      </w:pPr>
    </w:p>
    <w:p w:rsidR="00DB729D" w:rsidRPr="00BC1BE2" w:rsidRDefault="00180D53" w:rsidP="00180D53">
      <w:pPr>
        <w:pStyle w:val="1"/>
        <w:spacing w:line="360" w:lineRule="auto"/>
        <w:ind w:firstLine="0"/>
        <w:rPr>
          <w:b/>
          <w:sz w:val="22"/>
          <w:szCs w:val="22"/>
          <w:u w:val="single"/>
        </w:rPr>
      </w:pPr>
      <w:r w:rsidRPr="00BC1BE2">
        <w:rPr>
          <w:b/>
          <w:sz w:val="22"/>
          <w:szCs w:val="22"/>
          <w:u w:val="single"/>
        </w:rPr>
        <w:t>CADRUL JURIDIC</w:t>
      </w:r>
    </w:p>
    <w:p w:rsidR="00DB729D" w:rsidRPr="00BC1BE2" w:rsidRDefault="00DB729D" w:rsidP="00DB729D">
      <w:pPr>
        <w:pStyle w:val="a6"/>
        <w:ind w:firstLine="0"/>
        <w:rPr>
          <w:sz w:val="22"/>
          <w:szCs w:val="22"/>
        </w:rPr>
      </w:pPr>
      <w:r w:rsidRPr="00BC1BE2">
        <w:rPr>
          <w:noProof/>
          <w:sz w:val="22"/>
          <w:szCs w:val="22"/>
        </w:rPr>
        <w:t xml:space="preserve">Cadrul juridic al relaţiilor bilaterale este destul de avansat, între ţările noastre fiind semnate </w:t>
      </w:r>
      <w:r w:rsidRPr="00BC1BE2">
        <w:rPr>
          <w:b/>
          <w:noProof/>
          <w:sz w:val="22"/>
          <w:szCs w:val="22"/>
        </w:rPr>
        <w:t>39</w:t>
      </w:r>
      <w:r w:rsidRPr="00BC1BE2">
        <w:rPr>
          <w:noProof/>
          <w:sz w:val="22"/>
          <w:szCs w:val="22"/>
        </w:rPr>
        <w:t xml:space="preserve"> de acorduri. Pînă </w:t>
      </w:r>
      <w:r w:rsidRPr="00BC1BE2">
        <w:rPr>
          <w:sz w:val="22"/>
          <w:szCs w:val="22"/>
        </w:rPr>
        <w:t xml:space="preserve">la momentul actual între Republica Moldova şi Republica </w:t>
      </w:r>
      <w:r w:rsidRPr="00BC1BE2">
        <w:rPr>
          <w:color w:val="000000"/>
          <w:sz w:val="22"/>
          <w:szCs w:val="22"/>
        </w:rPr>
        <w:t xml:space="preserve">Polonă </w:t>
      </w:r>
      <w:r w:rsidRPr="00BC1BE2">
        <w:rPr>
          <w:sz w:val="22"/>
          <w:szCs w:val="22"/>
        </w:rPr>
        <w:t>au fost semnate un şir de Acorduri cu caracter economic, cele mai importante sunt:</w:t>
      </w:r>
    </w:p>
    <w:p w:rsidR="00DB729D" w:rsidRPr="00BC1BE2" w:rsidRDefault="00DB729D" w:rsidP="00DB729D">
      <w:pPr>
        <w:pStyle w:val="a6"/>
        <w:ind w:left="1080" w:firstLine="0"/>
        <w:rPr>
          <w:sz w:val="22"/>
          <w:szCs w:val="22"/>
        </w:rPr>
      </w:pPr>
      <w:r w:rsidRPr="00BC1BE2">
        <w:rPr>
          <w:sz w:val="22"/>
          <w:szCs w:val="22"/>
        </w:rPr>
        <w:t xml:space="preserve"> </w:t>
      </w:r>
    </w:p>
    <w:p w:rsidR="00DB729D" w:rsidRPr="00BC1BE2" w:rsidRDefault="00DB729D" w:rsidP="00DB729D">
      <w:pPr>
        <w:pStyle w:val="2"/>
        <w:spacing w:line="240" w:lineRule="auto"/>
        <w:ind w:left="1080"/>
        <w:jc w:val="center"/>
        <w:rPr>
          <w:b/>
          <w:sz w:val="22"/>
          <w:szCs w:val="22"/>
          <w:lang w:val="ro-RO"/>
        </w:rPr>
      </w:pPr>
      <w:r w:rsidRPr="00BC1BE2">
        <w:rPr>
          <w:b/>
          <w:sz w:val="22"/>
          <w:szCs w:val="22"/>
          <w:lang w:val="ro-RO"/>
        </w:rPr>
        <w:t>Principalele acorduri cu caracter economic</w:t>
      </w: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470"/>
        <w:gridCol w:w="6148"/>
        <w:gridCol w:w="1497"/>
        <w:gridCol w:w="1476"/>
      </w:tblGrid>
      <w:tr w:rsidR="00DB729D" w:rsidRPr="00BC1BE2" w:rsidTr="00E923B1">
        <w:trPr>
          <w:trHeight w:val="4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ind w:left="-64" w:right="-107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C1BE2">
              <w:rPr>
                <w:b/>
                <w:bCs/>
                <w:sz w:val="22"/>
                <w:szCs w:val="22"/>
                <w:lang w:val="ro-RO"/>
              </w:rPr>
              <w:t>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C1BE2">
              <w:rPr>
                <w:b/>
                <w:bCs/>
                <w:sz w:val="22"/>
                <w:szCs w:val="22"/>
                <w:lang w:val="ro-RO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C1BE2">
              <w:rPr>
                <w:b/>
                <w:bCs/>
                <w:sz w:val="22"/>
                <w:szCs w:val="22"/>
                <w:lang w:val="ro-RO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C1BE2">
              <w:rPr>
                <w:b/>
                <w:bCs/>
                <w:sz w:val="22"/>
                <w:szCs w:val="22"/>
                <w:lang w:val="ro-RO"/>
              </w:rPr>
              <w:t>Intrarea în vigoare</w:t>
            </w:r>
          </w:p>
        </w:tc>
      </w:tr>
      <w:tr w:rsidR="00DB729D" w:rsidRPr="00BC1BE2" w:rsidTr="00E923B1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D" w:rsidRPr="00BC1BE2" w:rsidRDefault="00DB729D" w:rsidP="00E923B1">
            <w:pPr>
              <w:ind w:left="-64" w:right="-107"/>
              <w:jc w:val="center"/>
              <w:rPr>
                <w:sz w:val="22"/>
                <w:szCs w:val="22"/>
                <w:lang w:val="ro-RO"/>
              </w:rPr>
            </w:pPr>
            <w:r w:rsidRPr="00BC1BE2">
              <w:rPr>
                <w:sz w:val="22"/>
                <w:szCs w:val="22"/>
                <w:lang w:val="ro-RO"/>
              </w:rPr>
              <w:t> 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D" w:rsidRPr="00BC1BE2" w:rsidRDefault="00DB729D" w:rsidP="00E923B1">
            <w:pPr>
              <w:jc w:val="both"/>
              <w:rPr>
                <w:rFonts w:eastAsia="Arial Unicode MS"/>
                <w:noProof/>
                <w:sz w:val="22"/>
                <w:szCs w:val="22"/>
                <w:lang w:val="ro-RO"/>
              </w:rPr>
            </w:pPr>
            <w:r w:rsidRPr="00BC1BE2">
              <w:rPr>
                <w:sz w:val="22"/>
                <w:szCs w:val="22"/>
                <w:lang w:val="ro-RO"/>
              </w:rPr>
              <w:t>Acord între Guvernul Republicii Moldova şi Guvernul Republicii Polonia cu privire la comerţ şi colaborare economică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rFonts w:eastAsia="Arial Unicode MS"/>
                <w:noProof/>
                <w:sz w:val="22"/>
                <w:szCs w:val="22"/>
                <w:lang w:val="ro-RO"/>
              </w:rPr>
            </w:pPr>
            <w:proofErr w:type="spellStart"/>
            <w:r w:rsidRPr="00BC1BE2">
              <w:rPr>
                <w:sz w:val="22"/>
                <w:szCs w:val="22"/>
                <w:lang w:val="en-US"/>
              </w:rPr>
              <w:t>Varşovia</w:t>
            </w:r>
            <w:proofErr w:type="spellEnd"/>
            <w:r w:rsidRPr="00BC1BE2">
              <w:rPr>
                <w:sz w:val="22"/>
                <w:szCs w:val="22"/>
                <w:lang w:val="en-US"/>
              </w:rPr>
              <w:t>, 10.02.92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BC1BE2">
              <w:rPr>
                <w:sz w:val="22"/>
                <w:szCs w:val="22"/>
                <w:lang w:val="en-US"/>
              </w:rPr>
              <w:t>18.11.97</w:t>
            </w:r>
          </w:p>
        </w:tc>
      </w:tr>
      <w:tr w:rsidR="00DB729D" w:rsidRPr="00BC1BE2" w:rsidTr="00E923B1">
        <w:trPr>
          <w:trHeight w:val="6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D" w:rsidRPr="00BC1BE2" w:rsidRDefault="00DB729D" w:rsidP="00E923B1">
            <w:pPr>
              <w:ind w:left="-64" w:right="-107"/>
              <w:jc w:val="center"/>
              <w:rPr>
                <w:sz w:val="22"/>
                <w:szCs w:val="22"/>
                <w:lang w:val="ro-RO"/>
              </w:rPr>
            </w:pPr>
            <w:r w:rsidRPr="00BC1BE2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29D" w:rsidRPr="00BC1BE2" w:rsidRDefault="00DB729D" w:rsidP="00E923B1">
            <w:pPr>
              <w:jc w:val="both"/>
              <w:rPr>
                <w:rFonts w:eastAsia="Arial Unicode MS"/>
                <w:noProof/>
                <w:sz w:val="22"/>
                <w:szCs w:val="22"/>
                <w:lang w:val="ro-RO"/>
              </w:rPr>
            </w:pPr>
            <w:r w:rsidRPr="00BC1BE2">
              <w:rPr>
                <w:sz w:val="22"/>
                <w:szCs w:val="22"/>
                <w:lang w:val="ro-RO"/>
              </w:rPr>
              <w:t>Convenţie între Republica Moldova şi Republica Polonia privind evitarea dublei impuneri pe venit şi proprietate şi prevenirea evaziunii fiscale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rFonts w:eastAsia="Arial Unicode MS"/>
                <w:noProof/>
                <w:sz w:val="22"/>
                <w:szCs w:val="22"/>
                <w:lang w:val="ro-RO"/>
              </w:rPr>
            </w:pPr>
            <w:proofErr w:type="spellStart"/>
            <w:r w:rsidRPr="00BC1BE2">
              <w:rPr>
                <w:sz w:val="22"/>
                <w:szCs w:val="22"/>
                <w:lang w:val="en-US"/>
              </w:rPr>
              <w:t>Varşovia</w:t>
            </w:r>
            <w:proofErr w:type="spellEnd"/>
            <w:r w:rsidRPr="00BC1BE2">
              <w:rPr>
                <w:sz w:val="22"/>
                <w:szCs w:val="22"/>
                <w:lang w:val="en-US"/>
              </w:rPr>
              <w:t>, 15.11.94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BC1BE2">
              <w:rPr>
                <w:sz w:val="22"/>
                <w:szCs w:val="22"/>
                <w:lang w:val="en-US"/>
              </w:rPr>
              <w:t>27.10.95</w:t>
            </w:r>
          </w:p>
        </w:tc>
      </w:tr>
      <w:tr w:rsidR="00DB729D" w:rsidRPr="00BC1BE2" w:rsidTr="00E923B1">
        <w:trPr>
          <w:trHeight w:val="6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D" w:rsidRPr="00BC1BE2" w:rsidRDefault="00DB729D" w:rsidP="00E923B1">
            <w:pPr>
              <w:ind w:left="-64" w:right="-107"/>
              <w:jc w:val="center"/>
              <w:rPr>
                <w:sz w:val="22"/>
                <w:szCs w:val="22"/>
                <w:lang w:val="ro-RO"/>
              </w:rPr>
            </w:pPr>
            <w:r w:rsidRPr="00BC1BE2">
              <w:rPr>
                <w:sz w:val="22"/>
                <w:szCs w:val="22"/>
                <w:lang w:val="ro-RO"/>
              </w:rPr>
              <w:t> 3.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29D" w:rsidRPr="00BC1BE2" w:rsidRDefault="00DB729D" w:rsidP="00E923B1">
            <w:pPr>
              <w:jc w:val="both"/>
              <w:rPr>
                <w:rFonts w:eastAsia="Arial Unicode MS"/>
                <w:noProof/>
                <w:sz w:val="22"/>
                <w:szCs w:val="22"/>
                <w:lang w:val="ro-RO"/>
              </w:rPr>
            </w:pPr>
            <w:r w:rsidRPr="00BC1BE2">
              <w:rPr>
                <w:sz w:val="22"/>
                <w:szCs w:val="22"/>
                <w:lang w:val="ro-RO"/>
              </w:rPr>
              <w:t xml:space="preserve">Acord între Guvernul Republicii Moldova şi Guvernul Republicii Polonia privind promovarea şi protejarea reciprocă a investiţiilor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rFonts w:eastAsia="Arial Unicode MS"/>
                <w:noProof/>
                <w:sz w:val="22"/>
                <w:szCs w:val="22"/>
                <w:lang w:val="ro-RO"/>
              </w:rPr>
            </w:pPr>
            <w:proofErr w:type="spellStart"/>
            <w:r w:rsidRPr="00BC1BE2">
              <w:rPr>
                <w:sz w:val="22"/>
                <w:szCs w:val="22"/>
                <w:lang w:val="en-US"/>
              </w:rPr>
              <w:t>Varşovia</w:t>
            </w:r>
            <w:proofErr w:type="spellEnd"/>
            <w:r w:rsidRPr="00BC1BE2">
              <w:rPr>
                <w:sz w:val="22"/>
                <w:szCs w:val="22"/>
                <w:lang w:val="en-US"/>
              </w:rPr>
              <w:t>, 15.11.94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9D" w:rsidRPr="00BC1BE2" w:rsidRDefault="00DB729D" w:rsidP="00E923B1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BC1BE2">
              <w:rPr>
                <w:sz w:val="22"/>
                <w:szCs w:val="22"/>
                <w:lang w:val="en-US"/>
              </w:rPr>
              <w:t>27.07.95</w:t>
            </w:r>
          </w:p>
        </w:tc>
      </w:tr>
    </w:tbl>
    <w:p w:rsidR="00180D53" w:rsidRPr="00BC1BE2" w:rsidRDefault="00180D53" w:rsidP="00180D53">
      <w:pPr>
        <w:rPr>
          <w:b/>
          <w:i/>
          <w:sz w:val="22"/>
          <w:szCs w:val="22"/>
          <w:u w:val="single"/>
          <w:lang w:val="ro-RO"/>
        </w:rPr>
      </w:pPr>
    </w:p>
    <w:p w:rsidR="00DB729D" w:rsidRPr="00BC1BE2" w:rsidRDefault="00180D53" w:rsidP="00180D53">
      <w:pPr>
        <w:rPr>
          <w:b/>
          <w:sz w:val="22"/>
          <w:szCs w:val="22"/>
          <w:u w:val="single"/>
          <w:lang w:val="ro-RO"/>
        </w:rPr>
      </w:pPr>
      <w:r w:rsidRPr="00BC1BE2">
        <w:rPr>
          <w:b/>
          <w:sz w:val="22"/>
          <w:szCs w:val="22"/>
          <w:u w:val="single"/>
          <w:lang w:val="ro-RO"/>
        </w:rPr>
        <w:t>COMERŢUL BILATERAL</w:t>
      </w:r>
    </w:p>
    <w:p w:rsidR="00DB729D" w:rsidRPr="00BC1BE2" w:rsidRDefault="00DB729D" w:rsidP="00DB729D">
      <w:pPr>
        <w:pStyle w:val="a8"/>
        <w:ind w:left="1080"/>
        <w:jc w:val="both"/>
        <w:rPr>
          <w:b/>
          <w:i/>
          <w:sz w:val="22"/>
          <w:szCs w:val="22"/>
          <w:u w:val="single"/>
          <w:lang w:val="ro-RO"/>
        </w:rPr>
      </w:pPr>
    </w:p>
    <w:p w:rsidR="00DB729D" w:rsidRPr="00BC1BE2" w:rsidRDefault="00DB729D" w:rsidP="00DB729D">
      <w:pPr>
        <w:jc w:val="both"/>
        <w:rPr>
          <w:sz w:val="22"/>
          <w:szCs w:val="22"/>
          <w:lang w:val="ro-RO"/>
        </w:rPr>
      </w:pPr>
      <w:r w:rsidRPr="00BC1BE2">
        <w:rPr>
          <w:b/>
          <w:sz w:val="22"/>
          <w:szCs w:val="22"/>
          <w:lang w:val="ro-RO"/>
        </w:rPr>
        <w:t xml:space="preserve">Volumul comerţului exterior </w:t>
      </w:r>
      <w:r w:rsidRPr="00BC1BE2">
        <w:rPr>
          <w:sz w:val="22"/>
          <w:szCs w:val="22"/>
          <w:lang w:val="ro-RO"/>
        </w:rPr>
        <w:t>(fără a se ţine cont de activitatea agenţilor economici din partea stângă a Nistrului) al Republicii Moldova cu Republica Polonă în anul 201</w:t>
      </w:r>
      <w:r w:rsidR="0048092A" w:rsidRPr="00BC1BE2">
        <w:rPr>
          <w:sz w:val="22"/>
          <w:szCs w:val="22"/>
          <w:lang w:val="ro-RO"/>
        </w:rPr>
        <w:t>4</w:t>
      </w:r>
      <w:r w:rsidRPr="00BC1BE2">
        <w:rPr>
          <w:sz w:val="22"/>
          <w:szCs w:val="22"/>
          <w:lang w:val="ro-RO"/>
        </w:rPr>
        <w:t xml:space="preserve"> a înregistrat suma de </w:t>
      </w:r>
      <w:r w:rsidR="0048092A" w:rsidRPr="00BC1BE2">
        <w:rPr>
          <w:b/>
          <w:color w:val="000000"/>
          <w:sz w:val="22"/>
          <w:szCs w:val="22"/>
          <w:lang w:val="en-US"/>
        </w:rPr>
        <w:t>220,23</w:t>
      </w:r>
      <w:r w:rsidR="0048092A" w:rsidRPr="00BC1BE2">
        <w:rPr>
          <w:b/>
          <w:color w:val="000000"/>
          <w:sz w:val="22"/>
          <w:szCs w:val="22"/>
          <w:lang w:val="ro-RO"/>
        </w:rPr>
        <w:t xml:space="preserve"> </w:t>
      </w:r>
      <w:r w:rsidRPr="00BC1BE2">
        <w:rPr>
          <w:b/>
          <w:sz w:val="22"/>
          <w:szCs w:val="22"/>
          <w:lang w:val="ro-RO"/>
        </w:rPr>
        <w:t>mil. USD.</w:t>
      </w:r>
      <w:r w:rsidRPr="00BC1BE2">
        <w:rPr>
          <w:sz w:val="22"/>
          <w:szCs w:val="22"/>
          <w:lang w:val="ro-RO"/>
        </w:rPr>
        <w:t xml:space="preserve"> Comparativ cu anul 201</w:t>
      </w:r>
      <w:r w:rsidR="0048092A" w:rsidRPr="00BC1BE2">
        <w:rPr>
          <w:sz w:val="22"/>
          <w:szCs w:val="22"/>
          <w:lang w:val="ro-RO"/>
        </w:rPr>
        <w:t>3</w:t>
      </w:r>
      <w:r w:rsidRPr="00BC1BE2">
        <w:rPr>
          <w:sz w:val="22"/>
          <w:szCs w:val="22"/>
          <w:lang w:val="ro-RO"/>
        </w:rPr>
        <w:t xml:space="preserve">, volumul comerţului exterior </w:t>
      </w:r>
      <w:r w:rsidRPr="00BC1BE2">
        <w:rPr>
          <w:b/>
          <w:sz w:val="22"/>
          <w:szCs w:val="22"/>
          <w:lang w:val="ro-RO"/>
        </w:rPr>
        <w:t xml:space="preserve">s-a </w:t>
      </w:r>
      <w:r w:rsidR="000E3AB2" w:rsidRPr="00BC1BE2">
        <w:rPr>
          <w:b/>
          <w:sz w:val="22"/>
          <w:szCs w:val="22"/>
          <w:lang w:val="ro-RO"/>
        </w:rPr>
        <w:t>micşorat</w:t>
      </w:r>
      <w:r w:rsidRPr="00BC1BE2">
        <w:rPr>
          <w:b/>
          <w:sz w:val="22"/>
          <w:szCs w:val="22"/>
          <w:lang w:val="ro-RO"/>
        </w:rPr>
        <w:t xml:space="preserve"> cu </w:t>
      </w:r>
      <w:r w:rsidR="000E3AB2" w:rsidRPr="00BC1BE2">
        <w:rPr>
          <w:b/>
          <w:sz w:val="22"/>
          <w:szCs w:val="22"/>
          <w:lang w:val="en-US"/>
        </w:rPr>
        <w:t>3</w:t>
      </w:r>
      <w:r w:rsidRPr="00BC1BE2">
        <w:rPr>
          <w:b/>
          <w:sz w:val="22"/>
          <w:szCs w:val="22"/>
          <w:lang w:val="en-US"/>
        </w:rPr>
        <w:t>,</w:t>
      </w:r>
      <w:r w:rsidR="000E3AB2" w:rsidRPr="00BC1BE2">
        <w:rPr>
          <w:b/>
          <w:sz w:val="22"/>
          <w:szCs w:val="22"/>
          <w:lang w:val="en-US"/>
        </w:rPr>
        <w:t>41</w:t>
      </w:r>
      <w:r w:rsidR="000E3AB2" w:rsidRPr="00BC1BE2">
        <w:rPr>
          <w:b/>
          <w:sz w:val="22"/>
          <w:szCs w:val="22"/>
          <w:lang w:val="ro-RO"/>
        </w:rPr>
        <w:t xml:space="preserve">%. </w:t>
      </w:r>
      <w:r w:rsidRPr="00BC1BE2">
        <w:rPr>
          <w:sz w:val="22"/>
          <w:szCs w:val="22"/>
          <w:lang w:val="ro-RO"/>
        </w:rPr>
        <w:t xml:space="preserve">După valoarea volumului schimburilor comerciale, înregistrat în perioada analizată, Polonia se situează </w:t>
      </w:r>
      <w:r w:rsidRPr="00BC1BE2">
        <w:rPr>
          <w:b/>
          <w:sz w:val="22"/>
          <w:szCs w:val="22"/>
          <w:lang w:val="ro-RO"/>
        </w:rPr>
        <w:t xml:space="preserve">pe locul </w:t>
      </w:r>
      <w:r w:rsidR="009D68C3" w:rsidRPr="00BC1BE2">
        <w:rPr>
          <w:b/>
          <w:sz w:val="22"/>
          <w:szCs w:val="22"/>
          <w:lang w:val="ro-RO"/>
        </w:rPr>
        <w:t>4</w:t>
      </w:r>
      <w:r w:rsidRPr="00BC1BE2">
        <w:rPr>
          <w:sz w:val="22"/>
          <w:szCs w:val="22"/>
          <w:lang w:val="ro-RO"/>
        </w:rPr>
        <w:t xml:space="preserve"> între partenerii cu care Republica Moldova întreţine relaţii comerciale</w:t>
      </w:r>
      <w:r w:rsidR="000E3AB2" w:rsidRPr="00BC1BE2">
        <w:rPr>
          <w:sz w:val="22"/>
          <w:szCs w:val="22"/>
          <w:lang w:val="ro-RO"/>
        </w:rPr>
        <w:t xml:space="preserve"> din Uniunea Europeană.</w:t>
      </w:r>
    </w:p>
    <w:p w:rsidR="00DB729D" w:rsidRPr="00BC1BE2" w:rsidRDefault="00DB729D" w:rsidP="00DB729D">
      <w:pPr>
        <w:jc w:val="both"/>
        <w:rPr>
          <w:sz w:val="22"/>
          <w:szCs w:val="22"/>
          <w:lang w:val="ro-RO"/>
        </w:rPr>
      </w:pPr>
    </w:p>
    <w:p w:rsidR="00DB729D" w:rsidRPr="00BC1BE2" w:rsidRDefault="00DB729D" w:rsidP="00DB729D">
      <w:pPr>
        <w:jc w:val="center"/>
        <w:rPr>
          <w:b/>
          <w:bCs/>
          <w:sz w:val="22"/>
          <w:szCs w:val="22"/>
          <w:lang w:val="ro-RO"/>
        </w:rPr>
      </w:pPr>
      <w:r w:rsidRPr="00BC1BE2">
        <w:rPr>
          <w:b/>
          <w:bCs/>
          <w:sz w:val="22"/>
          <w:szCs w:val="22"/>
          <w:lang w:val="ro-RO"/>
        </w:rPr>
        <w:t xml:space="preserve">Evoluţia schimburilor comerciale </w:t>
      </w:r>
    </w:p>
    <w:p w:rsidR="00DB729D" w:rsidRPr="00BC1BE2" w:rsidRDefault="00DB729D" w:rsidP="00DB729D">
      <w:pPr>
        <w:jc w:val="center"/>
        <w:rPr>
          <w:b/>
          <w:bCs/>
          <w:sz w:val="22"/>
          <w:szCs w:val="22"/>
          <w:lang w:val="ro-RO"/>
        </w:rPr>
      </w:pPr>
      <w:r w:rsidRPr="00BC1BE2">
        <w:rPr>
          <w:b/>
          <w:bCs/>
          <w:sz w:val="22"/>
          <w:szCs w:val="22"/>
          <w:lang w:val="ro-RO"/>
        </w:rPr>
        <w:t xml:space="preserve">Republica Moldova şi Republica Polonia </w:t>
      </w:r>
    </w:p>
    <w:p w:rsidR="00DB729D" w:rsidRPr="00BC1BE2" w:rsidRDefault="00DB729D" w:rsidP="00DB729D">
      <w:pPr>
        <w:ind w:left="7080" w:firstLine="708"/>
        <w:jc w:val="center"/>
        <w:rPr>
          <w:sz w:val="22"/>
          <w:szCs w:val="22"/>
          <w:lang w:val="ro-RO"/>
        </w:rPr>
      </w:pPr>
      <w:r w:rsidRPr="00BC1BE2">
        <w:rPr>
          <w:bCs/>
          <w:sz w:val="22"/>
          <w:szCs w:val="22"/>
          <w:lang w:val="ro-RO"/>
        </w:rPr>
        <w:t>mil. USD</w:t>
      </w:r>
    </w:p>
    <w:tbl>
      <w:tblPr>
        <w:tblW w:w="7804" w:type="dxa"/>
        <w:jc w:val="center"/>
        <w:tblInd w:w="-8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9"/>
        <w:gridCol w:w="2180"/>
        <w:gridCol w:w="2180"/>
        <w:gridCol w:w="1575"/>
      </w:tblGrid>
      <w:tr w:rsidR="0048092A" w:rsidRPr="00BC1BE2" w:rsidTr="00DB729D">
        <w:trPr>
          <w:jc w:val="center"/>
        </w:trPr>
        <w:tc>
          <w:tcPr>
            <w:tcW w:w="1869" w:type="dxa"/>
          </w:tcPr>
          <w:p w:rsidR="00DB729D" w:rsidRPr="00BC1BE2" w:rsidRDefault="00DB729D" w:rsidP="00E923B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80" w:type="dxa"/>
          </w:tcPr>
          <w:p w:rsidR="00DB729D" w:rsidRPr="00BC1BE2" w:rsidRDefault="00DB729D" w:rsidP="00E923B1">
            <w:pPr>
              <w:jc w:val="center"/>
              <w:rPr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>2013</w:t>
            </w:r>
          </w:p>
        </w:tc>
        <w:tc>
          <w:tcPr>
            <w:tcW w:w="2180" w:type="dxa"/>
            <w:tcBorders>
              <w:top w:val="single" w:sz="6" w:space="0" w:color="auto"/>
              <w:bottom w:val="single" w:sz="6" w:space="0" w:color="808080"/>
            </w:tcBorders>
            <w:shd w:val="pct25" w:color="auto" w:fill="auto"/>
          </w:tcPr>
          <w:p w:rsidR="00DB729D" w:rsidRPr="00BC1BE2" w:rsidRDefault="00DB729D" w:rsidP="00E923B1">
            <w:pPr>
              <w:jc w:val="center"/>
              <w:rPr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>2014</w:t>
            </w:r>
          </w:p>
        </w:tc>
        <w:tc>
          <w:tcPr>
            <w:tcW w:w="1575" w:type="dxa"/>
          </w:tcPr>
          <w:p w:rsidR="00DB729D" w:rsidRPr="00BC1BE2" w:rsidRDefault="00DB729D" w:rsidP="00E923B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>Dinamica</w:t>
            </w:r>
          </w:p>
          <w:p w:rsidR="00DB729D" w:rsidRPr="00BC1BE2" w:rsidRDefault="00DB729D" w:rsidP="00DB729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>2014/2013 %</w:t>
            </w:r>
          </w:p>
        </w:tc>
      </w:tr>
      <w:tr w:rsidR="0048092A" w:rsidRPr="00BC1BE2" w:rsidTr="00DB729D">
        <w:trPr>
          <w:jc w:val="center"/>
        </w:trPr>
        <w:tc>
          <w:tcPr>
            <w:tcW w:w="1869" w:type="dxa"/>
          </w:tcPr>
          <w:p w:rsidR="00DB729D" w:rsidRPr="00BC1BE2" w:rsidRDefault="00DB729D" w:rsidP="00E923B1">
            <w:pPr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180" w:type="dxa"/>
            <w:vAlign w:val="center"/>
          </w:tcPr>
          <w:p w:rsidR="00DB729D" w:rsidRPr="00BC1BE2" w:rsidRDefault="00DB729D" w:rsidP="00DB729D">
            <w:pPr>
              <w:jc w:val="center"/>
              <w:rPr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color w:val="000000" w:themeColor="text1"/>
                <w:sz w:val="22"/>
                <w:szCs w:val="22"/>
              </w:rPr>
              <w:t>228</w:t>
            </w:r>
            <w:r w:rsidR="0048092A" w:rsidRPr="00BC1BE2">
              <w:rPr>
                <w:color w:val="000000" w:themeColor="text1"/>
                <w:sz w:val="22"/>
                <w:szCs w:val="22"/>
                <w:lang w:val="ro-RO"/>
              </w:rPr>
              <w:t>,00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  <w:vAlign w:val="center"/>
          </w:tcPr>
          <w:p w:rsidR="00DB729D" w:rsidRPr="00BC1BE2" w:rsidRDefault="00DB729D" w:rsidP="00DB729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C1BE2">
              <w:rPr>
                <w:b/>
                <w:color w:val="000000" w:themeColor="text1"/>
                <w:sz w:val="22"/>
                <w:szCs w:val="22"/>
              </w:rPr>
              <w:t>220,23</w:t>
            </w:r>
          </w:p>
        </w:tc>
        <w:tc>
          <w:tcPr>
            <w:tcW w:w="1575" w:type="dxa"/>
            <w:vAlign w:val="center"/>
          </w:tcPr>
          <w:p w:rsidR="00DB729D" w:rsidRPr="00BC1BE2" w:rsidRDefault="0048092A" w:rsidP="00DB729D">
            <w:pPr>
              <w:jc w:val="center"/>
              <w:rPr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color w:val="000000" w:themeColor="text1"/>
                <w:sz w:val="22"/>
                <w:szCs w:val="22"/>
                <w:lang w:val="ro-RO"/>
              </w:rPr>
              <w:t>96,59%</w:t>
            </w:r>
          </w:p>
        </w:tc>
      </w:tr>
      <w:tr w:rsidR="0048092A" w:rsidRPr="00BC1BE2" w:rsidTr="00DB729D">
        <w:trPr>
          <w:trHeight w:val="338"/>
          <w:jc w:val="center"/>
        </w:trPr>
        <w:tc>
          <w:tcPr>
            <w:tcW w:w="1869" w:type="dxa"/>
          </w:tcPr>
          <w:p w:rsidR="00DB729D" w:rsidRPr="00BC1BE2" w:rsidRDefault="00DB729D" w:rsidP="00E923B1">
            <w:pPr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>Export</w:t>
            </w:r>
          </w:p>
        </w:tc>
        <w:tc>
          <w:tcPr>
            <w:tcW w:w="2180" w:type="dxa"/>
            <w:vAlign w:val="center"/>
          </w:tcPr>
          <w:p w:rsidR="00DB729D" w:rsidRPr="00BC1BE2" w:rsidRDefault="00DB729D" w:rsidP="00DB72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1BE2">
              <w:rPr>
                <w:color w:val="000000" w:themeColor="text1"/>
                <w:sz w:val="22"/>
                <w:szCs w:val="22"/>
                <w:lang w:val="ro-RO"/>
              </w:rPr>
              <w:t>85,27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  <w:vAlign w:val="center"/>
          </w:tcPr>
          <w:p w:rsidR="00DB729D" w:rsidRPr="00BC1BE2" w:rsidRDefault="00DB729D" w:rsidP="00DB729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C1BE2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64,43</w:t>
            </w:r>
          </w:p>
        </w:tc>
        <w:tc>
          <w:tcPr>
            <w:tcW w:w="1575" w:type="dxa"/>
            <w:vAlign w:val="center"/>
          </w:tcPr>
          <w:p w:rsidR="00DB729D" w:rsidRPr="00BC1BE2" w:rsidRDefault="00DB729D" w:rsidP="00DB729D">
            <w:pPr>
              <w:jc w:val="center"/>
              <w:rPr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color w:val="000000" w:themeColor="text1"/>
                <w:sz w:val="22"/>
                <w:szCs w:val="22"/>
              </w:rPr>
              <w:t>75,55</w:t>
            </w:r>
            <w:r w:rsidR="0048092A" w:rsidRPr="00BC1BE2">
              <w:rPr>
                <w:color w:val="000000" w:themeColor="text1"/>
                <w:sz w:val="22"/>
                <w:szCs w:val="22"/>
                <w:lang w:val="ro-RO"/>
              </w:rPr>
              <w:t>%</w:t>
            </w:r>
          </w:p>
        </w:tc>
      </w:tr>
      <w:tr w:rsidR="0048092A" w:rsidRPr="00BC1BE2" w:rsidTr="00DB729D">
        <w:trPr>
          <w:trHeight w:val="338"/>
          <w:jc w:val="center"/>
        </w:trPr>
        <w:tc>
          <w:tcPr>
            <w:tcW w:w="1869" w:type="dxa"/>
          </w:tcPr>
          <w:p w:rsidR="00DB729D" w:rsidRPr="00BC1BE2" w:rsidRDefault="00DB729D" w:rsidP="00E923B1">
            <w:pPr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 xml:space="preserve">Import </w:t>
            </w:r>
          </w:p>
        </w:tc>
        <w:tc>
          <w:tcPr>
            <w:tcW w:w="2180" w:type="dxa"/>
            <w:vAlign w:val="center"/>
          </w:tcPr>
          <w:p w:rsidR="00DB729D" w:rsidRPr="00BC1BE2" w:rsidRDefault="00DB729D" w:rsidP="00DB72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1BE2">
              <w:rPr>
                <w:color w:val="000000" w:themeColor="text1"/>
                <w:sz w:val="22"/>
                <w:szCs w:val="22"/>
                <w:lang w:val="ro-RO"/>
              </w:rPr>
              <w:t>142,73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  <w:vAlign w:val="center"/>
          </w:tcPr>
          <w:p w:rsidR="00DB729D" w:rsidRPr="00BC1BE2" w:rsidRDefault="00DB729D" w:rsidP="00DB729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C1BE2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155,8</w:t>
            </w:r>
          </w:p>
        </w:tc>
        <w:tc>
          <w:tcPr>
            <w:tcW w:w="1575" w:type="dxa"/>
            <w:vAlign w:val="center"/>
          </w:tcPr>
          <w:p w:rsidR="00DB729D" w:rsidRPr="00BC1BE2" w:rsidRDefault="00DB729D" w:rsidP="00DB729D">
            <w:pPr>
              <w:jc w:val="center"/>
              <w:rPr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color w:val="000000" w:themeColor="text1"/>
                <w:sz w:val="22"/>
                <w:szCs w:val="22"/>
              </w:rPr>
              <w:t>109,15</w:t>
            </w:r>
            <w:r w:rsidR="0048092A" w:rsidRPr="00BC1BE2">
              <w:rPr>
                <w:color w:val="000000" w:themeColor="text1"/>
                <w:sz w:val="22"/>
                <w:szCs w:val="22"/>
                <w:lang w:val="ro-RO"/>
              </w:rPr>
              <w:t>%</w:t>
            </w:r>
          </w:p>
        </w:tc>
      </w:tr>
      <w:tr w:rsidR="0048092A" w:rsidRPr="00BC1BE2" w:rsidTr="00DB729D">
        <w:trPr>
          <w:trHeight w:val="334"/>
          <w:jc w:val="center"/>
        </w:trPr>
        <w:tc>
          <w:tcPr>
            <w:tcW w:w="1869" w:type="dxa"/>
          </w:tcPr>
          <w:p w:rsidR="00DB729D" w:rsidRPr="00BC1BE2" w:rsidRDefault="00DB729D" w:rsidP="00E923B1">
            <w:pPr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color w:val="000000" w:themeColor="text1"/>
                <w:sz w:val="22"/>
                <w:szCs w:val="22"/>
                <w:lang w:val="ro-RO"/>
              </w:rPr>
              <w:t xml:space="preserve">Sold </w:t>
            </w:r>
          </w:p>
        </w:tc>
        <w:tc>
          <w:tcPr>
            <w:tcW w:w="2180" w:type="dxa"/>
            <w:vAlign w:val="center"/>
          </w:tcPr>
          <w:p w:rsidR="00DB729D" w:rsidRPr="00BC1BE2" w:rsidRDefault="00DB729D" w:rsidP="00DB72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1BE2">
              <w:rPr>
                <w:color w:val="000000" w:themeColor="text1"/>
                <w:sz w:val="22"/>
                <w:szCs w:val="22"/>
              </w:rPr>
              <w:t>-57,46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auto"/>
            </w:tcBorders>
            <w:shd w:val="pct25" w:color="auto" w:fill="auto"/>
            <w:vAlign w:val="center"/>
          </w:tcPr>
          <w:p w:rsidR="00DB729D" w:rsidRPr="00BC1BE2" w:rsidRDefault="00DB729D" w:rsidP="00DB729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C1BE2">
              <w:rPr>
                <w:b/>
                <w:color w:val="000000" w:themeColor="text1"/>
                <w:sz w:val="22"/>
                <w:szCs w:val="22"/>
              </w:rPr>
              <w:t>-91,37</w:t>
            </w:r>
          </w:p>
        </w:tc>
        <w:tc>
          <w:tcPr>
            <w:tcW w:w="1575" w:type="dxa"/>
            <w:vAlign w:val="center"/>
          </w:tcPr>
          <w:p w:rsidR="00DB729D" w:rsidRPr="00BC1BE2" w:rsidRDefault="00DB729D" w:rsidP="00DB729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84131" w:rsidRPr="00BC1BE2" w:rsidRDefault="00484131" w:rsidP="00484131">
      <w:pPr>
        <w:jc w:val="both"/>
        <w:rPr>
          <w:b/>
          <w:sz w:val="22"/>
          <w:szCs w:val="22"/>
          <w:u w:val="single"/>
          <w:lang w:val="ro-RO"/>
        </w:rPr>
      </w:pPr>
    </w:p>
    <w:p w:rsidR="00484131" w:rsidRPr="00BC1BE2" w:rsidRDefault="00484131" w:rsidP="00484131">
      <w:pPr>
        <w:jc w:val="both"/>
        <w:rPr>
          <w:sz w:val="22"/>
          <w:szCs w:val="22"/>
          <w:lang w:val="ro-RO"/>
        </w:rPr>
      </w:pPr>
      <w:r w:rsidRPr="00BC1BE2">
        <w:rPr>
          <w:b/>
          <w:sz w:val="22"/>
          <w:szCs w:val="22"/>
          <w:u w:val="single"/>
          <w:lang w:val="ro-RO"/>
        </w:rPr>
        <w:t>Soldul balanţei comerciale</w:t>
      </w:r>
      <w:r w:rsidRPr="00BC1BE2">
        <w:rPr>
          <w:b/>
          <w:sz w:val="22"/>
          <w:szCs w:val="22"/>
          <w:lang w:val="ro-RO"/>
        </w:rPr>
        <w:t xml:space="preserve"> </w:t>
      </w:r>
      <w:r w:rsidRPr="00BC1BE2">
        <w:rPr>
          <w:sz w:val="22"/>
          <w:szCs w:val="22"/>
          <w:lang w:val="ro-RO"/>
        </w:rPr>
        <w:t>înregistrat în anul 2014 a fost în favoarea Republicii Polone şi a constituit</w:t>
      </w:r>
      <w:r w:rsidRPr="00BC1BE2">
        <w:rPr>
          <w:b/>
          <w:sz w:val="22"/>
          <w:szCs w:val="22"/>
          <w:lang w:val="ro-RO"/>
        </w:rPr>
        <w:t xml:space="preserve"> </w:t>
      </w:r>
      <w:r w:rsidRPr="00BC1BE2">
        <w:rPr>
          <w:b/>
          <w:color w:val="000000" w:themeColor="text1"/>
          <w:sz w:val="22"/>
          <w:szCs w:val="22"/>
          <w:lang w:val="en-US"/>
        </w:rPr>
        <w:t>91,37</w:t>
      </w:r>
      <w:r w:rsidRPr="00BC1BE2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BC1BE2">
        <w:rPr>
          <w:b/>
          <w:sz w:val="22"/>
          <w:szCs w:val="22"/>
          <w:lang w:val="ro-RO"/>
        </w:rPr>
        <w:t>mil. USD.</w:t>
      </w:r>
      <w:r w:rsidRPr="00BC1BE2">
        <w:rPr>
          <w:sz w:val="22"/>
          <w:szCs w:val="22"/>
          <w:lang w:val="ro-RO"/>
        </w:rPr>
        <w:t xml:space="preserve"> </w:t>
      </w:r>
    </w:p>
    <w:p w:rsidR="00484131" w:rsidRPr="00BC1BE2" w:rsidRDefault="00484131" w:rsidP="00484131">
      <w:pPr>
        <w:jc w:val="both"/>
        <w:rPr>
          <w:b/>
          <w:sz w:val="22"/>
          <w:szCs w:val="22"/>
          <w:lang w:val="ro-RO"/>
        </w:rPr>
      </w:pPr>
    </w:p>
    <w:p w:rsidR="00484131" w:rsidRPr="00BC1BE2" w:rsidRDefault="00484131" w:rsidP="00484131">
      <w:pPr>
        <w:jc w:val="both"/>
        <w:rPr>
          <w:sz w:val="22"/>
          <w:szCs w:val="22"/>
          <w:lang w:val="ro-RO"/>
        </w:rPr>
      </w:pPr>
      <w:r w:rsidRPr="00BC1BE2">
        <w:rPr>
          <w:b/>
          <w:sz w:val="22"/>
          <w:szCs w:val="22"/>
          <w:u w:val="single"/>
          <w:lang w:val="ro-RO"/>
        </w:rPr>
        <w:t>Exportul</w:t>
      </w:r>
      <w:r w:rsidRPr="00BC1BE2">
        <w:rPr>
          <w:b/>
          <w:sz w:val="22"/>
          <w:szCs w:val="22"/>
          <w:lang w:val="ro-RO"/>
        </w:rPr>
        <w:t xml:space="preserve"> </w:t>
      </w:r>
      <w:r w:rsidRPr="00BC1BE2">
        <w:rPr>
          <w:sz w:val="22"/>
          <w:szCs w:val="22"/>
          <w:lang w:val="ro-RO"/>
        </w:rPr>
        <w:t>de mărfuri realizat în perioada analizată, a înregistrat suma de</w:t>
      </w:r>
      <w:r w:rsidRPr="00BC1BE2">
        <w:rPr>
          <w:b/>
          <w:sz w:val="22"/>
          <w:szCs w:val="22"/>
          <w:lang w:val="ro-RO"/>
        </w:rPr>
        <w:t xml:space="preserve"> 64,43 mil. USD, micşorîndu-se cu </w:t>
      </w:r>
      <w:r w:rsidRPr="00BC1BE2">
        <w:rPr>
          <w:b/>
          <w:sz w:val="22"/>
          <w:szCs w:val="22"/>
          <w:lang w:val="en-US"/>
        </w:rPr>
        <w:t>2</w:t>
      </w:r>
      <w:r w:rsidR="0076372E" w:rsidRPr="00BC1BE2">
        <w:rPr>
          <w:b/>
          <w:sz w:val="22"/>
          <w:szCs w:val="22"/>
          <w:lang w:val="en-US"/>
        </w:rPr>
        <w:t>4</w:t>
      </w:r>
      <w:r w:rsidRPr="00BC1BE2">
        <w:rPr>
          <w:b/>
          <w:sz w:val="22"/>
          <w:szCs w:val="22"/>
          <w:lang w:val="en-US"/>
        </w:rPr>
        <w:t>,45</w:t>
      </w:r>
      <w:r w:rsidRPr="00BC1BE2">
        <w:rPr>
          <w:b/>
          <w:sz w:val="22"/>
          <w:szCs w:val="22"/>
          <w:lang w:val="ro-RO"/>
        </w:rPr>
        <w:t xml:space="preserve">% </w:t>
      </w:r>
      <w:r w:rsidRPr="00BC1BE2">
        <w:rPr>
          <w:sz w:val="22"/>
          <w:szCs w:val="22"/>
          <w:lang w:val="ro-RO"/>
        </w:rPr>
        <w:t>faţă de anul precedent.</w:t>
      </w:r>
      <w:r w:rsidRPr="00BC1BE2">
        <w:rPr>
          <w:b/>
          <w:sz w:val="22"/>
          <w:szCs w:val="22"/>
          <w:lang w:val="ro-RO"/>
        </w:rPr>
        <w:t xml:space="preserve"> </w:t>
      </w:r>
      <w:r w:rsidRPr="00BC1BE2">
        <w:rPr>
          <w:sz w:val="22"/>
          <w:szCs w:val="22"/>
          <w:lang w:val="ro-RO"/>
        </w:rPr>
        <w:t xml:space="preserve">Polonia se situează pe locul </w:t>
      </w:r>
      <w:r w:rsidRPr="00BC1BE2">
        <w:rPr>
          <w:b/>
          <w:sz w:val="22"/>
          <w:szCs w:val="22"/>
          <w:lang w:val="ro-RO"/>
        </w:rPr>
        <w:t>5</w:t>
      </w:r>
      <w:r w:rsidRPr="00BC1BE2">
        <w:rPr>
          <w:sz w:val="22"/>
          <w:szCs w:val="22"/>
          <w:lang w:val="ro-RO"/>
        </w:rPr>
        <w:t xml:space="preserve"> în topul ţărilor din UE în care Republica Moldova efectuează exporturi, deţinînd o pondere de </w:t>
      </w:r>
      <w:r w:rsidRPr="00BC1BE2">
        <w:rPr>
          <w:b/>
          <w:sz w:val="22"/>
          <w:szCs w:val="22"/>
          <w:lang w:val="ro-RO"/>
        </w:rPr>
        <w:t>2,75%</w:t>
      </w:r>
      <w:r w:rsidRPr="00BC1BE2">
        <w:rPr>
          <w:sz w:val="22"/>
          <w:szCs w:val="22"/>
          <w:lang w:val="ro-RO"/>
        </w:rPr>
        <w:t xml:space="preserve"> în volumul total al exportului Republicii Moldova.</w:t>
      </w:r>
    </w:p>
    <w:p w:rsidR="00280AF9" w:rsidRPr="00BC1BE2" w:rsidRDefault="00280AF9" w:rsidP="00280AF9">
      <w:pPr>
        <w:jc w:val="center"/>
        <w:rPr>
          <w:b/>
          <w:sz w:val="22"/>
          <w:szCs w:val="22"/>
          <w:lang w:val="ro-RO"/>
        </w:rPr>
      </w:pPr>
      <w:r w:rsidRPr="00BC1BE2">
        <w:rPr>
          <w:b/>
          <w:sz w:val="22"/>
          <w:szCs w:val="22"/>
          <w:lang w:val="ro-RO"/>
        </w:rPr>
        <w:t xml:space="preserve">Principale mărfuri exportate </w:t>
      </w:r>
    </w:p>
    <w:p w:rsidR="00280AF9" w:rsidRPr="00BC1BE2" w:rsidRDefault="00280AF9" w:rsidP="00280AF9">
      <w:pPr>
        <w:jc w:val="right"/>
        <w:rPr>
          <w:i/>
          <w:sz w:val="22"/>
          <w:szCs w:val="22"/>
          <w:u w:val="single"/>
          <w:lang w:val="ro-RO" w:eastAsia="ru-RU"/>
        </w:rPr>
      </w:pPr>
      <w:r w:rsidRPr="00BC1BE2">
        <w:rPr>
          <w:i/>
          <w:sz w:val="22"/>
          <w:szCs w:val="22"/>
          <w:u w:val="single"/>
          <w:lang w:val="ro-RO" w:eastAsia="ru-RU"/>
        </w:rPr>
        <w:t>mii. USD</w:t>
      </w:r>
    </w:p>
    <w:tbl>
      <w:tblPr>
        <w:tblW w:w="9738" w:type="dxa"/>
        <w:jc w:val="center"/>
        <w:tblInd w:w="-5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5010"/>
        <w:gridCol w:w="802"/>
        <w:gridCol w:w="850"/>
        <w:gridCol w:w="1183"/>
        <w:gridCol w:w="1134"/>
      </w:tblGrid>
      <w:tr w:rsidR="00280AF9" w:rsidRPr="00BC1BE2" w:rsidTr="00280AF9">
        <w:trPr>
          <w:jc w:val="center"/>
        </w:trPr>
        <w:tc>
          <w:tcPr>
            <w:tcW w:w="759" w:type="dxa"/>
            <w:tcBorders>
              <w:bottom w:val="single" w:sz="6" w:space="0" w:color="auto"/>
            </w:tcBorders>
            <w:vAlign w:val="center"/>
          </w:tcPr>
          <w:p w:rsidR="00280AF9" w:rsidRPr="00BC1BE2" w:rsidRDefault="00280AF9" w:rsidP="00E923B1">
            <w:pPr>
              <w:rPr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501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80AF9" w:rsidRPr="00BC1BE2" w:rsidRDefault="00280AF9" w:rsidP="00E923B1">
            <w:pPr>
              <w:rPr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80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u-RU"/>
              </w:rPr>
            </w:pPr>
            <w:r w:rsidRPr="00BC1BE2">
              <w:rPr>
                <w:b/>
                <w:i/>
                <w:color w:val="000000"/>
                <w:sz w:val="22"/>
                <w:szCs w:val="22"/>
                <w:lang w:val="ro-RO" w:eastAsia="ru-RU"/>
              </w:rPr>
              <w:t>2013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u-RU"/>
              </w:rPr>
            </w:pPr>
            <w:r w:rsidRPr="00BC1BE2">
              <w:rPr>
                <w:b/>
                <w:i/>
                <w:color w:val="000000"/>
                <w:sz w:val="22"/>
                <w:szCs w:val="22"/>
                <w:lang w:val="ro-RO" w:eastAsia="ru-RU"/>
              </w:rPr>
              <w:t>2014</w:t>
            </w:r>
          </w:p>
        </w:tc>
        <w:tc>
          <w:tcPr>
            <w:tcW w:w="118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u-RU"/>
              </w:rPr>
            </w:pPr>
            <w:r w:rsidRPr="00BC1BE2">
              <w:rPr>
                <w:b/>
                <w:i/>
                <w:color w:val="000000"/>
                <w:sz w:val="22"/>
                <w:szCs w:val="22"/>
                <w:lang w:val="ro-RO" w:eastAsia="ru-RU"/>
              </w:rPr>
              <w:t>Dinamica</w:t>
            </w:r>
          </w:p>
          <w:p w:rsidR="00280AF9" w:rsidRPr="00BC1BE2" w:rsidRDefault="00280AF9" w:rsidP="00280AF9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u-RU"/>
              </w:rPr>
            </w:pPr>
            <w:r w:rsidRPr="00BC1BE2">
              <w:rPr>
                <w:b/>
                <w:i/>
                <w:color w:val="000000"/>
                <w:sz w:val="22"/>
                <w:szCs w:val="22"/>
                <w:lang w:val="ro-RO" w:eastAsia="ru-RU"/>
              </w:rPr>
              <w:t>2014/2013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u-RU"/>
              </w:rPr>
            </w:pPr>
            <w:r w:rsidRPr="00BC1BE2">
              <w:rPr>
                <w:b/>
                <w:i/>
                <w:color w:val="000000"/>
                <w:sz w:val="22"/>
                <w:szCs w:val="22"/>
                <w:lang w:val="ro-RO" w:eastAsia="ru-RU"/>
              </w:rPr>
              <w:t>Ponderea în total export</w:t>
            </w:r>
          </w:p>
        </w:tc>
      </w:tr>
      <w:tr w:rsidR="00280AF9" w:rsidRPr="00BC1BE2" w:rsidTr="00280AF9">
        <w:trPr>
          <w:jc w:val="center"/>
        </w:trPr>
        <w:tc>
          <w:tcPr>
            <w:tcW w:w="7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80AF9" w:rsidRPr="00BC1BE2" w:rsidRDefault="00280AF9" w:rsidP="009843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9401</w:t>
            </w:r>
          </w:p>
        </w:tc>
        <w:tc>
          <w:tcPr>
            <w:tcW w:w="5010" w:type="dxa"/>
          </w:tcPr>
          <w:p w:rsidR="00280AF9" w:rsidRPr="00BC1BE2" w:rsidRDefault="00280AF9" w:rsidP="0098432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Scaune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(cu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exceptia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celor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pozitia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9402),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chiar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transformabile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paturi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partile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lor</w:t>
            </w:r>
            <w:proofErr w:type="spellEnd"/>
          </w:p>
        </w:tc>
        <w:tc>
          <w:tcPr>
            <w:tcW w:w="802" w:type="dxa"/>
            <w:shd w:val="clear" w:color="auto" w:fill="auto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8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9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119,61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15,43</w:t>
            </w:r>
          </w:p>
        </w:tc>
      </w:tr>
      <w:tr w:rsidR="00280AF9" w:rsidRPr="00BC1BE2" w:rsidTr="00280AF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280AF9" w:rsidRPr="00BC1BE2" w:rsidRDefault="00280AF9" w:rsidP="009843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5010" w:type="dxa"/>
          </w:tcPr>
          <w:p w:rsidR="00280AF9" w:rsidRPr="00BC1BE2" w:rsidRDefault="00280AF9" w:rsidP="0098432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Vinuri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struguri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proaspeti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inclusiv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vinurile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imbogatite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alcool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musturi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struguri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altele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decit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pozitia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2009</w:t>
            </w:r>
          </w:p>
        </w:tc>
        <w:tc>
          <w:tcPr>
            <w:tcW w:w="802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8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8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83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100,57</w:t>
            </w:r>
          </w:p>
        </w:tc>
        <w:tc>
          <w:tcPr>
            <w:tcW w:w="1134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13,72</w:t>
            </w:r>
          </w:p>
        </w:tc>
      </w:tr>
      <w:tr w:rsidR="00280AF9" w:rsidRPr="00BC1BE2" w:rsidTr="00280AF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280AF9" w:rsidRPr="00BC1BE2" w:rsidRDefault="00280AF9" w:rsidP="009843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6203</w:t>
            </w:r>
          </w:p>
        </w:tc>
        <w:tc>
          <w:tcPr>
            <w:tcW w:w="5010" w:type="dxa"/>
          </w:tcPr>
          <w:p w:rsidR="00280AF9" w:rsidRPr="00BC1BE2" w:rsidRDefault="00280AF9" w:rsidP="0098432B">
            <w:pPr>
              <w:rPr>
                <w:color w:val="000000"/>
                <w:sz w:val="22"/>
                <w:szCs w:val="22"/>
                <w:lang w:val="en-US"/>
              </w:rPr>
            </w:pPr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Costume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compleuri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ansambluri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jachete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sacouri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pantaloni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salopete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bretele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pantaloni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scurti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sorturi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barbati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baieti</w:t>
            </w:r>
            <w:proofErr w:type="spellEnd"/>
          </w:p>
        </w:tc>
        <w:tc>
          <w:tcPr>
            <w:tcW w:w="802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9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8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83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82,58</w:t>
            </w:r>
          </w:p>
        </w:tc>
        <w:tc>
          <w:tcPr>
            <w:tcW w:w="1134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12,80</w:t>
            </w:r>
          </w:p>
        </w:tc>
      </w:tr>
      <w:tr w:rsidR="00280AF9" w:rsidRPr="00BC1BE2" w:rsidTr="00280AF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280AF9" w:rsidRPr="00BC1BE2" w:rsidRDefault="00280AF9" w:rsidP="009843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5010" w:type="dxa"/>
          </w:tcPr>
          <w:p w:rsidR="00280AF9" w:rsidRPr="00BC1BE2" w:rsidRDefault="00280AF9" w:rsidP="0098432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Sucuri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fructe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inclusiv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mustul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struguri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sucuri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legume,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nefermentate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fara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adaos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alcool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fara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adaos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zahar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alti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802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13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8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83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57,49</w:t>
            </w:r>
          </w:p>
        </w:tc>
        <w:tc>
          <w:tcPr>
            <w:tcW w:w="1134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12,45</w:t>
            </w:r>
          </w:p>
        </w:tc>
      </w:tr>
      <w:tr w:rsidR="00280AF9" w:rsidRPr="00BC1BE2" w:rsidTr="00280AF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280AF9" w:rsidRPr="00BC1BE2" w:rsidRDefault="00280AF9" w:rsidP="009843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5010" w:type="dxa"/>
          </w:tcPr>
          <w:p w:rsidR="00280AF9" w:rsidRPr="00BC1BE2" w:rsidRDefault="00280AF9" w:rsidP="0098432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Seminte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floarea-soarelui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chiar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sfarimate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802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4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4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83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94,64</w:t>
            </w:r>
          </w:p>
        </w:tc>
        <w:tc>
          <w:tcPr>
            <w:tcW w:w="1134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7,12</w:t>
            </w:r>
          </w:p>
        </w:tc>
      </w:tr>
      <w:tr w:rsidR="00280AF9" w:rsidRPr="00BC1BE2" w:rsidTr="00280AF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280AF9" w:rsidRPr="00BC1BE2" w:rsidRDefault="00280AF9" w:rsidP="009843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6204</w:t>
            </w:r>
          </w:p>
        </w:tc>
        <w:tc>
          <w:tcPr>
            <w:tcW w:w="5010" w:type="dxa"/>
          </w:tcPr>
          <w:p w:rsidR="00280AF9" w:rsidRPr="00BC1BE2" w:rsidRDefault="00280AF9" w:rsidP="0098432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Taioare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ansambluri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jachete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sacouri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rochii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fuste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fuste-pantalon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pantaloni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salopete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bretele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pantaloni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scurti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sorturi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femei</w:t>
            </w:r>
            <w:proofErr w:type="spellEnd"/>
          </w:p>
        </w:tc>
        <w:tc>
          <w:tcPr>
            <w:tcW w:w="802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3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2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83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89,20</w:t>
            </w:r>
          </w:p>
        </w:tc>
        <w:tc>
          <w:tcPr>
            <w:tcW w:w="1134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4,49</w:t>
            </w:r>
          </w:p>
        </w:tc>
      </w:tr>
      <w:tr w:rsidR="00280AF9" w:rsidRPr="00BC1BE2" w:rsidTr="00280AF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280AF9" w:rsidRPr="00BC1BE2" w:rsidRDefault="00280AF9" w:rsidP="009843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010" w:type="dxa"/>
          </w:tcPr>
          <w:p w:rsidR="00280AF9" w:rsidRPr="00BC1BE2" w:rsidRDefault="00280AF9" w:rsidP="0098432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</w:rPr>
              <w:t>Porumb</w:t>
            </w:r>
            <w:proofErr w:type="spellEnd"/>
            <w:r w:rsidRPr="00BC1BE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02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BC1BE2">
              <w:rPr>
                <w:color w:val="000000"/>
                <w:sz w:val="22"/>
                <w:szCs w:val="22"/>
              </w:rPr>
              <w:t>1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2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83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144,85</w:t>
            </w:r>
          </w:p>
        </w:tc>
        <w:tc>
          <w:tcPr>
            <w:tcW w:w="1134" w:type="dxa"/>
            <w:vAlign w:val="center"/>
          </w:tcPr>
          <w:p w:rsidR="00280AF9" w:rsidRPr="00BC1BE2" w:rsidRDefault="00280AF9" w:rsidP="00280AF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3,71</w:t>
            </w:r>
          </w:p>
        </w:tc>
      </w:tr>
    </w:tbl>
    <w:p w:rsidR="0083306B" w:rsidRPr="00BC1BE2" w:rsidRDefault="0083306B">
      <w:pPr>
        <w:rPr>
          <w:sz w:val="22"/>
          <w:szCs w:val="22"/>
          <w:lang w:val="ro-RO"/>
        </w:rPr>
      </w:pPr>
    </w:p>
    <w:p w:rsidR="00484131" w:rsidRPr="00BC1BE2" w:rsidRDefault="00484131" w:rsidP="00484131">
      <w:pPr>
        <w:jc w:val="both"/>
        <w:rPr>
          <w:sz w:val="22"/>
          <w:szCs w:val="22"/>
          <w:lang w:val="ro-RO"/>
        </w:rPr>
      </w:pPr>
      <w:r w:rsidRPr="00BC1BE2">
        <w:rPr>
          <w:b/>
          <w:sz w:val="22"/>
          <w:szCs w:val="22"/>
          <w:u w:val="single"/>
          <w:lang w:val="ro-RO"/>
        </w:rPr>
        <w:t xml:space="preserve">Importul </w:t>
      </w:r>
      <w:r w:rsidRPr="00BC1BE2">
        <w:rPr>
          <w:sz w:val="22"/>
          <w:szCs w:val="22"/>
          <w:lang w:val="ro-RO"/>
        </w:rPr>
        <w:t>de mărfuri efectuat în perioada menţionată în Republica Moldova din Republica Polonă a însumat</w:t>
      </w:r>
      <w:r w:rsidRPr="00BC1BE2">
        <w:rPr>
          <w:b/>
          <w:sz w:val="22"/>
          <w:szCs w:val="22"/>
          <w:lang w:val="ro-RO"/>
        </w:rPr>
        <w:t xml:space="preserve"> </w:t>
      </w:r>
      <w:r w:rsidRPr="00BC1BE2">
        <w:rPr>
          <w:b/>
          <w:bCs/>
          <w:color w:val="000000" w:themeColor="text1"/>
          <w:sz w:val="22"/>
          <w:szCs w:val="22"/>
          <w:lang w:val="ro-RO"/>
        </w:rPr>
        <w:t xml:space="preserve">155,8 </w:t>
      </w:r>
      <w:r w:rsidRPr="00BC1BE2">
        <w:rPr>
          <w:b/>
          <w:sz w:val="22"/>
          <w:szCs w:val="22"/>
          <w:lang w:val="ro-RO"/>
        </w:rPr>
        <w:t xml:space="preserve">mil. USD </w:t>
      </w:r>
      <w:r w:rsidRPr="00BC1BE2">
        <w:rPr>
          <w:sz w:val="22"/>
          <w:szCs w:val="22"/>
          <w:lang w:val="ro-RO"/>
        </w:rPr>
        <w:t>şi a înregistrat o</w:t>
      </w:r>
      <w:r w:rsidRPr="00BC1BE2">
        <w:rPr>
          <w:b/>
          <w:sz w:val="22"/>
          <w:szCs w:val="22"/>
          <w:lang w:val="ro-RO"/>
        </w:rPr>
        <w:t xml:space="preserve"> majorare cu 9,</w:t>
      </w:r>
      <w:r w:rsidRPr="00BC1BE2">
        <w:rPr>
          <w:b/>
          <w:sz w:val="22"/>
          <w:szCs w:val="22"/>
          <w:lang w:val="en-US"/>
        </w:rPr>
        <w:t>15</w:t>
      </w:r>
      <w:r w:rsidRPr="00BC1BE2">
        <w:rPr>
          <w:b/>
          <w:sz w:val="22"/>
          <w:szCs w:val="22"/>
          <w:lang w:val="ro-RO"/>
        </w:rPr>
        <w:t xml:space="preserve">% </w:t>
      </w:r>
      <w:r w:rsidRPr="00BC1BE2">
        <w:rPr>
          <w:sz w:val="22"/>
          <w:szCs w:val="22"/>
          <w:lang w:val="ro-RO"/>
        </w:rPr>
        <w:t xml:space="preserve">în raport cu anul 2013. Republica Polonă se situează pe locul </w:t>
      </w:r>
      <w:r w:rsidR="009D68C3" w:rsidRPr="00BC1BE2">
        <w:rPr>
          <w:b/>
          <w:sz w:val="22"/>
          <w:szCs w:val="22"/>
          <w:lang w:val="ro-RO"/>
        </w:rPr>
        <w:t>4</w:t>
      </w:r>
      <w:r w:rsidRPr="00BC1BE2">
        <w:rPr>
          <w:sz w:val="22"/>
          <w:szCs w:val="22"/>
          <w:lang w:val="ro-RO"/>
        </w:rPr>
        <w:t xml:space="preserve"> în topul ţărilor din UE în care Republica Moldova efectuează exporturi, deţinînd o pondere de </w:t>
      </w:r>
      <w:r w:rsidRPr="00BC1BE2">
        <w:rPr>
          <w:b/>
          <w:sz w:val="22"/>
          <w:szCs w:val="22"/>
          <w:lang w:val="ro-RO"/>
        </w:rPr>
        <w:t>2,93%</w:t>
      </w:r>
      <w:r w:rsidRPr="00BC1BE2">
        <w:rPr>
          <w:sz w:val="22"/>
          <w:szCs w:val="22"/>
          <w:lang w:val="ro-RO"/>
        </w:rPr>
        <w:t xml:space="preserve"> în volumul total al importului Republicii Moldova.</w:t>
      </w:r>
    </w:p>
    <w:p w:rsidR="00E06049" w:rsidRPr="00BC1BE2" w:rsidRDefault="00E06049" w:rsidP="00484131">
      <w:pPr>
        <w:jc w:val="both"/>
        <w:rPr>
          <w:sz w:val="22"/>
          <w:szCs w:val="22"/>
          <w:lang w:val="ro-RO"/>
        </w:rPr>
      </w:pPr>
    </w:p>
    <w:p w:rsidR="00E06049" w:rsidRPr="00BC1BE2" w:rsidRDefault="00E06049" w:rsidP="00E06049">
      <w:pPr>
        <w:jc w:val="center"/>
        <w:rPr>
          <w:b/>
          <w:sz w:val="22"/>
          <w:szCs w:val="22"/>
          <w:lang w:val="ro-RO"/>
        </w:rPr>
      </w:pPr>
      <w:r w:rsidRPr="00BC1BE2">
        <w:rPr>
          <w:b/>
          <w:sz w:val="22"/>
          <w:szCs w:val="22"/>
          <w:lang w:val="ro-RO"/>
        </w:rPr>
        <w:t>Principale mărfuri importate</w:t>
      </w:r>
    </w:p>
    <w:p w:rsidR="00E06049" w:rsidRPr="00BC1BE2" w:rsidRDefault="00E06049" w:rsidP="00E06049">
      <w:pPr>
        <w:jc w:val="right"/>
        <w:rPr>
          <w:i/>
          <w:sz w:val="22"/>
          <w:szCs w:val="22"/>
          <w:u w:val="single"/>
          <w:lang w:val="ro-RO"/>
        </w:rPr>
      </w:pPr>
      <w:r w:rsidRPr="00BC1BE2">
        <w:rPr>
          <w:i/>
          <w:sz w:val="22"/>
          <w:szCs w:val="22"/>
          <w:u w:val="single"/>
          <w:lang w:val="ro-RO"/>
        </w:rPr>
        <w:t>mii. USD</w:t>
      </w:r>
    </w:p>
    <w:tbl>
      <w:tblPr>
        <w:tblW w:w="9738" w:type="dxa"/>
        <w:jc w:val="center"/>
        <w:tblInd w:w="-5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5010"/>
        <w:gridCol w:w="802"/>
        <w:gridCol w:w="850"/>
        <w:gridCol w:w="1183"/>
        <w:gridCol w:w="1134"/>
      </w:tblGrid>
      <w:tr w:rsidR="00E06049" w:rsidRPr="00BC1BE2" w:rsidTr="00E923B1">
        <w:trPr>
          <w:jc w:val="center"/>
        </w:trPr>
        <w:tc>
          <w:tcPr>
            <w:tcW w:w="759" w:type="dxa"/>
            <w:tcBorders>
              <w:bottom w:val="single" w:sz="6" w:space="0" w:color="auto"/>
            </w:tcBorders>
            <w:vAlign w:val="center"/>
          </w:tcPr>
          <w:p w:rsidR="00E06049" w:rsidRPr="00BC1BE2" w:rsidRDefault="00E06049" w:rsidP="00E06049">
            <w:pPr>
              <w:rPr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501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rPr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80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rPr>
                <w:b/>
                <w:i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sz w:val="22"/>
                <w:szCs w:val="22"/>
                <w:lang w:val="ro-RO"/>
              </w:rPr>
              <w:t>2013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rPr>
                <w:b/>
                <w:i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sz w:val="22"/>
                <w:szCs w:val="22"/>
                <w:lang w:val="ro-RO"/>
              </w:rPr>
              <w:t>2014</w:t>
            </w:r>
          </w:p>
        </w:tc>
        <w:tc>
          <w:tcPr>
            <w:tcW w:w="118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rPr>
                <w:b/>
                <w:i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sz w:val="22"/>
                <w:szCs w:val="22"/>
                <w:lang w:val="ro-RO"/>
              </w:rPr>
              <w:t>Dinamica</w:t>
            </w:r>
          </w:p>
          <w:p w:rsidR="00E06049" w:rsidRPr="00BC1BE2" w:rsidRDefault="00E06049" w:rsidP="00E06049">
            <w:pPr>
              <w:rPr>
                <w:b/>
                <w:i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sz w:val="22"/>
                <w:szCs w:val="22"/>
                <w:lang w:val="ro-RO"/>
              </w:rPr>
              <w:t>2014/2013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rPr>
                <w:b/>
                <w:i/>
                <w:sz w:val="22"/>
                <w:szCs w:val="22"/>
                <w:lang w:val="ro-RO"/>
              </w:rPr>
            </w:pPr>
            <w:r w:rsidRPr="00BC1BE2">
              <w:rPr>
                <w:b/>
                <w:i/>
                <w:sz w:val="22"/>
                <w:szCs w:val="22"/>
                <w:lang w:val="ro-RO"/>
              </w:rPr>
              <w:t>Ponderea în total import</w:t>
            </w:r>
          </w:p>
        </w:tc>
      </w:tr>
      <w:tr w:rsidR="00E06049" w:rsidRPr="00BC1BE2" w:rsidTr="00E0604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E06049" w:rsidRPr="00BC1BE2" w:rsidRDefault="00E06049" w:rsidP="00D318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4818</w:t>
            </w:r>
          </w:p>
        </w:tc>
        <w:tc>
          <w:tcPr>
            <w:tcW w:w="5010" w:type="dxa"/>
          </w:tcPr>
          <w:p w:rsidR="00E06049" w:rsidRPr="00BC1BE2" w:rsidRDefault="00E06049" w:rsidP="00D318D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Hirtii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tipul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celor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utilizate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ca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hirtie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igienica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ca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hirtii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similare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vata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celuloza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straturi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subtiri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fibre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celulozice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tipul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c</w:t>
            </w:r>
          </w:p>
        </w:tc>
        <w:tc>
          <w:tcPr>
            <w:tcW w:w="802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9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11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3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BC1BE2">
              <w:rPr>
                <w:color w:val="000000"/>
                <w:sz w:val="22"/>
                <w:szCs w:val="22"/>
              </w:rPr>
              <w:t>112,12</w:t>
            </w:r>
          </w:p>
        </w:tc>
        <w:tc>
          <w:tcPr>
            <w:tcW w:w="1134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7,12</w:t>
            </w:r>
          </w:p>
        </w:tc>
      </w:tr>
      <w:tr w:rsidR="00E06049" w:rsidRPr="00BC1BE2" w:rsidTr="00E0604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E06049" w:rsidRPr="00BC1BE2" w:rsidRDefault="00E06049" w:rsidP="00D318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2713</w:t>
            </w:r>
          </w:p>
        </w:tc>
        <w:tc>
          <w:tcPr>
            <w:tcW w:w="5010" w:type="dxa"/>
          </w:tcPr>
          <w:p w:rsidR="00E06049" w:rsidRPr="00BC1BE2" w:rsidRDefault="00E06049" w:rsidP="00D318D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Cocs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petrol,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bitum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petrol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alte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reziduuri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uleiuri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din petrol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minerale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bituminoase</w:t>
            </w:r>
            <w:proofErr w:type="spellEnd"/>
          </w:p>
        </w:tc>
        <w:tc>
          <w:tcPr>
            <w:tcW w:w="802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6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6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83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105,97</w:t>
            </w:r>
          </w:p>
        </w:tc>
        <w:tc>
          <w:tcPr>
            <w:tcW w:w="1134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4,33</w:t>
            </w:r>
          </w:p>
        </w:tc>
      </w:tr>
      <w:tr w:rsidR="00E06049" w:rsidRPr="00BC1BE2" w:rsidTr="00E0604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E06049" w:rsidRPr="00BC1BE2" w:rsidRDefault="00E06049" w:rsidP="00D318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4411</w:t>
            </w:r>
          </w:p>
        </w:tc>
        <w:tc>
          <w:tcPr>
            <w:tcW w:w="5010" w:type="dxa"/>
          </w:tcPr>
          <w:p w:rsidR="00E06049" w:rsidRPr="00BC1BE2" w:rsidRDefault="00E06049" w:rsidP="00D318D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Panouri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fibrolemnoase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alte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materiale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lemnoase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chiar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aglomerate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ras</w:t>
            </w:r>
            <w:proofErr w:type="spellEnd"/>
          </w:p>
        </w:tc>
        <w:tc>
          <w:tcPr>
            <w:tcW w:w="802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4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5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83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120,25</w:t>
            </w:r>
          </w:p>
        </w:tc>
        <w:tc>
          <w:tcPr>
            <w:tcW w:w="1134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3,74</w:t>
            </w:r>
          </w:p>
        </w:tc>
      </w:tr>
      <w:tr w:rsidR="00E06049" w:rsidRPr="00BC1BE2" w:rsidTr="00E0604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E06049" w:rsidRPr="00BC1BE2" w:rsidRDefault="00E06049" w:rsidP="00D318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3004</w:t>
            </w:r>
          </w:p>
        </w:tc>
        <w:tc>
          <w:tcPr>
            <w:tcW w:w="5010" w:type="dxa"/>
          </w:tcPr>
          <w:p w:rsidR="00E06049" w:rsidRPr="00BC1BE2" w:rsidRDefault="00E06049" w:rsidP="00D318D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Medicamente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(cu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exceptia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produselor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pozitiile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3002, 3005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3006)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constituite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produse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amestecate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neamestecate</w:t>
            </w:r>
            <w:proofErr w:type="spellEnd"/>
          </w:p>
        </w:tc>
        <w:tc>
          <w:tcPr>
            <w:tcW w:w="802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3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3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83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100,57</w:t>
            </w:r>
          </w:p>
        </w:tc>
        <w:tc>
          <w:tcPr>
            <w:tcW w:w="1134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2,28</w:t>
            </w:r>
          </w:p>
        </w:tc>
      </w:tr>
      <w:tr w:rsidR="00E06049" w:rsidRPr="00BC1BE2" w:rsidTr="00E0604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E06049" w:rsidRPr="00BC1BE2" w:rsidRDefault="00E06049" w:rsidP="00D318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3402</w:t>
            </w:r>
          </w:p>
        </w:tc>
        <w:tc>
          <w:tcPr>
            <w:tcW w:w="5010" w:type="dxa"/>
          </w:tcPr>
          <w:p w:rsidR="00E06049" w:rsidRPr="00BC1BE2" w:rsidRDefault="00E06049" w:rsidP="00D318D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Agenti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organici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suprafata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altii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decit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sapunurile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);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preparate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tensioactive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preparate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spalat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preparate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curatat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care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contin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</w:p>
        </w:tc>
        <w:tc>
          <w:tcPr>
            <w:tcW w:w="802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3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3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83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93,77</w:t>
            </w:r>
          </w:p>
        </w:tc>
        <w:tc>
          <w:tcPr>
            <w:tcW w:w="1134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1,93</w:t>
            </w:r>
          </w:p>
        </w:tc>
      </w:tr>
      <w:tr w:rsidR="00E06049" w:rsidRPr="00BC1BE2" w:rsidTr="00E0604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E06049" w:rsidRPr="00BC1BE2" w:rsidRDefault="00E06049" w:rsidP="00D318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8528</w:t>
            </w:r>
          </w:p>
        </w:tc>
        <w:tc>
          <w:tcPr>
            <w:tcW w:w="5010" w:type="dxa"/>
          </w:tcPr>
          <w:p w:rsidR="00E06049" w:rsidRPr="00BC1BE2" w:rsidRDefault="00E06049" w:rsidP="00D318D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Monitoare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proiectoare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, care nu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incorporeaza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aparat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receptie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televiziune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aparate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receptoare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televiziune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chiar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incorporind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apar</w:t>
            </w:r>
            <w:proofErr w:type="spellEnd"/>
          </w:p>
        </w:tc>
        <w:tc>
          <w:tcPr>
            <w:tcW w:w="802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2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2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183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105,10</w:t>
            </w:r>
          </w:p>
        </w:tc>
        <w:tc>
          <w:tcPr>
            <w:tcW w:w="1134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1,72</w:t>
            </w:r>
          </w:p>
        </w:tc>
      </w:tr>
      <w:tr w:rsidR="00E06049" w:rsidRPr="00BC1BE2" w:rsidTr="00E06049">
        <w:trPr>
          <w:trHeight w:val="600"/>
          <w:jc w:val="center"/>
        </w:trPr>
        <w:tc>
          <w:tcPr>
            <w:tcW w:w="759" w:type="dxa"/>
            <w:shd w:val="clear" w:color="auto" w:fill="D9D9D9" w:themeFill="background1" w:themeFillShade="D9"/>
          </w:tcPr>
          <w:p w:rsidR="00E06049" w:rsidRPr="00BC1BE2" w:rsidRDefault="00E06049" w:rsidP="00D318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BE2">
              <w:rPr>
                <w:b/>
                <w:bCs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5010" w:type="dxa"/>
          </w:tcPr>
          <w:p w:rsidR="00E06049" w:rsidRPr="00BC1BE2" w:rsidRDefault="00E06049" w:rsidP="00D318D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Produse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infrumusetare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machiaj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preparate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intretinerea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ingrijirea</w:t>
            </w:r>
            <w:proofErr w:type="spellEnd"/>
            <w:r w:rsidRPr="00BC1BE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BE2">
              <w:rPr>
                <w:color w:val="000000"/>
                <w:sz w:val="22"/>
                <w:szCs w:val="22"/>
                <w:lang w:val="en-US"/>
              </w:rPr>
              <w:t>pielii</w:t>
            </w:r>
            <w:proofErr w:type="spellEnd"/>
          </w:p>
        </w:tc>
        <w:tc>
          <w:tcPr>
            <w:tcW w:w="802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2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2</w:t>
            </w:r>
            <w:r w:rsidRPr="00BC1BE2">
              <w:rPr>
                <w:color w:val="000000"/>
                <w:sz w:val="22"/>
                <w:szCs w:val="22"/>
                <w:lang w:val="ro-RO"/>
              </w:rPr>
              <w:t>,</w:t>
            </w:r>
            <w:r w:rsidRPr="00BC1BE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83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134" w:type="dxa"/>
            <w:vAlign w:val="center"/>
          </w:tcPr>
          <w:p w:rsidR="00E06049" w:rsidRPr="00BC1BE2" w:rsidRDefault="00E06049" w:rsidP="00E06049">
            <w:pPr>
              <w:jc w:val="center"/>
              <w:rPr>
                <w:color w:val="000000"/>
                <w:sz w:val="22"/>
                <w:szCs w:val="22"/>
              </w:rPr>
            </w:pPr>
            <w:r w:rsidRPr="00BC1BE2">
              <w:rPr>
                <w:color w:val="000000"/>
                <w:sz w:val="22"/>
                <w:szCs w:val="22"/>
              </w:rPr>
              <w:t>1,49</w:t>
            </w:r>
          </w:p>
        </w:tc>
      </w:tr>
    </w:tbl>
    <w:p w:rsidR="00484131" w:rsidRPr="00BC1BE2" w:rsidRDefault="00484131">
      <w:pPr>
        <w:rPr>
          <w:sz w:val="22"/>
          <w:szCs w:val="22"/>
          <w:lang w:val="ro-RO"/>
        </w:rPr>
      </w:pPr>
    </w:p>
    <w:p w:rsidR="00AF2D46" w:rsidRPr="00BC1BE2" w:rsidRDefault="00AF2D46" w:rsidP="00C30E03">
      <w:pPr>
        <w:jc w:val="both"/>
        <w:rPr>
          <w:color w:val="000000" w:themeColor="text1"/>
          <w:sz w:val="22"/>
          <w:szCs w:val="22"/>
          <w:lang w:val="ro-RO"/>
        </w:rPr>
      </w:pPr>
      <w:r w:rsidRPr="00BC1BE2">
        <w:rPr>
          <w:b/>
          <w:color w:val="000000" w:themeColor="text1"/>
          <w:sz w:val="22"/>
          <w:szCs w:val="22"/>
          <w:u w:val="single"/>
          <w:lang w:val="ro-RO"/>
        </w:rPr>
        <w:t xml:space="preserve">COMISIA MIXTĂ: </w:t>
      </w:r>
      <w:r w:rsidRPr="00BC1BE2">
        <w:rPr>
          <w:color w:val="000000" w:themeColor="text1"/>
          <w:sz w:val="22"/>
          <w:szCs w:val="22"/>
          <w:lang w:val="ro-RO"/>
        </w:rPr>
        <w:t>Cea de a 4-a Şedinţa Comisiei interguvernamentale moldo-polone pentru colaborare comercial-economică a avut loc pe data de 7 februarie 2014, la Varşovia.</w:t>
      </w:r>
    </w:p>
    <w:p w:rsidR="009F7ACB" w:rsidRPr="00BC1BE2" w:rsidRDefault="009F7ACB" w:rsidP="009F7ACB">
      <w:pPr>
        <w:ind w:firstLine="708"/>
        <w:rPr>
          <w:sz w:val="22"/>
          <w:szCs w:val="22"/>
          <w:lang w:val="ro-RO"/>
        </w:rPr>
      </w:pPr>
      <w:r w:rsidRPr="00BC1BE2">
        <w:rPr>
          <w:sz w:val="22"/>
          <w:szCs w:val="22"/>
          <w:lang w:val="ro-RO"/>
        </w:rPr>
        <w:t>Delega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ia Republicii Moldova a fost condusă de domnul Gheorghe Duca, pre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 xml:space="preserve">edintele Academiei de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tiin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e al Republicii Moldova, copre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edintele al păr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ii moldovene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ti. Delega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ia poloneză a fost condusă de dl Andrzej Dycha, viceministru al economiei, pre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edintele al parţii polone.</w:t>
      </w:r>
    </w:p>
    <w:p w:rsidR="009F7ACB" w:rsidRPr="00BC1BE2" w:rsidRDefault="009F7ACB" w:rsidP="009F7ACB">
      <w:pPr>
        <w:ind w:firstLine="708"/>
        <w:rPr>
          <w:sz w:val="22"/>
          <w:szCs w:val="22"/>
          <w:lang w:val="ro-RO"/>
        </w:rPr>
      </w:pPr>
      <w:r w:rsidRPr="00BC1BE2">
        <w:rPr>
          <w:sz w:val="22"/>
          <w:szCs w:val="22"/>
          <w:lang w:val="ro-RO"/>
        </w:rPr>
        <w:t xml:space="preserve">În timpul Comisiei au fost discutate subiecte importante, în special cooperarea în următoarele domenii: bănci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i finan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e, agricultura şi alimentarea, transportul, turismul, protec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 xml:space="preserve">ia mediului, sursele de energie regenerabile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i eficien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 xml:space="preserve">a energetică, întreprinderile mici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 xml:space="preserve">i mijlocii; dezvoltarea regională; metrologie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i evaluare a conformită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ii, sănătatea, ştiin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a, migra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 xml:space="preserve">ia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i protec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 xml:space="preserve">ie socială, cultură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 xml:space="preserve">i conservarea monumentelor, aspectele legate de vize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>i "Parteneriatul Estic".</w:t>
      </w:r>
    </w:p>
    <w:p w:rsidR="00AF2D46" w:rsidRPr="00BC1BE2" w:rsidRDefault="00AF2D46" w:rsidP="009F7ACB">
      <w:pPr>
        <w:ind w:firstLine="284"/>
        <w:jc w:val="both"/>
        <w:rPr>
          <w:color w:val="000000" w:themeColor="text1"/>
          <w:sz w:val="22"/>
          <w:szCs w:val="22"/>
          <w:lang w:val="ro-RO"/>
        </w:rPr>
      </w:pPr>
      <w:r w:rsidRPr="00BC1BE2">
        <w:rPr>
          <w:color w:val="000000" w:themeColor="text1"/>
          <w:sz w:val="22"/>
          <w:szCs w:val="22"/>
          <w:lang w:val="ro-RO"/>
        </w:rPr>
        <w:t xml:space="preserve">Pentru a face cunoştinţă cu textul Protocoalelor Comisiilor şi/sau alte detalii accesaţi link-ul:  </w:t>
      </w:r>
    </w:p>
    <w:p w:rsidR="00AF2D46" w:rsidRPr="00BC1BE2" w:rsidRDefault="00AF2D46" w:rsidP="00C30E03">
      <w:pPr>
        <w:pStyle w:val="a8"/>
        <w:numPr>
          <w:ilvl w:val="0"/>
          <w:numId w:val="5"/>
        </w:numPr>
        <w:ind w:left="284" w:hanging="294"/>
        <w:jc w:val="both"/>
        <w:rPr>
          <w:color w:val="000000" w:themeColor="text1"/>
          <w:sz w:val="22"/>
          <w:szCs w:val="22"/>
          <w:lang w:val="ro-RO"/>
        </w:rPr>
      </w:pPr>
      <w:r w:rsidRPr="00BC1BE2">
        <w:rPr>
          <w:color w:val="000000" w:themeColor="text1"/>
          <w:sz w:val="22"/>
          <w:szCs w:val="22"/>
          <w:lang w:val="ro-RO"/>
        </w:rPr>
        <w:t>http://www.mec.gov.md/ro/advanced-page-type/cooperare-economica-internationala-comisii-mixte</w:t>
      </w:r>
    </w:p>
    <w:p w:rsidR="00AF2D46" w:rsidRPr="00BC1BE2" w:rsidRDefault="00E500F5" w:rsidP="00C30E03">
      <w:pPr>
        <w:jc w:val="both"/>
        <w:rPr>
          <w:sz w:val="22"/>
          <w:szCs w:val="22"/>
          <w:lang w:val="ro-RO"/>
        </w:rPr>
      </w:pPr>
      <w:r w:rsidRPr="00BC1BE2">
        <w:rPr>
          <w:sz w:val="22"/>
          <w:szCs w:val="22"/>
          <w:lang w:val="ro-RO"/>
        </w:rPr>
        <w:t>Cea de a 5-a Şedinţă este preconizată pentru luna iunie 2015.</w:t>
      </w:r>
    </w:p>
    <w:p w:rsidR="00437BF5" w:rsidRPr="00BC1BE2" w:rsidRDefault="00437BF5" w:rsidP="00C30E03">
      <w:pPr>
        <w:jc w:val="both"/>
        <w:rPr>
          <w:sz w:val="22"/>
          <w:szCs w:val="22"/>
          <w:lang w:val="ro-RO"/>
        </w:rPr>
      </w:pPr>
    </w:p>
    <w:p w:rsidR="00437BF5" w:rsidRPr="00BC1BE2" w:rsidRDefault="00437BF5" w:rsidP="00437BF5">
      <w:pPr>
        <w:jc w:val="both"/>
        <w:rPr>
          <w:b/>
          <w:sz w:val="22"/>
          <w:szCs w:val="22"/>
          <w:u w:val="single"/>
          <w:lang w:val="ro-RO"/>
        </w:rPr>
      </w:pPr>
      <w:r w:rsidRPr="00BC1BE2">
        <w:rPr>
          <w:b/>
          <w:sz w:val="22"/>
          <w:szCs w:val="22"/>
          <w:u w:val="single"/>
          <w:lang w:val="ro-RO"/>
        </w:rPr>
        <w:t>INFORMA</w:t>
      </w:r>
      <w:r w:rsidRPr="00BC1BE2">
        <w:rPr>
          <w:rFonts w:ascii="Cambria Math" w:hAnsi="Cambria Math" w:cs="Cambria Math"/>
          <w:b/>
          <w:sz w:val="22"/>
          <w:szCs w:val="22"/>
          <w:u w:val="single"/>
          <w:lang w:val="ro-RO"/>
        </w:rPr>
        <w:t>Ț</w:t>
      </w:r>
      <w:r w:rsidRPr="00BC1BE2">
        <w:rPr>
          <w:b/>
          <w:sz w:val="22"/>
          <w:szCs w:val="22"/>
          <w:u w:val="single"/>
          <w:lang w:val="ro-RO"/>
        </w:rPr>
        <w:t>IA</w:t>
      </w:r>
      <w:r w:rsidRPr="00BC1BE2">
        <w:rPr>
          <w:b/>
          <w:sz w:val="22"/>
          <w:szCs w:val="22"/>
          <w:u w:val="single"/>
          <w:lang w:val="ro-RO"/>
        </w:rPr>
        <w:t xml:space="preserve"> DESPRE </w:t>
      </w:r>
      <w:r w:rsidRPr="00BC1BE2">
        <w:rPr>
          <w:b/>
          <w:sz w:val="22"/>
          <w:szCs w:val="22"/>
          <w:u w:val="single"/>
          <w:lang w:val="ro-RO"/>
        </w:rPr>
        <w:t>COMPANIILE POLONEZE CARE ACTIVEAZĂ ÎN MOLDOVA</w:t>
      </w:r>
    </w:p>
    <w:p w:rsidR="00437BF5" w:rsidRPr="00BC1BE2" w:rsidRDefault="00437BF5" w:rsidP="00437BF5">
      <w:pPr>
        <w:jc w:val="both"/>
        <w:rPr>
          <w:sz w:val="22"/>
          <w:szCs w:val="22"/>
          <w:lang w:val="ro-RO"/>
        </w:rPr>
      </w:pPr>
    </w:p>
    <w:p w:rsidR="00437BF5" w:rsidRPr="00BC1BE2" w:rsidRDefault="00437BF5" w:rsidP="00EA1419">
      <w:pPr>
        <w:ind w:firstLine="708"/>
        <w:jc w:val="both"/>
        <w:rPr>
          <w:sz w:val="22"/>
          <w:szCs w:val="22"/>
          <w:lang w:val="ro-RO"/>
        </w:rPr>
      </w:pPr>
      <w:r w:rsidRPr="00BC1BE2">
        <w:rPr>
          <w:sz w:val="22"/>
          <w:szCs w:val="22"/>
          <w:lang w:val="ro-RO"/>
        </w:rPr>
        <w:t>Potrivit datelor Băncii Na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ionale a Moldovei (BNM) investi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iile poloneze în Republica Moldova nu sunt considerabile. Valoarea totală a investi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 xml:space="preserve">iilor </w:t>
      </w:r>
      <w:r w:rsidR="00EA1419" w:rsidRPr="00BC1BE2">
        <w:rPr>
          <w:sz w:val="22"/>
          <w:szCs w:val="22"/>
          <w:lang w:val="ro-RO"/>
        </w:rPr>
        <w:t>poloneze</w:t>
      </w:r>
      <w:r w:rsidRPr="00BC1BE2">
        <w:rPr>
          <w:sz w:val="22"/>
          <w:szCs w:val="22"/>
          <w:lang w:val="ro-RO"/>
        </w:rPr>
        <w:t xml:space="preserve"> directe la sfâr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 xml:space="preserve">itul </w:t>
      </w:r>
      <w:r w:rsidR="00EA1419" w:rsidRPr="00BC1BE2">
        <w:rPr>
          <w:sz w:val="22"/>
          <w:szCs w:val="22"/>
          <w:lang w:val="ro-RO"/>
        </w:rPr>
        <w:t xml:space="preserve">anului </w:t>
      </w:r>
      <w:r w:rsidRPr="00BC1BE2">
        <w:rPr>
          <w:sz w:val="22"/>
          <w:szCs w:val="22"/>
          <w:lang w:val="ro-RO"/>
        </w:rPr>
        <w:t xml:space="preserve">2014 </w:t>
      </w:r>
      <w:r w:rsidR="00FD4392" w:rsidRPr="00BC1BE2">
        <w:rPr>
          <w:sz w:val="22"/>
          <w:szCs w:val="22"/>
          <w:lang w:val="ro-RO"/>
        </w:rPr>
        <w:t xml:space="preserve">(trimsestrul 3) </w:t>
      </w:r>
      <w:r w:rsidR="00EA1419" w:rsidRPr="00BC1BE2">
        <w:rPr>
          <w:sz w:val="22"/>
          <w:szCs w:val="22"/>
          <w:lang w:val="ro-RO"/>
        </w:rPr>
        <w:t>a</w:t>
      </w:r>
      <w:r w:rsidR="007D56A0" w:rsidRPr="00BC1BE2">
        <w:rPr>
          <w:sz w:val="22"/>
          <w:szCs w:val="22"/>
          <w:lang w:val="ro-RO"/>
        </w:rPr>
        <w:t>u</w:t>
      </w:r>
      <w:r w:rsidR="00EA1419" w:rsidRPr="00BC1BE2">
        <w:rPr>
          <w:sz w:val="22"/>
          <w:szCs w:val="22"/>
          <w:lang w:val="ro-RO"/>
        </w:rPr>
        <w:t xml:space="preserve"> înregistrat suma </w:t>
      </w:r>
      <w:r w:rsidRPr="00BC1BE2">
        <w:rPr>
          <w:sz w:val="22"/>
          <w:szCs w:val="22"/>
          <w:lang w:val="ro-RO"/>
        </w:rPr>
        <w:t>de 10 mil. USD.</w:t>
      </w:r>
    </w:p>
    <w:p w:rsidR="002C33B0" w:rsidRPr="00BC1BE2" w:rsidRDefault="00437BF5" w:rsidP="002C33B0">
      <w:pPr>
        <w:ind w:firstLine="708"/>
        <w:jc w:val="both"/>
        <w:rPr>
          <w:sz w:val="22"/>
          <w:szCs w:val="22"/>
          <w:lang w:val="ro-RO"/>
        </w:rPr>
      </w:pPr>
      <w:r w:rsidRPr="00BC1BE2">
        <w:rPr>
          <w:sz w:val="22"/>
          <w:szCs w:val="22"/>
          <w:lang w:val="ro-RO"/>
        </w:rPr>
        <w:lastRenderedPageBreak/>
        <w:t xml:space="preserve">Pe parcursul anului 2014 doar 23 de întreprinderi cu capital polonez au raportat activitatea financiară </w:t>
      </w:r>
      <w:r w:rsidR="002C33B0" w:rsidRPr="00BC1BE2">
        <w:rPr>
          <w:sz w:val="22"/>
          <w:szCs w:val="22"/>
          <w:lang w:val="ro-RO"/>
        </w:rPr>
        <w:t>la BNM, plasî</w:t>
      </w:r>
      <w:r w:rsidRPr="00BC1BE2">
        <w:rPr>
          <w:sz w:val="22"/>
          <w:szCs w:val="22"/>
          <w:lang w:val="ro-RO"/>
        </w:rPr>
        <w:t>nd</w:t>
      </w:r>
      <w:r w:rsidR="002C33B0" w:rsidRPr="00BC1BE2">
        <w:rPr>
          <w:sz w:val="22"/>
          <w:szCs w:val="22"/>
          <w:lang w:val="ro-RO"/>
        </w:rPr>
        <w:t>u-se</w:t>
      </w:r>
      <w:r w:rsidRPr="00BC1BE2">
        <w:rPr>
          <w:sz w:val="22"/>
          <w:szCs w:val="22"/>
          <w:lang w:val="ro-RO"/>
        </w:rPr>
        <w:t xml:space="preserve"> pe locul 29 </w:t>
      </w:r>
      <w:r w:rsidR="002C33B0" w:rsidRPr="00BC1BE2">
        <w:rPr>
          <w:sz w:val="22"/>
          <w:szCs w:val="22"/>
          <w:lang w:val="ro-RO"/>
        </w:rPr>
        <w:t xml:space="preserve">după </w:t>
      </w:r>
      <w:r w:rsidRPr="00BC1BE2">
        <w:rPr>
          <w:sz w:val="22"/>
          <w:szCs w:val="22"/>
          <w:lang w:val="ro-RO"/>
        </w:rPr>
        <w:t xml:space="preserve">numărul de </w:t>
      </w:r>
      <w:r w:rsidR="002C33B0" w:rsidRPr="00BC1BE2">
        <w:rPr>
          <w:sz w:val="22"/>
          <w:szCs w:val="22"/>
          <w:lang w:val="ro-RO"/>
        </w:rPr>
        <w:t xml:space="preserve">întreprinderi </w:t>
      </w:r>
      <w:r w:rsidRPr="00BC1BE2">
        <w:rPr>
          <w:sz w:val="22"/>
          <w:szCs w:val="22"/>
          <w:lang w:val="ro-RO"/>
        </w:rPr>
        <w:t>active cu capital străin.</w:t>
      </w:r>
    </w:p>
    <w:p w:rsidR="00437BF5" w:rsidRPr="00BC1BE2" w:rsidRDefault="00437BF5" w:rsidP="002C33B0">
      <w:pPr>
        <w:ind w:firstLine="708"/>
        <w:jc w:val="both"/>
        <w:rPr>
          <w:sz w:val="22"/>
          <w:szCs w:val="22"/>
          <w:lang w:val="ro-RO"/>
        </w:rPr>
      </w:pPr>
      <w:r w:rsidRPr="00BC1BE2">
        <w:rPr>
          <w:sz w:val="22"/>
          <w:szCs w:val="22"/>
          <w:lang w:val="ro-RO"/>
        </w:rPr>
        <w:t>Un</w:t>
      </w:r>
      <w:r w:rsidR="00D61B2F" w:rsidRPr="00BC1BE2">
        <w:rPr>
          <w:sz w:val="22"/>
          <w:szCs w:val="22"/>
          <w:lang w:val="ro-RO"/>
        </w:rPr>
        <w:t>ii</w:t>
      </w:r>
      <w:r w:rsidRPr="00BC1BE2">
        <w:rPr>
          <w:sz w:val="22"/>
          <w:szCs w:val="22"/>
          <w:lang w:val="ro-RO"/>
        </w:rPr>
        <w:t xml:space="preserve"> dintre ce</w:t>
      </w:r>
      <w:r w:rsidR="00D61B2F" w:rsidRPr="00BC1BE2">
        <w:rPr>
          <w:sz w:val="22"/>
          <w:szCs w:val="22"/>
          <w:lang w:val="ro-RO"/>
        </w:rPr>
        <w:t>i</w:t>
      </w:r>
      <w:r w:rsidRPr="00BC1BE2">
        <w:rPr>
          <w:sz w:val="22"/>
          <w:szCs w:val="22"/>
          <w:lang w:val="ro-RO"/>
        </w:rPr>
        <w:t xml:space="preserve"> mai mari investi</w:t>
      </w:r>
      <w:r w:rsidR="00D61B2F" w:rsidRPr="00BC1BE2">
        <w:rPr>
          <w:sz w:val="22"/>
          <w:szCs w:val="22"/>
          <w:lang w:val="ro-RO"/>
        </w:rPr>
        <w:t xml:space="preserve">tori </w:t>
      </w:r>
      <w:r w:rsidRPr="00BC1BE2">
        <w:rPr>
          <w:sz w:val="22"/>
          <w:szCs w:val="22"/>
          <w:lang w:val="ro-RO"/>
        </w:rPr>
        <w:t>polonez</w:t>
      </w:r>
      <w:r w:rsidR="00D61B2F" w:rsidRPr="00BC1BE2">
        <w:rPr>
          <w:sz w:val="22"/>
          <w:szCs w:val="22"/>
          <w:lang w:val="ro-RO"/>
        </w:rPr>
        <w:t>i</w:t>
      </w:r>
      <w:r w:rsidRPr="00BC1BE2">
        <w:rPr>
          <w:sz w:val="22"/>
          <w:szCs w:val="22"/>
          <w:lang w:val="ro-RO"/>
        </w:rPr>
        <w:t xml:space="preserve"> în Republica Moldova este "Polski Cukier", care a investit deja 15 milioane. USD</w:t>
      </w:r>
      <w:r w:rsidR="007D56A0" w:rsidRPr="00BC1BE2">
        <w:rPr>
          <w:sz w:val="22"/>
          <w:szCs w:val="22"/>
          <w:lang w:val="ro-RO"/>
        </w:rPr>
        <w:t>, au</w:t>
      </w:r>
      <w:r w:rsidRPr="00BC1BE2">
        <w:rPr>
          <w:sz w:val="22"/>
          <w:szCs w:val="22"/>
          <w:lang w:val="ro-RO"/>
        </w:rPr>
        <w:t xml:space="preserve"> cump</w:t>
      </w:r>
      <w:r w:rsidR="007D56A0" w:rsidRPr="00BC1BE2">
        <w:rPr>
          <w:sz w:val="22"/>
          <w:szCs w:val="22"/>
          <w:lang w:val="ro-RO"/>
        </w:rPr>
        <w:t xml:space="preserve">ărat </w:t>
      </w:r>
      <w:r w:rsidRPr="00BC1BE2">
        <w:rPr>
          <w:sz w:val="22"/>
          <w:szCs w:val="22"/>
          <w:lang w:val="ro-RO"/>
        </w:rPr>
        <w:t>fabric</w:t>
      </w:r>
      <w:r w:rsidR="007D56A0" w:rsidRPr="00BC1BE2">
        <w:rPr>
          <w:sz w:val="22"/>
          <w:szCs w:val="22"/>
          <w:lang w:val="ro-RO"/>
        </w:rPr>
        <w:t xml:space="preserve">a </w:t>
      </w:r>
      <w:r w:rsidRPr="00BC1BE2">
        <w:rPr>
          <w:sz w:val="22"/>
          <w:szCs w:val="22"/>
          <w:lang w:val="ro-RO"/>
        </w:rPr>
        <w:t>de zahăr din Cupcini ("Moldova</w:t>
      </w:r>
      <w:r w:rsidR="00D61B2F" w:rsidRPr="00BC1BE2">
        <w:rPr>
          <w:sz w:val="22"/>
          <w:szCs w:val="22"/>
          <w:lang w:val="ro-RO"/>
        </w:rPr>
        <w:t xml:space="preserve"> zahăr</w:t>
      </w:r>
      <w:r w:rsidRPr="00BC1BE2">
        <w:rPr>
          <w:sz w:val="22"/>
          <w:szCs w:val="22"/>
          <w:lang w:val="ro-RO"/>
        </w:rPr>
        <w:t xml:space="preserve">"), </w:t>
      </w:r>
      <w:r w:rsidR="00D61B2F" w:rsidRPr="00BC1BE2">
        <w:rPr>
          <w:sz w:val="22"/>
          <w:szCs w:val="22"/>
          <w:lang w:val="ro-RO"/>
        </w:rPr>
        <w:t xml:space="preserve">au </w:t>
      </w:r>
      <w:r w:rsidRPr="00BC1BE2">
        <w:rPr>
          <w:sz w:val="22"/>
          <w:szCs w:val="22"/>
          <w:lang w:val="ro-RO"/>
        </w:rPr>
        <w:t>renovat</w:t>
      </w:r>
      <w:r w:rsidR="00D61B2F" w:rsidRPr="00BC1BE2">
        <w:rPr>
          <w:sz w:val="22"/>
          <w:szCs w:val="22"/>
          <w:lang w:val="ro-RO"/>
        </w:rPr>
        <w:t>-o</w:t>
      </w:r>
      <w:r w:rsidRPr="00BC1BE2">
        <w:rPr>
          <w:sz w:val="22"/>
          <w:szCs w:val="22"/>
          <w:lang w:val="ro-RO"/>
        </w:rPr>
        <w:t xml:space="preserve"> 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ș</w:t>
      </w:r>
      <w:r w:rsidRPr="00BC1BE2">
        <w:rPr>
          <w:sz w:val="22"/>
          <w:szCs w:val="22"/>
          <w:lang w:val="ro-RO"/>
        </w:rPr>
        <w:t xml:space="preserve">i </w:t>
      </w:r>
      <w:r w:rsidR="00D61B2F" w:rsidRPr="00BC1BE2">
        <w:rPr>
          <w:sz w:val="22"/>
          <w:szCs w:val="22"/>
          <w:lang w:val="ro-RO"/>
        </w:rPr>
        <w:t>au lă</w:t>
      </w:r>
      <w:r w:rsidRPr="00BC1BE2">
        <w:rPr>
          <w:sz w:val="22"/>
          <w:szCs w:val="22"/>
          <w:lang w:val="ro-RO"/>
        </w:rPr>
        <w:t>nsat</w:t>
      </w:r>
      <w:r w:rsidR="002C3015" w:rsidRPr="00BC1BE2">
        <w:rPr>
          <w:sz w:val="22"/>
          <w:szCs w:val="22"/>
          <w:lang w:val="ro-RO"/>
        </w:rPr>
        <w:t xml:space="preserve"> activitatea </w:t>
      </w:r>
      <w:r w:rsidRPr="00BC1BE2">
        <w:rPr>
          <w:sz w:val="22"/>
          <w:szCs w:val="22"/>
          <w:lang w:val="ro-RO"/>
        </w:rPr>
        <w:t>în 2011.</w:t>
      </w:r>
    </w:p>
    <w:p w:rsidR="00437BF5" w:rsidRPr="00BC1BE2" w:rsidRDefault="00437BF5" w:rsidP="00D61B2F">
      <w:pPr>
        <w:ind w:firstLine="708"/>
        <w:jc w:val="both"/>
        <w:rPr>
          <w:sz w:val="22"/>
          <w:szCs w:val="22"/>
          <w:lang w:val="ro-RO"/>
        </w:rPr>
      </w:pPr>
      <w:r w:rsidRPr="00BC1BE2">
        <w:rPr>
          <w:sz w:val="22"/>
          <w:szCs w:val="22"/>
          <w:lang w:val="ro-RO"/>
        </w:rPr>
        <w:t>Pe langa fabrica de zahăr, pe pia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a noastră func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>ionează alte companii cu capital polonez, dar investi</w:t>
      </w:r>
      <w:r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Pr="00BC1BE2">
        <w:rPr>
          <w:sz w:val="22"/>
          <w:szCs w:val="22"/>
          <w:lang w:val="ro-RO"/>
        </w:rPr>
        <w:t xml:space="preserve">iile lor nu sunt atât de semnificative, </w:t>
      </w:r>
      <w:r w:rsidR="00D61B2F" w:rsidRPr="00BC1BE2">
        <w:rPr>
          <w:sz w:val="22"/>
          <w:szCs w:val="22"/>
          <w:lang w:val="ro-RO"/>
        </w:rPr>
        <w:t>activitatea lor ţine de comerţ</w:t>
      </w:r>
      <w:r w:rsidRPr="00BC1BE2">
        <w:rPr>
          <w:sz w:val="22"/>
          <w:szCs w:val="22"/>
          <w:lang w:val="ro-RO"/>
        </w:rPr>
        <w:t>.</w:t>
      </w:r>
    </w:p>
    <w:p w:rsidR="00437BF5" w:rsidRPr="00BC1BE2" w:rsidRDefault="00741A51" w:rsidP="00682827">
      <w:pPr>
        <w:ind w:firstLine="708"/>
        <w:jc w:val="both"/>
        <w:rPr>
          <w:sz w:val="22"/>
          <w:szCs w:val="22"/>
          <w:lang w:val="ro-RO"/>
        </w:rPr>
      </w:pPr>
      <w:r w:rsidRPr="00BC1BE2">
        <w:rPr>
          <w:sz w:val="22"/>
          <w:szCs w:val="22"/>
          <w:lang w:val="ro-RO"/>
        </w:rPr>
        <w:t xml:space="preserve">Este de aşteptat, </w:t>
      </w:r>
      <w:r w:rsidR="00682827">
        <w:rPr>
          <w:sz w:val="22"/>
          <w:szCs w:val="22"/>
          <w:lang w:val="ro-RO"/>
        </w:rPr>
        <w:t>în baza</w:t>
      </w:r>
      <w:r w:rsidR="00437BF5" w:rsidRPr="00BC1BE2">
        <w:rPr>
          <w:sz w:val="22"/>
          <w:szCs w:val="22"/>
          <w:lang w:val="ro-RO"/>
        </w:rPr>
        <w:t xml:space="preserve"> </w:t>
      </w:r>
      <w:r w:rsidR="00437BF5" w:rsidRPr="00682827">
        <w:rPr>
          <w:sz w:val="22"/>
          <w:szCs w:val="22"/>
          <w:lang w:val="ro-RO"/>
        </w:rPr>
        <w:t xml:space="preserve">Acordului între Guvernul Republicii Moldova </w:t>
      </w:r>
      <w:r w:rsidR="00437BF5" w:rsidRPr="00682827">
        <w:rPr>
          <w:rFonts w:ascii="Cambria Math" w:hAnsi="Cambria Math" w:cs="Cambria Math"/>
          <w:sz w:val="22"/>
          <w:szCs w:val="22"/>
          <w:lang w:val="ro-RO"/>
        </w:rPr>
        <w:t>ș</w:t>
      </w:r>
      <w:r w:rsidR="00437BF5" w:rsidRPr="00682827">
        <w:rPr>
          <w:sz w:val="22"/>
          <w:szCs w:val="22"/>
          <w:lang w:val="ro-RO"/>
        </w:rPr>
        <w:t>i Guvernul Republicii Polone</w:t>
      </w:r>
      <w:r w:rsidR="00682827" w:rsidRPr="00682827">
        <w:rPr>
          <w:sz w:val="24"/>
          <w:szCs w:val="24"/>
          <w:lang w:val="en-US" w:eastAsia="ru-RU"/>
        </w:rPr>
        <w:t xml:space="preserve"> </w:t>
      </w:r>
      <w:proofErr w:type="spellStart"/>
      <w:r w:rsidR="00682827" w:rsidRPr="00682827">
        <w:rPr>
          <w:sz w:val="22"/>
          <w:szCs w:val="22"/>
          <w:lang w:val="en-US"/>
        </w:rPr>
        <w:t>privind</w:t>
      </w:r>
      <w:proofErr w:type="spellEnd"/>
      <w:r w:rsidR="00682827" w:rsidRPr="00682827">
        <w:rPr>
          <w:sz w:val="22"/>
          <w:szCs w:val="22"/>
          <w:lang w:val="en-US"/>
        </w:rPr>
        <w:t xml:space="preserve"> </w:t>
      </w:r>
      <w:proofErr w:type="spellStart"/>
      <w:r w:rsidR="00682827" w:rsidRPr="00682827">
        <w:rPr>
          <w:sz w:val="22"/>
          <w:szCs w:val="22"/>
          <w:lang w:val="en-US"/>
        </w:rPr>
        <w:t>obţinerea</w:t>
      </w:r>
      <w:proofErr w:type="spellEnd"/>
      <w:r w:rsidR="00682827" w:rsidRPr="00682827">
        <w:rPr>
          <w:sz w:val="22"/>
          <w:szCs w:val="22"/>
          <w:lang w:val="en-US"/>
        </w:rPr>
        <w:t xml:space="preserve"> </w:t>
      </w:r>
      <w:proofErr w:type="spellStart"/>
      <w:r w:rsidR="00682827" w:rsidRPr="00682827">
        <w:rPr>
          <w:sz w:val="22"/>
          <w:szCs w:val="22"/>
          <w:lang w:val="en-US"/>
        </w:rPr>
        <w:t>unui</w:t>
      </w:r>
      <w:proofErr w:type="spellEnd"/>
      <w:r w:rsidR="00682827" w:rsidRPr="00682827">
        <w:rPr>
          <w:sz w:val="22"/>
          <w:szCs w:val="22"/>
          <w:lang w:val="en-US"/>
        </w:rPr>
        <w:t xml:space="preserve"> credit de </w:t>
      </w:r>
      <w:proofErr w:type="spellStart"/>
      <w:r w:rsidR="00682827" w:rsidRPr="00682827">
        <w:rPr>
          <w:sz w:val="22"/>
          <w:szCs w:val="22"/>
          <w:lang w:val="en-US"/>
        </w:rPr>
        <w:t>asistenţă</w:t>
      </w:r>
      <w:proofErr w:type="spellEnd"/>
      <w:r w:rsidR="00682827" w:rsidRPr="00682827">
        <w:rPr>
          <w:sz w:val="22"/>
          <w:szCs w:val="22"/>
          <w:lang w:val="en-US"/>
        </w:rPr>
        <w:t xml:space="preserve">, </w:t>
      </w:r>
      <w:proofErr w:type="spellStart"/>
      <w:r w:rsidR="00682827" w:rsidRPr="00682827">
        <w:rPr>
          <w:sz w:val="22"/>
          <w:szCs w:val="22"/>
          <w:lang w:val="en-US"/>
        </w:rPr>
        <w:t>în</w:t>
      </w:r>
      <w:proofErr w:type="spellEnd"/>
      <w:r w:rsidR="00682827" w:rsidRPr="00682827">
        <w:rPr>
          <w:sz w:val="22"/>
          <w:szCs w:val="22"/>
          <w:lang w:val="en-US"/>
        </w:rPr>
        <w:t xml:space="preserve"> </w:t>
      </w:r>
      <w:proofErr w:type="spellStart"/>
      <w:r w:rsidR="00682827" w:rsidRPr="00682827">
        <w:rPr>
          <w:sz w:val="22"/>
          <w:szCs w:val="22"/>
          <w:lang w:val="en-US"/>
        </w:rPr>
        <w:t>sumă</w:t>
      </w:r>
      <w:proofErr w:type="spellEnd"/>
      <w:r w:rsidR="00682827" w:rsidRPr="00682827">
        <w:rPr>
          <w:sz w:val="22"/>
          <w:szCs w:val="22"/>
          <w:lang w:val="en-US"/>
        </w:rPr>
        <w:t xml:space="preserve"> de 100 </w:t>
      </w:r>
      <w:proofErr w:type="spellStart"/>
      <w:r w:rsidR="00682827" w:rsidRPr="00682827">
        <w:rPr>
          <w:sz w:val="22"/>
          <w:szCs w:val="22"/>
          <w:lang w:val="en-US"/>
        </w:rPr>
        <w:t>milioane</w:t>
      </w:r>
      <w:proofErr w:type="spellEnd"/>
      <w:r w:rsidR="00682827" w:rsidRPr="00682827">
        <w:rPr>
          <w:sz w:val="22"/>
          <w:szCs w:val="22"/>
          <w:lang w:val="en-US"/>
        </w:rPr>
        <w:t xml:space="preserve"> euro, </w:t>
      </w:r>
      <w:proofErr w:type="spellStart"/>
      <w:r w:rsidR="00682827" w:rsidRPr="00682827">
        <w:rPr>
          <w:sz w:val="22"/>
          <w:szCs w:val="22"/>
          <w:lang w:val="en-US"/>
        </w:rPr>
        <w:t>semnat</w:t>
      </w:r>
      <w:proofErr w:type="spellEnd"/>
      <w:r w:rsidR="00682827" w:rsidRPr="00682827">
        <w:rPr>
          <w:sz w:val="22"/>
          <w:szCs w:val="22"/>
          <w:lang w:val="en-US"/>
        </w:rPr>
        <w:t xml:space="preserve"> la </w:t>
      </w:r>
      <w:proofErr w:type="spellStart"/>
      <w:r w:rsidR="00682827" w:rsidRPr="00682827">
        <w:rPr>
          <w:sz w:val="22"/>
          <w:szCs w:val="22"/>
          <w:lang w:val="en-US"/>
        </w:rPr>
        <w:t>Varşovia</w:t>
      </w:r>
      <w:proofErr w:type="spellEnd"/>
      <w:r w:rsidR="00682827" w:rsidRPr="00682827">
        <w:rPr>
          <w:sz w:val="22"/>
          <w:szCs w:val="22"/>
          <w:lang w:val="en-US"/>
        </w:rPr>
        <w:t xml:space="preserve"> la 14 </w:t>
      </w:r>
      <w:proofErr w:type="spellStart"/>
      <w:r w:rsidR="00682827" w:rsidRPr="00682827">
        <w:rPr>
          <w:sz w:val="22"/>
          <w:szCs w:val="22"/>
          <w:lang w:val="en-US"/>
        </w:rPr>
        <w:t>mai</w:t>
      </w:r>
      <w:proofErr w:type="spellEnd"/>
      <w:r w:rsidR="00682827" w:rsidRPr="00682827">
        <w:rPr>
          <w:sz w:val="22"/>
          <w:szCs w:val="22"/>
          <w:lang w:val="en-US"/>
        </w:rPr>
        <w:t xml:space="preserve"> 2014</w:t>
      </w:r>
      <w:r w:rsidR="008F0F30" w:rsidRPr="00BC1BE2">
        <w:rPr>
          <w:sz w:val="22"/>
          <w:szCs w:val="22"/>
          <w:lang w:val="ro-RO"/>
        </w:rPr>
        <w:t>,</w:t>
      </w:r>
      <w:r w:rsidR="00437BF5" w:rsidRPr="00BC1BE2">
        <w:rPr>
          <w:sz w:val="22"/>
          <w:szCs w:val="22"/>
          <w:lang w:val="ro-RO"/>
        </w:rPr>
        <w:t xml:space="preserve"> </w:t>
      </w:r>
      <w:r w:rsidRPr="00BC1BE2">
        <w:rPr>
          <w:sz w:val="22"/>
          <w:szCs w:val="22"/>
          <w:lang w:val="ro-RO"/>
        </w:rPr>
        <w:t xml:space="preserve">vor apărea </w:t>
      </w:r>
      <w:r w:rsidR="008F0F30" w:rsidRPr="00BC1BE2">
        <w:rPr>
          <w:sz w:val="22"/>
          <w:szCs w:val="22"/>
          <w:lang w:val="ro-RO"/>
        </w:rPr>
        <w:t xml:space="preserve">mai </w:t>
      </w:r>
      <w:r w:rsidR="00437BF5" w:rsidRPr="00BC1BE2">
        <w:rPr>
          <w:sz w:val="22"/>
          <w:szCs w:val="22"/>
          <w:lang w:val="ro-RO"/>
        </w:rPr>
        <w:t>multe companii poloneze interesa</w:t>
      </w:r>
      <w:r w:rsidR="00682827">
        <w:rPr>
          <w:rFonts w:ascii="Cambria Math" w:hAnsi="Cambria Math" w:cs="Cambria Math"/>
          <w:sz w:val="22"/>
          <w:szCs w:val="22"/>
          <w:lang w:val="ro-RO"/>
        </w:rPr>
        <w:t>te</w:t>
      </w:r>
      <w:r w:rsidR="00437BF5" w:rsidRPr="00BC1BE2">
        <w:rPr>
          <w:sz w:val="22"/>
          <w:szCs w:val="22"/>
          <w:lang w:val="ro-RO"/>
        </w:rPr>
        <w:t xml:space="preserve"> să investească în Republica Moldova. Mai mult</w:t>
      </w:r>
      <w:r w:rsidR="00A425F4" w:rsidRPr="00BC1BE2">
        <w:rPr>
          <w:sz w:val="22"/>
          <w:szCs w:val="22"/>
          <w:lang w:val="ro-RO"/>
        </w:rPr>
        <w:t xml:space="preserve"> ca atît</w:t>
      </w:r>
      <w:r w:rsidR="00437BF5" w:rsidRPr="00BC1BE2">
        <w:rPr>
          <w:sz w:val="22"/>
          <w:szCs w:val="22"/>
          <w:lang w:val="ro-RO"/>
        </w:rPr>
        <w:t xml:space="preserve">, </w:t>
      </w:r>
      <w:r w:rsidR="00A425F4" w:rsidRPr="00BC1BE2">
        <w:rPr>
          <w:sz w:val="22"/>
          <w:szCs w:val="22"/>
          <w:lang w:val="ro-RO"/>
        </w:rPr>
        <w:t>la momentul dat</w:t>
      </w:r>
      <w:bookmarkStart w:id="0" w:name="_GoBack"/>
      <w:bookmarkEnd w:id="0"/>
      <w:r w:rsidR="00437BF5" w:rsidRPr="00BC1BE2">
        <w:rPr>
          <w:sz w:val="22"/>
          <w:szCs w:val="22"/>
          <w:lang w:val="ro-RO"/>
        </w:rPr>
        <w:t xml:space="preserve"> există o serie de companii care</w:t>
      </w:r>
      <w:r w:rsidR="00A425F4" w:rsidRPr="00BC1BE2">
        <w:rPr>
          <w:sz w:val="22"/>
          <w:szCs w:val="22"/>
          <w:lang w:val="ro-RO"/>
        </w:rPr>
        <w:t xml:space="preserve"> deja</w:t>
      </w:r>
      <w:r w:rsidR="00437BF5" w:rsidRPr="00BC1BE2">
        <w:rPr>
          <w:sz w:val="22"/>
          <w:szCs w:val="22"/>
          <w:lang w:val="ro-RO"/>
        </w:rPr>
        <w:t xml:space="preserve"> au manifestat interesul pentru </w:t>
      </w:r>
      <w:r w:rsidR="0094060A" w:rsidRPr="00BC1BE2">
        <w:rPr>
          <w:sz w:val="22"/>
          <w:szCs w:val="22"/>
          <w:lang w:val="ro-RO"/>
        </w:rPr>
        <w:t xml:space="preserve">a-şi desfăşura </w:t>
      </w:r>
      <w:r w:rsidR="00A425F4" w:rsidRPr="00BC1BE2">
        <w:rPr>
          <w:sz w:val="22"/>
          <w:szCs w:val="22"/>
          <w:lang w:val="ro-RO"/>
        </w:rPr>
        <w:t>activ</w:t>
      </w:r>
      <w:r w:rsidR="0094060A" w:rsidRPr="00BC1BE2">
        <w:rPr>
          <w:sz w:val="22"/>
          <w:szCs w:val="22"/>
          <w:lang w:val="ro-RO"/>
        </w:rPr>
        <w:t xml:space="preserve">itatea </w:t>
      </w:r>
      <w:r w:rsidR="00437BF5" w:rsidRPr="00BC1BE2">
        <w:rPr>
          <w:sz w:val="22"/>
          <w:szCs w:val="22"/>
          <w:lang w:val="ro-RO"/>
        </w:rPr>
        <w:t xml:space="preserve">în </w:t>
      </w:r>
      <w:r w:rsidR="00A425F4" w:rsidRPr="00BC1BE2">
        <w:rPr>
          <w:sz w:val="22"/>
          <w:szCs w:val="22"/>
          <w:lang w:val="ro-RO"/>
        </w:rPr>
        <w:t>Republica Moldova</w:t>
      </w:r>
      <w:r w:rsidR="00437BF5" w:rsidRPr="00BC1BE2">
        <w:rPr>
          <w:sz w:val="22"/>
          <w:szCs w:val="22"/>
          <w:lang w:val="ro-RO"/>
        </w:rPr>
        <w:t>.</w:t>
      </w:r>
    </w:p>
    <w:p w:rsidR="00437BF5" w:rsidRPr="00BC1BE2" w:rsidRDefault="001C71D1" w:rsidP="00B613CF">
      <w:pPr>
        <w:ind w:firstLine="708"/>
        <w:jc w:val="both"/>
        <w:rPr>
          <w:sz w:val="22"/>
          <w:szCs w:val="22"/>
          <w:lang w:val="en-US"/>
        </w:rPr>
      </w:pPr>
      <w:proofErr w:type="spellStart"/>
      <w:r w:rsidRPr="00BC1BE2">
        <w:rPr>
          <w:sz w:val="22"/>
          <w:szCs w:val="22"/>
          <w:lang w:val="en-US"/>
        </w:rPr>
        <w:t>Pe</w:t>
      </w:r>
      <w:proofErr w:type="spellEnd"/>
      <w:r w:rsidRPr="00BC1BE2">
        <w:rPr>
          <w:sz w:val="22"/>
          <w:szCs w:val="22"/>
          <w:lang w:val="en-US"/>
        </w:rPr>
        <w:t xml:space="preserve"> </w:t>
      </w:r>
      <w:proofErr w:type="spellStart"/>
      <w:r w:rsidRPr="00BC1BE2">
        <w:rPr>
          <w:sz w:val="22"/>
          <w:szCs w:val="22"/>
          <w:lang w:val="en-US"/>
        </w:rPr>
        <w:t>lîngă</w:t>
      </w:r>
      <w:proofErr w:type="spellEnd"/>
      <w:r w:rsidRPr="00BC1BE2">
        <w:rPr>
          <w:sz w:val="22"/>
          <w:szCs w:val="22"/>
          <w:lang w:val="en-US"/>
        </w:rPr>
        <w:t xml:space="preserve"> </w:t>
      </w:r>
      <w:proofErr w:type="spellStart"/>
      <w:r w:rsidRPr="00BC1BE2">
        <w:rPr>
          <w:sz w:val="22"/>
          <w:szCs w:val="22"/>
          <w:lang w:val="en-US"/>
        </w:rPr>
        <w:t>acestea</w:t>
      </w:r>
      <w:proofErr w:type="spellEnd"/>
      <w:r w:rsidR="00437BF5" w:rsidRPr="00BC1BE2">
        <w:rPr>
          <w:sz w:val="22"/>
          <w:szCs w:val="22"/>
          <w:lang w:val="ro-RO"/>
        </w:rPr>
        <w:t xml:space="preserve">, </w:t>
      </w:r>
      <w:r w:rsidRPr="00BC1BE2">
        <w:rPr>
          <w:sz w:val="22"/>
          <w:szCs w:val="22"/>
          <w:lang w:val="ro-RO"/>
        </w:rPr>
        <w:t>sunt şi</w:t>
      </w:r>
      <w:r w:rsidR="00437BF5" w:rsidRPr="00BC1BE2">
        <w:rPr>
          <w:sz w:val="22"/>
          <w:szCs w:val="22"/>
          <w:lang w:val="ro-RO"/>
        </w:rPr>
        <w:t xml:space="preserve"> </w:t>
      </w:r>
      <w:r w:rsidR="00B613CF" w:rsidRPr="00BC1BE2">
        <w:rPr>
          <w:sz w:val="22"/>
          <w:szCs w:val="22"/>
          <w:lang w:val="ro-RO"/>
        </w:rPr>
        <w:t>alte</w:t>
      </w:r>
      <w:r w:rsidR="00437BF5" w:rsidRPr="00BC1BE2">
        <w:rPr>
          <w:sz w:val="22"/>
          <w:szCs w:val="22"/>
          <w:lang w:val="ro-RO"/>
        </w:rPr>
        <w:t xml:space="preserve"> companii poloneze bine-cunoscute, care </w:t>
      </w:r>
      <w:r w:rsidRPr="00BC1BE2">
        <w:rPr>
          <w:sz w:val="22"/>
          <w:szCs w:val="22"/>
          <w:lang w:val="ro-RO"/>
        </w:rPr>
        <w:t xml:space="preserve">îşi desfăşoară activitatea </w:t>
      </w:r>
      <w:r w:rsidR="00437BF5" w:rsidRPr="00BC1BE2">
        <w:rPr>
          <w:sz w:val="22"/>
          <w:szCs w:val="22"/>
          <w:lang w:val="ro-RO"/>
        </w:rPr>
        <w:t>pe pia</w:t>
      </w:r>
      <w:r w:rsidR="00437BF5" w:rsidRPr="00BC1BE2">
        <w:rPr>
          <w:rFonts w:ascii="Cambria Math" w:hAnsi="Cambria Math" w:cs="Cambria Math"/>
          <w:sz w:val="22"/>
          <w:szCs w:val="22"/>
          <w:lang w:val="ro-RO"/>
        </w:rPr>
        <w:t>ț</w:t>
      </w:r>
      <w:r w:rsidR="00437BF5" w:rsidRPr="00BC1BE2">
        <w:rPr>
          <w:sz w:val="22"/>
          <w:szCs w:val="22"/>
          <w:lang w:val="ro-RO"/>
        </w:rPr>
        <w:t>a din Republica Moldova</w:t>
      </w:r>
      <w:r w:rsidRPr="00BC1BE2">
        <w:rPr>
          <w:sz w:val="22"/>
          <w:szCs w:val="22"/>
          <w:lang w:val="ro-RO"/>
        </w:rPr>
        <w:t>, precum</w:t>
      </w:r>
      <w:r w:rsidR="00437BF5" w:rsidRPr="00BC1BE2">
        <w:rPr>
          <w:sz w:val="22"/>
          <w:szCs w:val="22"/>
          <w:lang w:val="ro-RO"/>
        </w:rPr>
        <w:t xml:space="preserve"> Eurolot (companii aeriene), Red Sky (web servicii), ECM Group Polska SA (management</w:t>
      </w:r>
      <w:r w:rsidRPr="00BC1BE2">
        <w:rPr>
          <w:sz w:val="22"/>
          <w:szCs w:val="22"/>
          <w:lang w:val="ro-RO"/>
        </w:rPr>
        <w:t>ul</w:t>
      </w:r>
      <w:r w:rsidR="00437BF5" w:rsidRPr="00BC1BE2">
        <w:rPr>
          <w:sz w:val="22"/>
          <w:szCs w:val="22"/>
          <w:lang w:val="ro-RO"/>
        </w:rPr>
        <w:t xml:space="preserve"> proiecte</w:t>
      </w:r>
      <w:r w:rsidRPr="00BC1BE2">
        <w:rPr>
          <w:sz w:val="22"/>
          <w:szCs w:val="22"/>
          <w:lang w:val="ro-RO"/>
        </w:rPr>
        <w:t>lor</w:t>
      </w:r>
      <w:r w:rsidR="00437BF5" w:rsidRPr="00BC1BE2">
        <w:rPr>
          <w:sz w:val="22"/>
          <w:szCs w:val="22"/>
          <w:lang w:val="ro-RO"/>
        </w:rPr>
        <w:t xml:space="preserve"> de infrastructură)</w:t>
      </w:r>
      <w:r w:rsidR="00A425F4" w:rsidRPr="00BC1BE2">
        <w:rPr>
          <w:sz w:val="22"/>
          <w:szCs w:val="22"/>
          <w:lang w:val="ro-RO"/>
        </w:rPr>
        <w:t>.</w:t>
      </w:r>
    </w:p>
    <w:p w:rsidR="001C71D1" w:rsidRPr="00BC1BE2" w:rsidRDefault="001C71D1" w:rsidP="00B613CF">
      <w:pPr>
        <w:ind w:firstLine="708"/>
        <w:jc w:val="both"/>
        <w:rPr>
          <w:sz w:val="22"/>
          <w:szCs w:val="22"/>
          <w:lang w:val="en-US"/>
        </w:rPr>
      </w:pPr>
    </w:p>
    <w:p w:rsidR="009D5A3F" w:rsidRPr="00BC1BE2" w:rsidRDefault="001C71D1">
      <w:pPr>
        <w:rPr>
          <w:b/>
          <w:sz w:val="22"/>
          <w:szCs w:val="22"/>
          <w:u w:val="single"/>
          <w:lang w:val="ro-RO"/>
        </w:rPr>
      </w:pPr>
      <w:r w:rsidRPr="00BC1BE2">
        <w:rPr>
          <w:sz w:val="22"/>
          <w:szCs w:val="22"/>
          <w:lang w:val="en-US"/>
        </w:rPr>
        <w:t xml:space="preserve">  </w:t>
      </w:r>
      <w:r w:rsidR="009D5A3F" w:rsidRPr="00BC1BE2">
        <w:rPr>
          <w:b/>
          <w:sz w:val="22"/>
          <w:szCs w:val="22"/>
          <w:u w:val="single"/>
          <w:lang w:val="ro-RO"/>
        </w:rPr>
        <w:t>ASISTENŢA TEHNICĂ</w:t>
      </w:r>
    </w:p>
    <w:p w:rsidR="009D5A3F" w:rsidRPr="00BC1BE2" w:rsidRDefault="009D5A3F">
      <w:pPr>
        <w:rPr>
          <w:b/>
          <w:sz w:val="22"/>
          <w:szCs w:val="22"/>
          <w:u w:val="single"/>
          <w:lang w:val="ro-RO"/>
        </w:rPr>
      </w:pPr>
    </w:p>
    <w:tbl>
      <w:tblPr>
        <w:tblW w:w="103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7117"/>
      </w:tblGrid>
      <w:tr w:rsidR="009D5A3F" w:rsidRPr="00BC1BE2" w:rsidTr="009D5A3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line="300" w:lineRule="atLeast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Agen</w:t>
            </w:r>
            <w:r w:rsidRPr="00BC1BE2">
              <w:rPr>
                <w:rFonts w:ascii="Cambria Math" w:hAnsi="Cambria Math" w:cs="Cambria Math"/>
                <w:b/>
                <w:bCs/>
                <w:color w:val="000000" w:themeColor="text1"/>
                <w:sz w:val="22"/>
                <w:szCs w:val="22"/>
                <w:lang w:eastAsia="ru-RU"/>
              </w:rPr>
              <w:t>ț</w:t>
            </w:r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ia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dezvoltare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/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implementare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Ministerul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Afacerilor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Externe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coordonează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cooperarea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intermediul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Coordonatorului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Naţional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Cooperare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reprezentat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secretarul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subsecretarul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stat.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Coordonatorul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este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asistat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Consiliul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Politic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Cooperarea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</w:tr>
      <w:tr w:rsidR="009D5A3F" w:rsidRPr="00BC1BE2" w:rsidTr="009D5A3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line="300" w:lineRule="atLeast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Cadrul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juridic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cooperare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Actul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privind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Cooperarea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intrat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în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vigoare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1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ianuarie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2012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are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scopul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a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asigura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o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coordonare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gestionare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eficientă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cooperării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respectiv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de a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eficientiza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asistenţa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polonez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</w:tr>
      <w:tr w:rsidR="009D5A3F" w:rsidRPr="00BC1BE2" w:rsidTr="009D5A3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line="300" w:lineRule="atLeast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Documente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strategice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programare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Programul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multianual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cooperare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perioada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2012-2015.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Obiectivul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cooperării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acordate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Polonia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este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a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condiţii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sustenabilă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ţărilor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partenere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în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special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promovarea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consolidarea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democraţiei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acordarea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asistenţei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în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crearea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unor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instituţii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stat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moderne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eficiente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realizarea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acţiunilor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care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contribuie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reducerea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sărăciei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îmbunătăţirea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condiţiilor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sănătate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precum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creşterea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nivelului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educaţie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calificare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profesională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cetăţenilor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</w:tr>
      <w:tr w:rsidR="009D5A3F" w:rsidRPr="00BC1BE2" w:rsidTr="009D5A3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line="300" w:lineRule="atLeast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Sectoare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prioritate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/     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Domenii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cooperare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Bugetul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2013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Republica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Moldova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este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3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mln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PLN</w:t>
            </w:r>
          </w:p>
          <w:p w:rsidR="009D5A3F" w:rsidRPr="00BC1BE2" w:rsidRDefault="009D5A3F" w:rsidP="009D5A3F">
            <w:p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Sectoarele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prioritate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în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perioada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2012-2015:</w:t>
            </w:r>
          </w:p>
          <w:p w:rsidR="009D5A3F" w:rsidRPr="00BC1BE2" w:rsidRDefault="009D5A3F" w:rsidP="009D5A3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Securitatea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publică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gestionarea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frontierelor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  <w:p w:rsidR="009D5A3F" w:rsidRPr="00BC1BE2" w:rsidRDefault="009D5A3F" w:rsidP="009D5A3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regională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consolidarea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administraţiei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publice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autorităţilor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publice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locale.</w:t>
            </w:r>
          </w:p>
          <w:p w:rsidR="009D5A3F" w:rsidRPr="00BC1BE2" w:rsidRDefault="009D5A3F" w:rsidP="009D5A3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Agricultura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dezvoltarea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rurală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9D5A3F" w:rsidRPr="00BC1BE2" w:rsidTr="009D5A3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line="300" w:lineRule="atLeast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Tipul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fondurilor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/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instrumente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financiare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modalităţi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asistenţă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Asistenţa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tehnică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/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instruire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:rsidR="009D5A3F" w:rsidRPr="00BC1BE2" w:rsidRDefault="009D5A3F" w:rsidP="009D5A3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Granturi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scopul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gram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</w:t>
            </w:r>
            <w:proofErr w:type="gram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atinge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ODM.</w:t>
            </w:r>
          </w:p>
          <w:p w:rsidR="009D5A3F" w:rsidRPr="00BC1BE2" w:rsidRDefault="009D5A3F" w:rsidP="009D5A3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Sarcinile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în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domeniul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cooperării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pot fi delegate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Fundaţiei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Poloneze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Cooperare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Internaţională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"Know-How".</w:t>
            </w:r>
          </w:p>
          <w:p w:rsidR="009D5A3F" w:rsidRPr="00BC1BE2" w:rsidRDefault="009D5A3F" w:rsidP="009D5A3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Mai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mult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decât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atât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fondurile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pot fi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transferate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direct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în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bugetul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ţării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beneficiare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  <w:p w:rsidR="009D5A3F" w:rsidRPr="00BC1BE2" w:rsidRDefault="009D5A3F" w:rsidP="009D5A3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Asistenţa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poloneză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vizează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proiecte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realizate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alte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agenţii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ale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guvernului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burse,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asistenţă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refugiaţi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credite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reducerea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şi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restructurarea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datoriilor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</w:tr>
      <w:tr w:rsidR="009D5A3F" w:rsidRPr="00BC1BE2" w:rsidTr="009D5A3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line="300" w:lineRule="atLeast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Alte</w:t>
            </w:r>
            <w:proofErr w:type="spellEnd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1BE2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informaţii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A3F" w:rsidRPr="00BC1BE2" w:rsidRDefault="009D5A3F" w:rsidP="009D5A3F">
            <w:pPr>
              <w:spacing w:before="100" w:beforeAutospacing="1" w:after="100" w:afterAutospacing="1" w:line="300" w:lineRule="atLeast"/>
              <w:jc w:val="both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Din 2004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Republica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Moldova se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află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lista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beneficiarilor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prioritari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asistenţă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poloneză</w:t>
            </w:r>
            <w:proofErr w:type="spellEnd"/>
            <w:r w:rsidRPr="00BC1BE2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9D5A3F" w:rsidRPr="00BC1BE2" w:rsidRDefault="009D5A3F" w:rsidP="009D5A3F">
      <w:pPr>
        <w:rPr>
          <w:sz w:val="22"/>
          <w:szCs w:val="22"/>
          <w:lang w:val="ro-RO"/>
        </w:rPr>
      </w:pPr>
    </w:p>
    <w:sectPr w:rsidR="009D5A3F" w:rsidRPr="00BC1BE2" w:rsidSect="00DB729D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C32B72"/>
    <w:multiLevelType w:val="hybridMultilevel"/>
    <w:tmpl w:val="C87CD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75C4F"/>
    <w:multiLevelType w:val="multilevel"/>
    <w:tmpl w:val="1FF8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A1537"/>
    <w:multiLevelType w:val="multilevel"/>
    <w:tmpl w:val="3B5E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F7A80"/>
    <w:multiLevelType w:val="hybridMultilevel"/>
    <w:tmpl w:val="B8D2F5C4"/>
    <w:lvl w:ilvl="0" w:tplc="3FC28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9D"/>
    <w:rsid w:val="00012673"/>
    <w:rsid w:val="00012D7C"/>
    <w:rsid w:val="00022B62"/>
    <w:rsid w:val="00035BCF"/>
    <w:rsid w:val="000540A4"/>
    <w:rsid w:val="000670EE"/>
    <w:rsid w:val="00075355"/>
    <w:rsid w:val="00084B20"/>
    <w:rsid w:val="000A12CB"/>
    <w:rsid w:val="000B1651"/>
    <w:rsid w:val="000C7D5A"/>
    <w:rsid w:val="000D262D"/>
    <w:rsid w:val="000D3647"/>
    <w:rsid w:val="000E3AB2"/>
    <w:rsid w:val="000E450A"/>
    <w:rsid w:val="00101240"/>
    <w:rsid w:val="00105816"/>
    <w:rsid w:val="00107335"/>
    <w:rsid w:val="00117E0F"/>
    <w:rsid w:val="00124945"/>
    <w:rsid w:val="001341A8"/>
    <w:rsid w:val="0014208E"/>
    <w:rsid w:val="001564CB"/>
    <w:rsid w:val="00157F8E"/>
    <w:rsid w:val="00161AD5"/>
    <w:rsid w:val="00167456"/>
    <w:rsid w:val="00180D53"/>
    <w:rsid w:val="001950B1"/>
    <w:rsid w:val="00196AD5"/>
    <w:rsid w:val="001B4FB1"/>
    <w:rsid w:val="001C37A9"/>
    <w:rsid w:val="001C6092"/>
    <w:rsid w:val="001C71D1"/>
    <w:rsid w:val="001D21C7"/>
    <w:rsid w:val="00215BFB"/>
    <w:rsid w:val="00227301"/>
    <w:rsid w:val="002320C0"/>
    <w:rsid w:val="002429CD"/>
    <w:rsid w:val="00252753"/>
    <w:rsid w:val="00260591"/>
    <w:rsid w:val="00264957"/>
    <w:rsid w:val="00270ACF"/>
    <w:rsid w:val="00272FD2"/>
    <w:rsid w:val="00280AF9"/>
    <w:rsid w:val="00285B15"/>
    <w:rsid w:val="002A10B8"/>
    <w:rsid w:val="002A3C12"/>
    <w:rsid w:val="002A60B1"/>
    <w:rsid w:val="002A73A5"/>
    <w:rsid w:val="002B0619"/>
    <w:rsid w:val="002B4FA2"/>
    <w:rsid w:val="002B6EF4"/>
    <w:rsid w:val="002C3015"/>
    <w:rsid w:val="002C33B0"/>
    <w:rsid w:val="002C654E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7A0A"/>
    <w:rsid w:val="00363BD0"/>
    <w:rsid w:val="003657EA"/>
    <w:rsid w:val="003760BF"/>
    <w:rsid w:val="003B0F48"/>
    <w:rsid w:val="003B3D6E"/>
    <w:rsid w:val="003B61A7"/>
    <w:rsid w:val="003C6A37"/>
    <w:rsid w:val="003D0B71"/>
    <w:rsid w:val="003E1720"/>
    <w:rsid w:val="003E2CFF"/>
    <w:rsid w:val="003E2D02"/>
    <w:rsid w:val="00400B2D"/>
    <w:rsid w:val="00407DAD"/>
    <w:rsid w:val="004127BB"/>
    <w:rsid w:val="0041401B"/>
    <w:rsid w:val="00420D83"/>
    <w:rsid w:val="00424ADD"/>
    <w:rsid w:val="00437BF5"/>
    <w:rsid w:val="00451C19"/>
    <w:rsid w:val="004550A4"/>
    <w:rsid w:val="0046499C"/>
    <w:rsid w:val="004749A6"/>
    <w:rsid w:val="0048092A"/>
    <w:rsid w:val="00481E5D"/>
    <w:rsid w:val="0048274F"/>
    <w:rsid w:val="0048353C"/>
    <w:rsid w:val="00484131"/>
    <w:rsid w:val="00497887"/>
    <w:rsid w:val="004A1011"/>
    <w:rsid w:val="004A1BF5"/>
    <w:rsid w:val="004A2227"/>
    <w:rsid w:val="004B6093"/>
    <w:rsid w:val="004B6B2F"/>
    <w:rsid w:val="004C0673"/>
    <w:rsid w:val="004C22DC"/>
    <w:rsid w:val="004C5C8A"/>
    <w:rsid w:val="004E7708"/>
    <w:rsid w:val="00501BFA"/>
    <w:rsid w:val="00505A83"/>
    <w:rsid w:val="00511693"/>
    <w:rsid w:val="00527B23"/>
    <w:rsid w:val="00533535"/>
    <w:rsid w:val="0053661F"/>
    <w:rsid w:val="005438AB"/>
    <w:rsid w:val="00555044"/>
    <w:rsid w:val="005562BA"/>
    <w:rsid w:val="00561C02"/>
    <w:rsid w:val="00577313"/>
    <w:rsid w:val="00581D08"/>
    <w:rsid w:val="005A29DF"/>
    <w:rsid w:val="005C0A35"/>
    <w:rsid w:val="005C6ADB"/>
    <w:rsid w:val="005D00E3"/>
    <w:rsid w:val="005D62C3"/>
    <w:rsid w:val="005D6A41"/>
    <w:rsid w:val="005E02E9"/>
    <w:rsid w:val="005F20A8"/>
    <w:rsid w:val="00610524"/>
    <w:rsid w:val="006224A7"/>
    <w:rsid w:val="00627F20"/>
    <w:rsid w:val="00632D59"/>
    <w:rsid w:val="006333BC"/>
    <w:rsid w:val="006626C6"/>
    <w:rsid w:val="006661EA"/>
    <w:rsid w:val="0068154F"/>
    <w:rsid w:val="00681BF3"/>
    <w:rsid w:val="00682827"/>
    <w:rsid w:val="00683679"/>
    <w:rsid w:val="00692F9B"/>
    <w:rsid w:val="006A389C"/>
    <w:rsid w:val="006A493C"/>
    <w:rsid w:val="006C7681"/>
    <w:rsid w:val="006D0280"/>
    <w:rsid w:val="006D6EF4"/>
    <w:rsid w:val="006F769A"/>
    <w:rsid w:val="0070269D"/>
    <w:rsid w:val="00703D8A"/>
    <w:rsid w:val="00706109"/>
    <w:rsid w:val="00706A07"/>
    <w:rsid w:val="00710264"/>
    <w:rsid w:val="00713783"/>
    <w:rsid w:val="00723DBC"/>
    <w:rsid w:val="00741A51"/>
    <w:rsid w:val="007553A6"/>
    <w:rsid w:val="00756A1F"/>
    <w:rsid w:val="0076372E"/>
    <w:rsid w:val="00764934"/>
    <w:rsid w:val="00766936"/>
    <w:rsid w:val="00783C8D"/>
    <w:rsid w:val="007931E6"/>
    <w:rsid w:val="007A39A7"/>
    <w:rsid w:val="007B3099"/>
    <w:rsid w:val="007B3469"/>
    <w:rsid w:val="007C3DF9"/>
    <w:rsid w:val="007D56A0"/>
    <w:rsid w:val="007D589A"/>
    <w:rsid w:val="007E52F9"/>
    <w:rsid w:val="007F2FE2"/>
    <w:rsid w:val="00823143"/>
    <w:rsid w:val="0083306B"/>
    <w:rsid w:val="0084514E"/>
    <w:rsid w:val="00845253"/>
    <w:rsid w:val="00866F43"/>
    <w:rsid w:val="00871493"/>
    <w:rsid w:val="008C67B8"/>
    <w:rsid w:val="008D204D"/>
    <w:rsid w:val="008D44DC"/>
    <w:rsid w:val="008E7327"/>
    <w:rsid w:val="008F0F30"/>
    <w:rsid w:val="008F2405"/>
    <w:rsid w:val="00917AD1"/>
    <w:rsid w:val="00922C01"/>
    <w:rsid w:val="00923EBF"/>
    <w:rsid w:val="00931A5E"/>
    <w:rsid w:val="009358D5"/>
    <w:rsid w:val="0094060A"/>
    <w:rsid w:val="0094559F"/>
    <w:rsid w:val="00965119"/>
    <w:rsid w:val="00970DE9"/>
    <w:rsid w:val="00971A31"/>
    <w:rsid w:val="00976622"/>
    <w:rsid w:val="00980B46"/>
    <w:rsid w:val="009A39F2"/>
    <w:rsid w:val="009D0001"/>
    <w:rsid w:val="009D5A3F"/>
    <w:rsid w:val="009D68C3"/>
    <w:rsid w:val="009D7A46"/>
    <w:rsid w:val="009E0424"/>
    <w:rsid w:val="009F3AED"/>
    <w:rsid w:val="009F487C"/>
    <w:rsid w:val="009F5C30"/>
    <w:rsid w:val="009F7ACB"/>
    <w:rsid w:val="00A003C9"/>
    <w:rsid w:val="00A05CC1"/>
    <w:rsid w:val="00A065F4"/>
    <w:rsid w:val="00A12523"/>
    <w:rsid w:val="00A17F68"/>
    <w:rsid w:val="00A23FFF"/>
    <w:rsid w:val="00A257A0"/>
    <w:rsid w:val="00A262F1"/>
    <w:rsid w:val="00A3333C"/>
    <w:rsid w:val="00A36172"/>
    <w:rsid w:val="00A425F4"/>
    <w:rsid w:val="00A64D86"/>
    <w:rsid w:val="00A66D7E"/>
    <w:rsid w:val="00A72152"/>
    <w:rsid w:val="00A739C7"/>
    <w:rsid w:val="00A83497"/>
    <w:rsid w:val="00A86A65"/>
    <w:rsid w:val="00AA12AD"/>
    <w:rsid w:val="00AA28C3"/>
    <w:rsid w:val="00AC1ACB"/>
    <w:rsid w:val="00AC46D4"/>
    <w:rsid w:val="00AD0D82"/>
    <w:rsid w:val="00AD4C50"/>
    <w:rsid w:val="00AD5DD2"/>
    <w:rsid w:val="00AE0072"/>
    <w:rsid w:val="00AF2D46"/>
    <w:rsid w:val="00AF6A9F"/>
    <w:rsid w:val="00B107E2"/>
    <w:rsid w:val="00B13A0B"/>
    <w:rsid w:val="00B175A7"/>
    <w:rsid w:val="00B217EB"/>
    <w:rsid w:val="00B26220"/>
    <w:rsid w:val="00B507DC"/>
    <w:rsid w:val="00B613CF"/>
    <w:rsid w:val="00B64D5A"/>
    <w:rsid w:val="00B674E6"/>
    <w:rsid w:val="00B84EBB"/>
    <w:rsid w:val="00B95369"/>
    <w:rsid w:val="00BA7F3C"/>
    <w:rsid w:val="00BB2769"/>
    <w:rsid w:val="00BB3D5B"/>
    <w:rsid w:val="00BC1BE2"/>
    <w:rsid w:val="00BC24B0"/>
    <w:rsid w:val="00BC455C"/>
    <w:rsid w:val="00BD0C3D"/>
    <w:rsid w:val="00BF53AF"/>
    <w:rsid w:val="00C06A57"/>
    <w:rsid w:val="00C16B4E"/>
    <w:rsid w:val="00C24FFA"/>
    <w:rsid w:val="00C30E03"/>
    <w:rsid w:val="00C35037"/>
    <w:rsid w:val="00C522FB"/>
    <w:rsid w:val="00C5452C"/>
    <w:rsid w:val="00C54D5F"/>
    <w:rsid w:val="00C668C4"/>
    <w:rsid w:val="00C72A3F"/>
    <w:rsid w:val="00C7483D"/>
    <w:rsid w:val="00C81DE6"/>
    <w:rsid w:val="00C83FCF"/>
    <w:rsid w:val="00C84B92"/>
    <w:rsid w:val="00CA059A"/>
    <w:rsid w:val="00CC35E2"/>
    <w:rsid w:val="00CD4821"/>
    <w:rsid w:val="00CD4BF7"/>
    <w:rsid w:val="00CD6DD8"/>
    <w:rsid w:val="00CE184A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46B0B"/>
    <w:rsid w:val="00D61B2F"/>
    <w:rsid w:val="00D6269F"/>
    <w:rsid w:val="00D8414C"/>
    <w:rsid w:val="00DA459B"/>
    <w:rsid w:val="00DA5886"/>
    <w:rsid w:val="00DB729D"/>
    <w:rsid w:val="00DC07DB"/>
    <w:rsid w:val="00DC0819"/>
    <w:rsid w:val="00DC5C7A"/>
    <w:rsid w:val="00DC7080"/>
    <w:rsid w:val="00DD415A"/>
    <w:rsid w:val="00DE2CA8"/>
    <w:rsid w:val="00DF0ABF"/>
    <w:rsid w:val="00DF28C7"/>
    <w:rsid w:val="00E06049"/>
    <w:rsid w:val="00E22282"/>
    <w:rsid w:val="00E43C99"/>
    <w:rsid w:val="00E46E85"/>
    <w:rsid w:val="00E500F5"/>
    <w:rsid w:val="00E716EA"/>
    <w:rsid w:val="00E74B4F"/>
    <w:rsid w:val="00E96720"/>
    <w:rsid w:val="00EA1419"/>
    <w:rsid w:val="00EB20C7"/>
    <w:rsid w:val="00EB2BCD"/>
    <w:rsid w:val="00EB3200"/>
    <w:rsid w:val="00EB69DA"/>
    <w:rsid w:val="00EB7694"/>
    <w:rsid w:val="00EC3FD3"/>
    <w:rsid w:val="00ED050A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3F52"/>
    <w:rsid w:val="00F65095"/>
    <w:rsid w:val="00F73164"/>
    <w:rsid w:val="00F743C2"/>
    <w:rsid w:val="00F839A0"/>
    <w:rsid w:val="00F8642C"/>
    <w:rsid w:val="00F87680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D4392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B729D"/>
    <w:pPr>
      <w:keepNext/>
      <w:ind w:firstLine="708"/>
      <w:jc w:val="both"/>
      <w:outlineLvl w:val="0"/>
    </w:pPr>
    <w:rPr>
      <w:sz w:val="28"/>
      <w:szCs w:val="24"/>
      <w:lang w:val="ro-RO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B729D"/>
  </w:style>
  <w:style w:type="character" w:customStyle="1" w:styleId="10">
    <w:name w:val="Заголовок 1 Знак"/>
    <w:basedOn w:val="a0"/>
    <w:link w:val="1"/>
    <w:rsid w:val="00DB729D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4">
    <w:name w:val="Plain Text"/>
    <w:basedOn w:val="a"/>
    <w:link w:val="a5"/>
    <w:rsid w:val="00DB729D"/>
    <w:pPr>
      <w:widowControl w:val="0"/>
      <w:jc w:val="both"/>
    </w:pPr>
    <w:rPr>
      <w:rFonts w:ascii="SimSun" w:eastAsia="SimSun" w:hAnsi="Courier New"/>
      <w:kern w:val="2"/>
      <w:sz w:val="21"/>
      <w:lang w:val="en-US" w:eastAsia="zh-CN"/>
    </w:rPr>
  </w:style>
  <w:style w:type="character" w:customStyle="1" w:styleId="a5">
    <w:name w:val="Текст Знак"/>
    <w:basedOn w:val="a0"/>
    <w:link w:val="a4"/>
    <w:rsid w:val="00DB729D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a6">
    <w:name w:val="Body Text Indent"/>
    <w:basedOn w:val="a"/>
    <w:link w:val="a7"/>
    <w:rsid w:val="00DB729D"/>
    <w:pPr>
      <w:ind w:firstLine="708"/>
      <w:jc w:val="both"/>
    </w:pPr>
    <w:rPr>
      <w:sz w:val="28"/>
      <w:szCs w:val="28"/>
      <w:lang w:val="ro-RO" w:eastAsia="ru-RU"/>
    </w:rPr>
  </w:style>
  <w:style w:type="character" w:customStyle="1" w:styleId="a7">
    <w:name w:val="Основной текст с отступом Знак"/>
    <w:basedOn w:val="a0"/>
    <w:link w:val="a6"/>
    <w:rsid w:val="00DB729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2">
    <w:name w:val="Body Text 2"/>
    <w:basedOn w:val="a"/>
    <w:link w:val="20"/>
    <w:rsid w:val="00DB729D"/>
    <w:pPr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7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729D"/>
    <w:pPr>
      <w:ind w:left="720"/>
      <w:contextualSpacing/>
    </w:pPr>
  </w:style>
  <w:style w:type="character" w:styleId="a9">
    <w:name w:val="Strong"/>
    <w:basedOn w:val="a0"/>
    <w:uiPriority w:val="22"/>
    <w:qFormat/>
    <w:rsid w:val="009D5A3F"/>
    <w:rPr>
      <w:b/>
      <w:bCs/>
    </w:rPr>
  </w:style>
  <w:style w:type="paragraph" w:styleId="aa">
    <w:name w:val="Normal (Web)"/>
    <w:basedOn w:val="a"/>
    <w:uiPriority w:val="99"/>
    <w:unhideWhenUsed/>
    <w:rsid w:val="009D5A3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A3F"/>
  </w:style>
  <w:style w:type="character" w:styleId="ab">
    <w:name w:val="Hyperlink"/>
    <w:basedOn w:val="a0"/>
    <w:uiPriority w:val="99"/>
    <w:semiHidden/>
    <w:unhideWhenUsed/>
    <w:rsid w:val="009D5A3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82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28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B729D"/>
    <w:pPr>
      <w:keepNext/>
      <w:ind w:firstLine="708"/>
      <w:jc w:val="both"/>
      <w:outlineLvl w:val="0"/>
    </w:pPr>
    <w:rPr>
      <w:sz w:val="28"/>
      <w:szCs w:val="24"/>
      <w:lang w:val="ro-RO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B729D"/>
  </w:style>
  <w:style w:type="character" w:customStyle="1" w:styleId="10">
    <w:name w:val="Заголовок 1 Знак"/>
    <w:basedOn w:val="a0"/>
    <w:link w:val="1"/>
    <w:rsid w:val="00DB729D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4">
    <w:name w:val="Plain Text"/>
    <w:basedOn w:val="a"/>
    <w:link w:val="a5"/>
    <w:rsid w:val="00DB729D"/>
    <w:pPr>
      <w:widowControl w:val="0"/>
      <w:jc w:val="both"/>
    </w:pPr>
    <w:rPr>
      <w:rFonts w:ascii="SimSun" w:eastAsia="SimSun" w:hAnsi="Courier New"/>
      <w:kern w:val="2"/>
      <w:sz w:val="21"/>
      <w:lang w:val="en-US" w:eastAsia="zh-CN"/>
    </w:rPr>
  </w:style>
  <w:style w:type="character" w:customStyle="1" w:styleId="a5">
    <w:name w:val="Текст Знак"/>
    <w:basedOn w:val="a0"/>
    <w:link w:val="a4"/>
    <w:rsid w:val="00DB729D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a6">
    <w:name w:val="Body Text Indent"/>
    <w:basedOn w:val="a"/>
    <w:link w:val="a7"/>
    <w:rsid w:val="00DB729D"/>
    <w:pPr>
      <w:ind w:firstLine="708"/>
      <w:jc w:val="both"/>
    </w:pPr>
    <w:rPr>
      <w:sz w:val="28"/>
      <w:szCs w:val="28"/>
      <w:lang w:val="ro-RO" w:eastAsia="ru-RU"/>
    </w:rPr>
  </w:style>
  <w:style w:type="character" w:customStyle="1" w:styleId="a7">
    <w:name w:val="Основной текст с отступом Знак"/>
    <w:basedOn w:val="a0"/>
    <w:link w:val="a6"/>
    <w:rsid w:val="00DB729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2">
    <w:name w:val="Body Text 2"/>
    <w:basedOn w:val="a"/>
    <w:link w:val="20"/>
    <w:rsid w:val="00DB729D"/>
    <w:pPr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7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729D"/>
    <w:pPr>
      <w:ind w:left="720"/>
      <w:contextualSpacing/>
    </w:pPr>
  </w:style>
  <w:style w:type="character" w:styleId="a9">
    <w:name w:val="Strong"/>
    <w:basedOn w:val="a0"/>
    <w:uiPriority w:val="22"/>
    <w:qFormat/>
    <w:rsid w:val="009D5A3F"/>
    <w:rPr>
      <w:b/>
      <w:bCs/>
    </w:rPr>
  </w:style>
  <w:style w:type="paragraph" w:styleId="aa">
    <w:name w:val="Normal (Web)"/>
    <w:basedOn w:val="a"/>
    <w:uiPriority w:val="99"/>
    <w:unhideWhenUsed/>
    <w:rsid w:val="009D5A3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A3F"/>
  </w:style>
  <w:style w:type="character" w:styleId="ab">
    <w:name w:val="Hyperlink"/>
    <w:basedOn w:val="a0"/>
    <w:uiPriority w:val="99"/>
    <w:semiHidden/>
    <w:unhideWhenUsed/>
    <w:rsid w:val="009D5A3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82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28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ME-214-Liudmila</cp:lastModifiedBy>
  <cp:revision>41</cp:revision>
  <cp:lastPrinted>2015-05-11T13:48:00Z</cp:lastPrinted>
  <dcterms:created xsi:type="dcterms:W3CDTF">2015-04-21T13:13:00Z</dcterms:created>
  <dcterms:modified xsi:type="dcterms:W3CDTF">2015-05-11T14:06:00Z</dcterms:modified>
</cp:coreProperties>
</file>