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BEE" w:rsidRDefault="009733B1" w:rsidP="00D84BEE">
      <w:pPr>
        <w:spacing w:after="0" w:line="240" w:lineRule="auto"/>
        <w:ind w:firstLine="709"/>
        <w:jc w:val="center"/>
        <w:rPr>
          <w:rFonts w:ascii="Times New Roman" w:eastAsia="Times New Roman" w:hAnsi="Times New Roman"/>
          <w:b/>
          <w:sz w:val="24"/>
          <w:szCs w:val="24"/>
          <w:lang w:val="ro-RO"/>
        </w:rPr>
      </w:pPr>
      <w:r>
        <w:rPr>
          <w:rFonts w:ascii="Times New Roman" w:eastAsia="Times New Roman" w:hAnsi="Times New Roman"/>
          <w:b/>
          <w:sz w:val="32"/>
          <w:szCs w:val="24"/>
          <w:lang w:val="ro-RO"/>
        </w:rPr>
        <w:t xml:space="preserve">Anexa 2: </w:t>
      </w:r>
      <w:r w:rsidR="00C02D83" w:rsidRPr="00C02D83">
        <w:rPr>
          <w:rFonts w:ascii="Times New Roman" w:eastAsia="Times New Roman" w:hAnsi="Times New Roman"/>
          <w:b/>
          <w:sz w:val="32"/>
          <w:szCs w:val="24"/>
          <w:lang w:val="ro-RO"/>
        </w:rPr>
        <w:t>Raport consolidat cu privire la asistența externă obținută în anul 2014</w:t>
      </w:r>
    </w:p>
    <w:p w:rsidR="00D84BEE" w:rsidRDefault="00D84BEE" w:rsidP="00D84BEE">
      <w:pPr>
        <w:spacing w:after="0" w:line="240" w:lineRule="auto"/>
        <w:ind w:firstLine="709"/>
        <w:jc w:val="center"/>
        <w:rPr>
          <w:rFonts w:ascii="Times New Roman" w:eastAsia="Times New Roman" w:hAnsi="Times New Roman"/>
          <w:b/>
          <w:sz w:val="24"/>
          <w:szCs w:val="24"/>
          <w:lang w:val="ro-R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988"/>
        <w:gridCol w:w="8"/>
        <w:gridCol w:w="125"/>
        <w:gridCol w:w="1149"/>
        <w:gridCol w:w="144"/>
        <w:gridCol w:w="133"/>
        <w:gridCol w:w="426"/>
        <w:gridCol w:w="107"/>
        <w:gridCol w:w="301"/>
        <w:gridCol w:w="167"/>
        <w:gridCol w:w="283"/>
        <w:gridCol w:w="422"/>
        <w:gridCol w:w="1393"/>
        <w:gridCol w:w="311"/>
        <w:gridCol w:w="137"/>
        <w:gridCol w:w="284"/>
        <w:gridCol w:w="572"/>
        <w:gridCol w:w="284"/>
        <w:gridCol w:w="1270"/>
        <w:gridCol w:w="422"/>
        <w:gridCol w:w="1845"/>
        <w:gridCol w:w="2699"/>
      </w:tblGrid>
      <w:tr w:rsidR="00C75450" w:rsidRPr="00C24162" w:rsidTr="00C24162">
        <w:tc>
          <w:tcPr>
            <w:tcW w:w="2510" w:type="dxa"/>
            <w:gridSpan w:val="2"/>
            <w:tcBorders>
              <w:top w:val="single" w:sz="4" w:space="0" w:color="auto"/>
              <w:left w:val="single" w:sz="4" w:space="0" w:color="auto"/>
              <w:bottom w:val="single" w:sz="4" w:space="0" w:color="auto"/>
              <w:right w:val="single" w:sz="4" w:space="0" w:color="auto"/>
            </w:tcBorders>
            <w:hideMark/>
          </w:tcPr>
          <w:p w:rsidR="00D84BEE" w:rsidRPr="00C24162" w:rsidRDefault="00D84BEE">
            <w:pPr>
              <w:jc w:val="both"/>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SECTOR (capitolul din Programul de Activitate a Guvernului)</w:t>
            </w:r>
          </w:p>
        </w:tc>
        <w:tc>
          <w:tcPr>
            <w:tcW w:w="12482" w:type="dxa"/>
            <w:gridSpan w:val="21"/>
            <w:tcBorders>
              <w:top w:val="single" w:sz="4" w:space="0" w:color="auto"/>
              <w:left w:val="single" w:sz="4" w:space="0" w:color="auto"/>
              <w:bottom w:val="single" w:sz="4" w:space="0" w:color="auto"/>
              <w:right w:val="single" w:sz="4" w:space="0" w:color="auto"/>
            </w:tcBorders>
          </w:tcPr>
          <w:p w:rsidR="00D84BEE" w:rsidRPr="00C24162" w:rsidRDefault="00D84BEE">
            <w:pPr>
              <w:jc w:val="center"/>
              <w:rPr>
                <w:rFonts w:ascii="Times New Roman" w:eastAsia="Times New Roman" w:hAnsi="Times New Roman"/>
                <w:b/>
                <w:sz w:val="20"/>
                <w:szCs w:val="20"/>
                <w:lang w:val="ro-RO"/>
              </w:rPr>
            </w:pPr>
          </w:p>
        </w:tc>
      </w:tr>
      <w:tr w:rsidR="00C75450" w:rsidRPr="00C24162" w:rsidTr="00C24162">
        <w:trPr>
          <w:trHeight w:val="199"/>
        </w:trPr>
        <w:tc>
          <w:tcPr>
            <w:tcW w:w="2510" w:type="dxa"/>
            <w:gridSpan w:val="2"/>
            <w:vMerge w:val="restart"/>
            <w:tcBorders>
              <w:top w:val="single" w:sz="4" w:space="0" w:color="auto"/>
              <w:left w:val="single" w:sz="4" w:space="0" w:color="auto"/>
              <w:bottom w:val="single" w:sz="4" w:space="0" w:color="auto"/>
              <w:right w:val="single" w:sz="4" w:space="0" w:color="auto"/>
            </w:tcBorders>
            <w:hideMark/>
          </w:tcPr>
          <w:p w:rsidR="00D84BEE" w:rsidRPr="00C24162" w:rsidRDefault="00D84BEE">
            <w:pPr>
              <w:jc w:val="both"/>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Donatorii activi </w:t>
            </w:r>
          </w:p>
          <w:p w:rsidR="00BC20B2" w:rsidRPr="00C24162" w:rsidRDefault="00BC20B2">
            <w:pPr>
              <w:jc w:val="both"/>
              <w:rPr>
                <w:rFonts w:ascii="Times New Roman" w:eastAsia="Times New Roman" w:hAnsi="Times New Roman"/>
                <w:b/>
                <w:sz w:val="20"/>
                <w:szCs w:val="20"/>
                <w:lang w:val="ro-RO"/>
              </w:rPr>
            </w:pPr>
          </w:p>
          <w:p w:rsidR="00BC20B2" w:rsidRPr="00C24162" w:rsidRDefault="00BC20B2">
            <w:pPr>
              <w:jc w:val="both"/>
              <w:rPr>
                <w:rFonts w:ascii="Times New Roman" w:eastAsia="Times New Roman" w:hAnsi="Times New Roman"/>
                <w:b/>
                <w:sz w:val="20"/>
                <w:szCs w:val="20"/>
                <w:lang w:val="ro-RO"/>
              </w:rPr>
            </w:pPr>
          </w:p>
          <w:p w:rsidR="00BC20B2" w:rsidRPr="00C24162" w:rsidRDefault="00BC20B2">
            <w:pPr>
              <w:jc w:val="both"/>
              <w:rPr>
                <w:rFonts w:ascii="Times New Roman" w:eastAsia="Times New Roman" w:hAnsi="Times New Roman"/>
                <w:b/>
                <w:sz w:val="20"/>
                <w:szCs w:val="20"/>
                <w:lang w:val="ro-RO"/>
              </w:rPr>
            </w:pPr>
          </w:p>
          <w:p w:rsidR="00BC20B2" w:rsidRPr="00C24162" w:rsidRDefault="00BC20B2">
            <w:pPr>
              <w:jc w:val="both"/>
              <w:rPr>
                <w:rFonts w:ascii="Times New Roman" w:eastAsia="Times New Roman" w:hAnsi="Times New Roman"/>
                <w:b/>
                <w:sz w:val="20"/>
                <w:szCs w:val="20"/>
                <w:lang w:val="ro-RO"/>
              </w:rPr>
            </w:pPr>
          </w:p>
          <w:p w:rsidR="00BC20B2" w:rsidRPr="00C24162" w:rsidRDefault="00BC20B2">
            <w:pPr>
              <w:jc w:val="both"/>
              <w:rPr>
                <w:rFonts w:ascii="Times New Roman" w:eastAsia="Times New Roman" w:hAnsi="Times New Roman"/>
                <w:b/>
                <w:sz w:val="20"/>
                <w:szCs w:val="20"/>
                <w:lang w:val="ro-RO"/>
              </w:rPr>
            </w:pPr>
          </w:p>
          <w:p w:rsidR="00B46DBE" w:rsidRPr="00C24162" w:rsidRDefault="00B46DBE" w:rsidP="00B46DB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II.POLITICI ECONOMICE ŞI FINANCIARE (Programul de Activitate a Guvernului RM 2013-2014)</w:t>
            </w:r>
          </w:p>
          <w:p w:rsidR="007C6939" w:rsidRPr="00C24162" w:rsidRDefault="007C6939" w:rsidP="00B46DBE">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și</w:t>
            </w:r>
          </w:p>
          <w:p w:rsidR="007C6939" w:rsidRPr="00C24162" w:rsidRDefault="007C6939" w:rsidP="007C6939">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I. INTEGRAREA EUROPEANĂ ŞI POLITICA EXTERNĂ</w:t>
            </w:r>
          </w:p>
        </w:tc>
        <w:tc>
          <w:tcPr>
            <w:tcW w:w="2092" w:type="dxa"/>
            <w:gridSpan w:val="7"/>
            <w:vMerge w:val="restart"/>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Donatorul</w:t>
            </w:r>
          </w:p>
        </w:tc>
        <w:tc>
          <w:tcPr>
            <w:tcW w:w="1173" w:type="dxa"/>
            <w:gridSpan w:val="4"/>
            <w:vMerge w:val="restart"/>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Numărul de proiecte implementate</w:t>
            </w:r>
          </w:p>
        </w:tc>
        <w:tc>
          <w:tcPr>
            <w:tcW w:w="9217" w:type="dxa"/>
            <w:gridSpan w:val="10"/>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Buget (Euro)</w:t>
            </w:r>
          </w:p>
        </w:tc>
      </w:tr>
      <w:tr w:rsidR="00D97ED7" w:rsidRPr="00C24162" w:rsidTr="00C24162">
        <w:trPr>
          <w:trHeight w:val="199"/>
        </w:trPr>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2092" w:type="dxa"/>
            <w:gridSpan w:val="7"/>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4673" w:type="dxa"/>
            <w:gridSpan w:val="8"/>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Grant</w:t>
            </w:r>
          </w:p>
        </w:tc>
        <w:tc>
          <w:tcPr>
            <w:tcW w:w="4544" w:type="dxa"/>
            <w:gridSpan w:val="2"/>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Credit</w:t>
            </w:r>
          </w:p>
        </w:tc>
      </w:tr>
      <w:tr w:rsidR="0061143D" w:rsidRPr="00C24162" w:rsidTr="00C24162">
        <w:trPr>
          <w:trHeight w:val="599"/>
        </w:trPr>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2092" w:type="dxa"/>
            <w:gridSpan w:val="7"/>
            <w:vMerge w:val="restart"/>
            <w:tcBorders>
              <w:top w:val="single" w:sz="4" w:space="0" w:color="auto"/>
              <w:left w:val="single" w:sz="4" w:space="0" w:color="auto"/>
              <w:bottom w:val="single" w:sz="4" w:space="0" w:color="auto"/>
              <w:right w:val="single" w:sz="4" w:space="0" w:color="auto"/>
            </w:tcBorders>
          </w:tcPr>
          <w:p w:rsidR="00897D95" w:rsidRPr="00C24162" w:rsidRDefault="00177999" w:rsidP="00942B21">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UE</w:t>
            </w:r>
          </w:p>
          <w:p w:rsidR="00897D95" w:rsidRPr="00C24162" w:rsidRDefault="00897D95" w:rsidP="00897D95">
            <w:pPr>
              <w:rPr>
                <w:rFonts w:ascii="Times New Roman" w:eastAsia="Times New Roman" w:hAnsi="Times New Roman"/>
                <w:b/>
                <w:sz w:val="20"/>
                <w:szCs w:val="20"/>
                <w:lang w:val="ro-RO"/>
              </w:rPr>
            </w:pPr>
          </w:p>
          <w:p w:rsidR="00897D95" w:rsidRPr="00C24162" w:rsidRDefault="00897D95" w:rsidP="00897D95">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USAID</w:t>
            </w:r>
          </w:p>
          <w:p w:rsidR="00897D95" w:rsidRPr="00C24162" w:rsidRDefault="00897D95" w:rsidP="00897D95">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PNUD</w:t>
            </w:r>
          </w:p>
          <w:p w:rsidR="00DC364B" w:rsidRPr="00C24162" w:rsidRDefault="00E362B6" w:rsidP="00897D95">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BERD</w:t>
            </w:r>
          </w:p>
          <w:p w:rsidR="007E2E45" w:rsidRPr="00C24162" w:rsidRDefault="00E362B6" w:rsidP="00897D95">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BEI</w:t>
            </w:r>
          </w:p>
          <w:p w:rsidR="00897D95" w:rsidRPr="00C24162" w:rsidRDefault="00897D95" w:rsidP="00897D95">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Banca Mondială</w:t>
            </w:r>
          </w:p>
          <w:p w:rsidR="00177920" w:rsidRPr="00C24162" w:rsidRDefault="00B1670D" w:rsidP="00B1670D">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Guvernul Japoniei</w:t>
            </w:r>
          </w:p>
          <w:p w:rsidR="007A40C9" w:rsidRPr="00C24162" w:rsidRDefault="007A40C9" w:rsidP="00177920">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Guvernul Suediei</w:t>
            </w:r>
          </w:p>
          <w:p w:rsidR="007A40C9" w:rsidRPr="00C24162" w:rsidRDefault="00DA396F" w:rsidP="00DA396F">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Guvernul Norvegiei</w:t>
            </w:r>
          </w:p>
          <w:p w:rsidR="00916C9A" w:rsidRPr="00C24162" w:rsidRDefault="00916C9A" w:rsidP="00A301D2">
            <w:pPr>
              <w:jc w:val="center"/>
              <w:rPr>
                <w:rFonts w:ascii="Times New Roman" w:eastAsia="Times New Roman" w:hAnsi="Times New Roman"/>
                <w:b/>
                <w:sz w:val="20"/>
                <w:szCs w:val="20"/>
                <w:lang w:val="ro-RO"/>
              </w:rPr>
            </w:pPr>
          </w:p>
        </w:tc>
        <w:tc>
          <w:tcPr>
            <w:tcW w:w="1173" w:type="dxa"/>
            <w:gridSpan w:val="4"/>
            <w:vMerge w:val="restart"/>
            <w:tcBorders>
              <w:top w:val="single" w:sz="4" w:space="0" w:color="auto"/>
              <w:left w:val="single" w:sz="4" w:space="0" w:color="auto"/>
              <w:bottom w:val="single" w:sz="4" w:space="0" w:color="auto"/>
              <w:right w:val="single" w:sz="4" w:space="0" w:color="auto"/>
            </w:tcBorders>
          </w:tcPr>
          <w:p w:rsidR="00897D95" w:rsidRPr="00C24162" w:rsidRDefault="007C6939" w:rsidP="00942B21">
            <w:pPr>
              <w:jc w:val="center"/>
              <w:rPr>
                <w:rFonts w:ascii="Times New Roman" w:eastAsia="Times New Roman" w:hAnsi="Times New Roman"/>
                <w:sz w:val="20"/>
                <w:szCs w:val="20"/>
                <w:lang w:val="ro-RO"/>
              </w:rPr>
            </w:pPr>
            <w:r w:rsidRPr="00C24162">
              <w:rPr>
                <w:rFonts w:ascii="Times New Roman" w:eastAsia="Times New Roman" w:hAnsi="Times New Roman"/>
                <w:b/>
                <w:sz w:val="20"/>
                <w:szCs w:val="20"/>
                <w:lang w:val="ro-RO"/>
              </w:rPr>
              <w:t>8</w:t>
            </w:r>
          </w:p>
          <w:p w:rsidR="00891C53" w:rsidRPr="00C24162" w:rsidRDefault="00891C53" w:rsidP="00A00A20">
            <w:pPr>
              <w:tabs>
                <w:tab w:val="left" w:pos="780"/>
              </w:tabs>
              <w:rPr>
                <w:rFonts w:ascii="Times New Roman" w:eastAsia="Times New Roman" w:hAnsi="Times New Roman"/>
                <w:b/>
                <w:sz w:val="20"/>
                <w:szCs w:val="20"/>
                <w:lang w:val="ro-RO"/>
              </w:rPr>
            </w:pPr>
          </w:p>
          <w:p w:rsidR="00891C53" w:rsidRPr="00C24162" w:rsidRDefault="007F2700" w:rsidP="007F2700">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w:t>
            </w:r>
          </w:p>
          <w:p w:rsidR="00897D95" w:rsidRPr="00C24162" w:rsidRDefault="0008280A" w:rsidP="00891C53">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3</w:t>
            </w:r>
          </w:p>
          <w:p w:rsidR="00DA396F" w:rsidRPr="00C24162" w:rsidRDefault="00441CD0" w:rsidP="00891C53">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1</w:t>
            </w:r>
          </w:p>
          <w:p w:rsidR="00DA396F" w:rsidRPr="00C24162" w:rsidRDefault="00441CD0" w:rsidP="00891C53">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1</w:t>
            </w:r>
          </w:p>
          <w:p w:rsidR="00861FC1" w:rsidRPr="00C24162" w:rsidRDefault="00B1670D" w:rsidP="00891C53">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3</w:t>
            </w:r>
          </w:p>
          <w:p w:rsidR="00861FC1" w:rsidRPr="00C24162" w:rsidRDefault="00B1670D" w:rsidP="00891C53">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1</w:t>
            </w:r>
          </w:p>
          <w:p w:rsidR="00861FC1" w:rsidRPr="00C24162" w:rsidRDefault="00834F11" w:rsidP="00891C53">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w:t>
            </w:r>
          </w:p>
          <w:p w:rsidR="00861FC1" w:rsidRPr="00C24162" w:rsidRDefault="00861FC1" w:rsidP="00A301D2">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1</w:t>
            </w:r>
          </w:p>
          <w:p w:rsidR="00441CD0" w:rsidRPr="00C24162" w:rsidRDefault="00441CD0" w:rsidP="00441CD0">
            <w:pPr>
              <w:jc w:val="center"/>
              <w:rPr>
                <w:rFonts w:ascii="Times New Roman" w:eastAsia="Times New Roman" w:hAnsi="Times New Roman"/>
                <w:b/>
                <w:sz w:val="20"/>
                <w:szCs w:val="20"/>
                <w:lang w:val="ro-RO"/>
              </w:rPr>
            </w:pPr>
          </w:p>
        </w:tc>
        <w:tc>
          <w:tcPr>
            <w:tcW w:w="4673" w:type="dxa"/>
            <w:gridSpan w:val="8"/>
            <w:tcBorders>
              <w:top w:val="single" w:sz="4" w:space="0" w:color="auto"/>
              <w:left w:val="single" w:sz="4" w:space="0" w:color="auto"/>
              <w:bottom w:val="single" w:sz="4" w:space="0" w:color="auto"/>
              <w:right w:val="single" w:sz="4" w:space="0" w:color="auto"/>
            </w:tcBorders>
          </w:tcPr>
          <w:p w:rsidR="007A40C9" w:rsidRPr="00C24162" w:rsidRDefault="00472B3A" w:rsidP="00B76A72">
            <w:pPr>
              <w:jc w:val="center"/>
              <w:rPr>
                <w:rFonts w:ascii="Times New Roman" w:eastAsia="Times New Roman" w:hAnsi="Times New Roman"/>
                <w:b/>
                <w:sz w:val="20"/>
                <w:szCs w:val="20"/>
                <w:lang w:val="ro-RO"/>
              </w:rPr>
            </w:pPr>
            <w:r>
              <w:rPr>
                <w:rFonts w:ascii="Times New Roman" w:eastAsia="Times New Roman" w:hAnsi="Times New Roman"/>
                <w:b/>
                <w:sz w:val="20"/>
                <w:szCs w:val="20"/>
                <w:lang w:val="ro-RO"/>
              </w:rPr>
              <w:t>6 2</w:t>
            </w:r>
            <w:r w:rsidR="00B1670D" w:rsidRPr="00C24162">
              <w:rPr>
                <w:rFonts w:ascii="Times New Roman" w:eastAsia="Times New Roman" w:hAnsi="Times New Roman"/>
                <w:b/>
                <w:sz w:val="20"/>
                <w:szCs w:val="20"/>
                <w:lang w:val="ro-RO"/>
              </w:rPr>
              <w:t>14 992,05</w:t>
            </w:r>
            <w:r w:rsidR="00834F11" w:rsidRPr="00C24162">
              <w:rPr>
                <w:rFonts w:ascii="Times New Roman" w:eastAsia="Times New Roman" w:hAnsi="Times New Roman"/>
                <w:b/>
                <w:sz w:val="20"/>
                <w:szCs w:val="20"/>
                <w:lang w:val="ro-RO"/>
              </w:rPr>
              <w:t xml:space="preserve"> EUR</w:t>
            </w:r>
          </w:p>
          <w:p w:rsidR="00891C53" w:rsidRPr="00C24162" w:rsidRDefault="00891C53" w:rsidP="00834F11">
            <w:pPr>
              <w:ind w:left="1350"/>
              <w:rPr>
                <w:rFonts w:ascii="Times New Roman" w:eastAsia="Times New Roman" w:hAnsi="Times New Roman"/>
                <w:b/>
                <w:sz w:val="20"/>
                <w:szCs w:val="20"/>
                <w:lang w:val="ro-RO"/>
              </w:rPr>
            </w:pPr>
          </w:p>
          <w:p w:rsidR="00891C53" w:rsidRPr="00C24162" w:rsidRDefault="0008280A" w:rsidP="00834F11">
            <w:pPr>
              <w:ind w:left="1350"/>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1 985 837,5</w:t>
            </w:r>
            <w:r w:rsidR="00834F11" w:rsidRPr="00C24162">
              <w:rPr>
                <w:rFonts w:ascii="Times New Roman" w:eastAsia="Times New Roman" w:hAnsi="Times New Roman"/>
                <w:b/>
                <w:sz w:val="20"/>
                <w:szCs w:val="20"/>
                <w:lang w:val="ro-RO"/>
              </w:rPr>
              <w:t>0</w:t>
            </w:r>
            <w:r w:rsidRPr="00C24162">
              <w:rPr>
                <w:rFonts w:ascii="Times New Roman" w:eastAsia="Times New Roman" w:hAnsi="Times New Roman"/>
                <w:b/>
                <w:sz w:val="20"/>
                <w:szCs w:val="20"/>
                <w:lang w:val="ro-RO"/>
              </w:rPr>
              <w:t xml:space="preserve"> EUR</w:t>
            </w:r>
          </w:p>
          <w:p w:rsidR="00891C53" w:rsidRPr="00C24162" w:rsidRDefault="00D20CE4" w:rsidP="00834F11">
            <w:pPr>
              <w:ind w:left="1350"/>
              <w:rPr>
                <w:rFonts w:ascii="Times New Roman" w:eastAsia="Times New Roman" w:hAnsi="Times New Roman"/>
                <w:b/>
                <w:sz w:val="20"/>
                <w:szCs w:val="20"/>
                <w:lang w:val="ro-RO"/>
              </w:rPr>
            </w:pPr>
            <w:r>
              <w:rPr>
                <w:rFonts w:ascii="Times New Roman" w:eastAsia="Times New Roman" w:hAnsi="Times New Roman"/>
                <w:b/>
                <w:sz w:val="20"/>
                <w:szCs w:val="20"/>
                <w:lang w:val="ro-RO"/>
              </w:rPr>
              <w:t>3 209 902,16</w:t>
            </w:r>
            <w:r w:rsidR="00891C53" w:rsidRPr="00C24162">
              <w:rPr>
                <w:rFonts w:ascii="Times New Roman" w:eastAsia="Times New Roman" w:hAnsi="Times New Roman"/>
                <w:b/>
                <w:sz w:val="20"/>
                <w:szCs w:val="20"/>
                <w:lang w:val="ro-RO"/>
              </w:rPr>
              <w:t xml:space="preserve"> EUR</w:t>
            </w:r>
          </w:p>
          <w:p w:rsidR="00DA396F" w:rsidRPr="00C24162" w:rsidRDefault="00DA396F" w:rsidP="00834F11">
            <w:pPr>
              <w:ind w:left="1350"/>
              <w:rPr>
                <w:rFonts w:ascii="Times New Roman" w:eastAsia="Times New Roman" w:hAnsi="Times New Roman"/>
                <w:b/>
                <w:sz w:val="20"/>
                <w:szCs w:val="20"/>
                <w:lang w:val="ro-RO"/>
              </w:rPr>
            </w:pPr>
          </w:p>
          <w:p w:rsidR="00DC364B" w:rsidRPr="00C24162" w:rsidRDefault="00DC364B" w:rsidP="00834F11">
            <w:pPr>
              <w:ind w:left="1350"/>
              <w:rPr>
                <w:rFonts w:ascii="Times New Roman" w:eastAsia="Times New Roman" w:hAnsi="Times New Roman"/>
                <w:b/>
                <w:sz w:val="20"/>
                <w:szCs w:val="20"/>
                <w:lang w:val="ro-RO"/>
              </w:rPr>
            </w:pPr>
          </w:p>
          <w:p w:rsidR="00DA396F" w:rsidRPr="00C24162" w:rsidRDefault="00834F11" w:rsidP="00834F11">
            <w:pPr>
              <w:ind w:left="1350"/>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   </w:t>
            </w:r>
            <w:r w:rsidR="00D20CE4">
              <w:rPr>
                <w:rFonts w:ascii="Times New Roman" w:eastAsia="Times New Roman" w:hAnsi="Times New Roman"/>
                <w:b/>
                <w:sz w:val="20"/>
                <w:szCs w:val="20"/>
                <w:lang w:val="ro-RO"/>
              </w:rPr>
              <w:t>564 534,9</w:t>
            </w:r>
            <w:r w:rsidRPr="00C24162">
              <w:rPr>
                <w:rFonts w:ascii="Times New Roman" w:eastAsia="Times New Roman" w:hAnsi="Times New Roman"/>
                <w:b/>
                <w:sz w:val="20"/>
                <w:szCs w:val="20"/>
                <w:lang w:val="ro-RO"/>
              </w:rPr>
              <w:t>0</w:t>
            </w:r>
            <w:r w:rsidR="00DA396F" w:rsidRPr="00C24162">
              <w:rPr>
                <w:rFonts w:ascii="Times New Roman" w:eastAsia="Times New Roman" w:hAnsi="Times New Roman"/>
                <w:b/>
                <w:sz w:val="20"/>
                <w:szCs w:val="20"/>
                <w:lang w:val="ro-RO"/>
              </w:rPr>
              <w:t xml:space="preserve"> EUR</w:t>
            </w:r>
          </w:p>
          <w:p w:rsidR="00DA396F" w:rsidRPr="00C24162" w:rsidRDefault="00834F11" w:rsidP="00834F11">
            <w:pPr>
              <w:ind w:left="1350"/>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     </w:t>
            </w:r>
            <w:r w:rsidR="00D20CE4">
              <w:rPr>
                <w:rFonts w:ascii="Times New Roman" w:eastAsia="Times New Roman" w:hAnsi="Times New Roman"/>
                <w:b/>
                <w:sz w:val="20"/>
                <w:szCs w:val="20"/>
                <w:lang w:val="ro-RO"/>
              </w:rPr>
              <w:t>75 281</w:t>
            </w:r>
            <w:r w:rsidRPr="00C24162">
              <w:rPr>
                <w:rFonts w:ascii="Times New Roman" w:eastAsia="Times New Roman" w:hAnsi="Times New Roman"/>
                <w:b/>
                <w:sz w:val="20"/>
                <w:szCs w:val="20"/>
                <w:lang w:val="ro-RO"/>
              </w:rPr>
              <w:t>,00</w:t>
            </w:r>
            <w:r w:rsidR="00B1670D" w:rsidRPr="00C24162">
              <w:rPr>
                <w:rFonts w:ascii="Times New Roman" w:eastAsia="Times New Roman" w:hAnsi="Times New Roman"/>
                <w:b/>
                <w:sz w:val="20"/>
                <w:szCs w:val="20"/>
                <w:lang w:val="ro-RO"/>
              </w:rPr>
              <w:t xml:space="preserve"> EUR</w:t>
            </w:r>
          </w:p>
          <w:p w:rsidR="00083A39" w:rsidRPr="00C24162" w:rsidRDefault="00D20CE4" w:rsidP="00834F11">
            <w:pPr>
              <w:ind w:left="1350"/>
              <w:rPr>
                <w:rFonts w:ascii="Times New Roman" w:eastAsia="Times New Roman" w:hAnsi="Times New Roman"/>
                <w:b/>
                <w:sz w:val="20"/>
                <w:szCs w:val="20"/>
                <w:lang w:val="ro-RO"/>
              </w:rPr>
            </w:pPr>
            <w:r>
              <w:rPr>
                <w:rFonts w:ascii="Times New Roman" w:eastAsia="Times New Roman" w:hAnsi="Times New Roman"/>
                <w:b/>
                <w:sz w:val="20"/>
                <w:szCs w:val="20"/>
                <w:lang w:val="ro-RO"/>
              </w:rPr>
              <w:t xml:space="preserve">   </w:t>
            </w:r>
            <w:r w:rsidR="00B25D06">
              <w:rPr>
                <w:rFonts w:ascii="Times New Roman" w:eastAsia="Times New Roman" w:hAnsi="Times New Roman"/>
                <w:b/>
                <w:sz w:val="20"/>
                <w:szCs w:val="20"/>
                <w:lang w:val="ro-RO"/>
              </w:rPr>
              <w:t>957 588,38</w:t>
            </w:r>
            <w:r w:rsidR="00083A39" w:rsidRPr="00C24162">
              <w:rPr>
                <w:rFonts w:ascii="Times New Roman" w:eastAsia="Times New Roman" w:hAnsi="Times New Roman"/>
                <w:b/>
                <w:sz w:val="20"/>
                <w:szCs w:val="20"/>
                <w:lang w:val="ro-RO"/>
              </w:rPr>
              <w:t xml:space="preserve"> EUR</w:t>
            </w:r>
          </w:p>
          <w:p w:rsidR="00AF42AB" w:rsidRPr="00C24162" w:rsidRDefault="00834F11" w:rsidP="00A301D2">
            <w:pPr>
              <w:ind w:left="1350"/>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     </w:t>
            </w:r>
            <w:r w:rsidR="00DA396F" w:rsidRPr="00C24162">
              <w:rPr>
                <w:rFonts w:ascii="Times New Roman" w:eastAsia="Times New Roman" w:hAnsi="Times New Roman"/>
                <w:b/>
                <w:sz w:val="20"/>
                <w:szCs w:val="20"/>
                <w:lang w:val="ro-RO"/>
              </w:rPr>
              <w:t>44 621,6</w:t>
            </w:r>
            <w:r w:rsidRPr="00C24162">
              <w:rPr>
                <w:rFonts w:ascii="Times New Roman" w:eastAsia="Times New Roman" w:hAnsi="Times New Roman"/>
                <w:b/>
                <w:sz w:val="20"/>
                <w:szCs w:val="20"/>
                <w:lang w:val="ro-RO"/>
              </w:rPr>
              <w:t>0</w:t>
            </w:r>
            <w:r w:rsidR="00DA396F" w:rsidRPr="00C24162">
              <w:rPr>
                <w:rFonts w:ascii="Times New Roman" w:eastAsia="Times New Roman" w:hAnsi="Times New Roman"/>
                <w:b/>
                <w:sz w:val="20"/>
                <w:szCs w:val="20"/>
                <w:lang w:val="ro-RO"/>
              </w:rPr>
              <w:t xml:space="preserve"> EUR</w:t>
            </w:r>
          </w:p>
        </w:tc>
        <w:tc>
          <w:tcPr>
            <w:tcW w:w="4544" w:type="dxa"/>
            <w:gridSpan w:val="2"/>
            <w:tcBorders>
              <w:top w:val="single" w:sz="4" w:space="0" w:color="auto"/>
              <w:left w:val="single" w:sz="4" w:space="0" w:color="auto"/>
              <w:bottom w:val="single" w:sz="4" w:space="0" w:color="auto"/>
              <w:right w:val="single" w:sz="4" w:space="0" w:color="auto"/>
            </w:tcBorders>
          </w:tcPr>
          <w:p w:rsidR="00D84BEE" w:rsidRPr="00C24162" w:rsidRDefault="00D84BEE">
            <w:pPr>
              <w:jc w:val="center"/>
              <w:rPr>
                <w:rFonts w:ascii="Times New Roman" w:eastAsia="Times New Roman" w:hAnsi="Times New Roman"/>
                <w:b/>
                <w:sz w:val="20"/>
                <w:szCs w:val="20"/>
                <w:lang w:val="ro-RO"/>
              </w:rPr>
            </w:pPr>
          </w:p>
          <w:p w:rsidR="00897D95" w:rsidRPr="00C24162" w:rsidRDefault="00897D95">
            <w:pPr>
              <w:jc w:val="center"/>
              <w:rPr>
                <w:rFonts w:ascii="Times New Roman" w:eastAsia="Times New Roman" w:hAnsi="Times New Roman"/>
                <w:b/>
                <w:sz w:val="20"/>
                <w:szCs w:val="20"/>
                <w:lang w:val="ro-RO"/>
              </w:rPr>
            </w:pPr>
          </w:p>
          <w:p w:rsidR="00897D95" w:rsidRPr="00C24162" w:rsidRDefault="00897D95">
            <w:pPr>
              <w:jc w:val="center"/>
              <w:rPr>
                <w:rFonts w:ascii="Times New Roman" w:eastAsia="Times New Roman" w:hAnsi="Times New Roman"/>
                <w:b/>
                <w:sz w:val="20"/>
                <w:szCs w:val="20"/>
                <w:lang w:val="ro-RO"/>
              </w:rPr>
            </w:pPr>
          </w:p>
          <w:p w:rsidR="00897D95" w:rsidRPr="00C24162" w:rsidRDefault="00897D95">
            <w:pPr>
              <w:jc w:val="center"/>
              <w:rPr>
                <w:rFonts w:ascii="Times New Roman" w:eastAsia="Times New Roman" w:hAnsi="Times New Roman"/>
                <w:b/>
                <w:sz w:val="20"/>
                <w:szCs w:val="20"/>
                <w:lang w:val="ro-RO"/>
              </w:rPr>
            </w:pPr>
          </w:p>
          <w:p w:rsidR="00DC364B" w:rsidRPr="00C24162" w:rsidRDefault="00DC364B" w:rsidP="00834F11">
            <w:pPr>
              <w:ind w:firstLine="1171"/>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2 119 522,27</w:t>
            </w:r>
            <w:r w:rsidR="00E362B6" w:rsidRPr="00C24162">
              <w:rPr>
                <w:rFonts w:ascii="Times New Roman" w:eastAsia="Times New Roman" w:hAnsi="Times New Roman"/>
                <w:b/>
                <w:sz w:val="20"/>
                <w:szCs w:val="20"/>
                <w:lang w:val="ro-RO"/>
              </w:rPr>
              <w:t xml:space="preserve">  EUR</w:t>
            </w:r>
          </w:p>
          <w:p w:rsidR="00DC364B" w:rsidRPr="00C24162" w:rsidRDefault="000635C6" w:rsidP="00834F11">
            <w:pPr>
              <w:ind w:firstLine="1171"/>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2 147 000,00 EUR</w:t>
            </w:r>
          </w:p>
          <w:p w:rsidR="007A40C9" w:rsidRPr="00C24162" w:rsidRDefault="00834F11" w:rsidP="00834F11">
            <w:pPr>
              <w:ind w:firstLine="1171"/>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     </w:t>
            </w:r>
            <w:r w:rsidR="00DA396F" w:rsidRPr="00C24162">
              <w:rPr>
                <w:rFonts w:ascii="Times New Roman" w:eastAsia="Times New Roman" w:hAnsi="Times New Roman"/>
                <w:b/>
                <w:sz w:val="20"/>
                <w:szCs w:val="20"/>
                <w:lang w:val="ro-RO"/>
              </w:rPr>
              <w:t>21 030</w:t>
            </w:r>
            <w:r w:rsidRPr="00C24162">
              <w:rPr>
                <w:rFonts w:ascii="Times New Roman" w:eastAsia="Times New Roman" w:hAnsi="Times New Roman"/>
                <w:b/>
                <w:sz w:val="20"/>
                <w:szCs w:val="20"/>
                <w:lang w:val="ro-RO"/>
              </w:rPr>
              <w:t>,00</w:t>
            </w:r>
            <w:r w:rsidR="00DA396F" w:rsidRPr="00C24162">
              <w:rPr>
                <w:rFonts w:ascii="Times New Roman" w:eastAsia="Times New Roman" w:hAnsi="Times New Roman"/>
                <w:b/>
                <w:sz w:val="20"/>
                <w:szCs w:val="20"/>
                <w:lang w:val="ro-RO"/>
              </w:rPr>
              <w:t xml:space="preserve">  EUR</w:t>
            </w:r>
          </w:p>
          <w:p w:rsidR="00DA396F" w:rsidRPr="00C24162" w:rsidRDefault="00DA396F" w:rsidP="007A40C9">
            <w:pPr>
              <w:jc w:val="center"/>
              <w:rPr>
                <w:rFonts w:ascii="Times New Roman" w:eastAsia="Times New Roman" w:hAnsi="Times New Roman"/>
                <w:b/>
                <w:sz w:val="20"/>
                <w:szCs w:val="20"/>
                <w:lang w:val="ro-RO"/>
              </w:rPr>
            </w:pPr>
          </w:p>
          <w:p w:rsidR="00DA396F" w:rsidRPr="00C24162" w:rsidRDefault="00DA396F" w:rsidP="007A40C9">
            <w:pPr>
              <w:jc w:val="center"/>
              <w:rPr>
                <w:rFonts w:ascii="Times New Roman" w:eastAsia="Times New Roman" w:hAnsi="Times New Roman"/>
                <w:b/>
                <w:sz w:val="20"/>
                <w:szCs w:val="20"/>
                <w:lang w:val="ro-RO"/>
              </w:rPr>
            </w:pPr>
          </w:p>
        </w:tc>
      </w:tr>
      <w:tr w:rsidR="00D3416E" w:rsidRPr="00C24162" w:rsidTr="00C24162">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2092" w:type="dxa"/>
            <w:gridSpan w:val="7"/>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9217" w:type="dxa"/>
            <w:gridSpan w:val="10"/>
            <w:tcBorders>
              <w:top w:val="single" w:sz="4" w:space="0" w:color="auto"/>
              <w:left w:val="single" w:sz="4" w:space="0" w:color="auto"/>
              <w:bottom w:val="single" w:sz="4" w:space="0" w:color="auto"/>
              <w:right w:val="single" w:sz="4" w:space="0" w:color="auto"/>
            </w:tcBorders>
            <w:shd w:val="clear" w:color="auto" w:fill="C4BC96"/>
          </w:tcPr>
          <w:p w:rsidR="00D84BEE" w:rsidRPr="00C24162" w:rsidRDefault="00D84BEE">
            <w:pPr>
              <w:jc w:val="center"/>
              <w:rPr>
                <w:rFonts w:ascii="Times New Roman" w:eastAsia="Times New Roman" w:hAnsi="Times New Roman"/>
                <w:sz w:val="20"/>
                <w:szCs w:val="20"/>
                <w:lang w:val="ro-RO"/>
              </w:rPr>
            </w:pPr>
          </w:p>
        </w:tc>
      </w:tr>
      <w:tr w:rsidR="00D97ED7" w:rsidRPr="00C24162" w:rsidTr="00C24162">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2092" w:type="dxa"/>
            <w:gridSpan w:val="7"/>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4673" w:type="dxa"/>
            <w:gridSpan w:val="8"/>
            <w:tcBorders>
              <w:top w:val="single" w:sz="4" w:space="0" w:color="auto"/>
              <w:left w:val="single" w:sz="4" w:space="0" w:color="auto"/>
              <w:bottom w:val="single" w:sz="4" w:space="0" w:color="auto"/>
              <w:right w:val="single" w:sz="4" w:space="0" w:color="auto"/>
            </w:tcBorders>
            <w:hideMark/>
          </w:tcPr>
          <w:p w:rsidR="00D84BEE" w:rsidRPr="00C24162" w:rsidRDefault="00D84BEE">
            <w:pP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Din bugetul integral al asistenței externe au fost:</w:t>
            </w:r>
          </w:p>
        </w:tc>
        <w:tc>
          <w:tcPr>
            <w:tcW w:w="4544" w:type="dxa"/>
            <w:gridSpan w:val="2"/>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Buget (Euro)</w:t>
            </w:r>
          </w:p>
        </w:tc>
      </w:tr>
      <w:tr w:rsidR="00D97ED7" w:rsidRPr="00C24162" w:rsidTr="00C24162">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2092" w:type="dxa"/>
            <w:gridSpan w:val="7"/>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4673" w:type="dxa"/>
            <w:gridSpan w:val="8"/>
            <w:tcBorders>
              <w:top w:val="single" w:sz="4" w:space="0" w:color="auto"/>
              <w:left w:val="single" w:sz="4" w:space="0" w:color="auto"/>
              <w:bottom w:val="single" w:sz="4" w:space="0" w:color="auto"/>
              <w:right w:val="single" w:sz="4" w:space="0" w:color="auto"/>
            </w:tcBorders>
            <w:hideMark/>
          </w:tcPr>
          <w:p w:rsidR="00D84BEE" w:rsidRPr="00C24162" w:rsidRDefault="00D84BEE">
            <w:pP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Reflectați în bugetul public național (planificate în bugetele anuale)</w:t>
            </w:r>
          </w:p>
        </w:tc>
        <w:tc>
          <w:tcPr>
            <w:tcW w:w="4544" w:type="dxa"/>
            <w:gridSpan w:val="2"/>
            <w:tcBorders>
              <w:top w:val="single" w:sz="4" w:space="0" w:color="auto"/>
              <w:left w:val="single" w:sz="4" w:space="0" w:color="auto"/>
              <w:bottom w:val="single" w:sz="4" w:space="0" w:color="auto"/>
              <w:right w:val="single" w:sz="4" w:space="0" w:color="auto"/>
            </w:tcBorders>
          </w:tcPr>
          <w:p w:rsidR="004171C4" w:rsidRPr="00C24162" w:rsidRDefault="000A0FFE" w:rsidP="00AA1AD3">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155 300 </w:t>
            </w:r>
            <w:proofErr w:type="spellStart"/>
            <w:r w:rsidRPr="00C24162">
              <w:rPr>
                <w:rFonts w:ascii="Times New Roman" w:eastAsia="Times New Roman" w:hAnsi="Times New Roman"/>
                <w:sz w:val="20"/>
                <w:szCs w:val="20"/>
                <w:lang w:val="ro-RO"/>
              </w:rPr>
              <w:t>300</w:t>
            </w:r>
            <w:proofErr w:type="spellEnd"/>
            <w:r w:rsidR="004171C4" w:rsidRPr="00C24162">
              <w:rPr>
                <w:rFonts w:ascii="Times New Roman" w:eastAsia="Times New Roman" w:hAnsi="Times New Roman"/>
                <w:sz w:val="20"/>
                <w:szCs w:val="20"/>
                <w:lang w:val="ro-RO"/>
              </w:rPr>
              <w:t xml:space="preserve"> lei =</w:t>
            </w:r>
          </w:p>
          <w:p w:rsidR="00B36D0B" w:rsidRPr="00C24162" w:rsidRDefault="000A0FFE" w:rsidP="00B76A72">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u w:val="single"/>
                <w:lang w:val="ro-RO"/>
              </w:rPr>
              <w:t>8 336 033,7</w:t>
            </w:r>
            <w:r w:rsidR="004171C4" w:rsidRPr="00C24162">
              <w:rPr>
                <w:rFonts w:ascii="Times New Roman" w:eastAsia="Times New Roman" w:hAnsi="Times New Roman"/>
                <w:b/>
                <w:sz w:val="20"/>
                <w:szCs w:val="20"/>
                <w:lang w:val="ro-RO"/>
              </w:rPr>
              <w:t xml:space="preserve"> Euro</w:t>
            </w:r>
          </w:p>
        </w:tc>
      </w:tr>
      <w:tr w:rsidR="00D97ED7" w:rsidRPr="00C24162" w:rsidTr="00C24162">
        <w:trPr>
          <w:trHeight w:val="879"/>
        </w:trPr>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2092" w:type="dxa"/>
            <w:gridSpan w:val="7"/>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4673" w:type="dxa"/>
            <w:gridSpan w:val="8"/>
            <w:tcBorders>
              <w:top w:val="single" w:sz="4" w:space="0" w:color="auto"/>
              <w:left w:val="single" w:sz="4" w:space="0" w:color="auto"/>
              <w:bottom w:val="single" w:sz="4" w:space="0" w:color="auto"/>
              <w:right w:val="single" w:sz="4" w:space="0" w:color="auto"/>
            </w:tcBorders>
            <w:hideMark/>
          </w:tcPr>
          <w:p w:rsidR="00D84BEE" w:rsidRPr="00C24162" w:rsidRDefault="00D84BEE">
            <w:pPr>
              <w:rPr>
                <w:rFonts w:ascii="Times New Roman" w:eastAsia="Times New Roman" w:hAnsi="Times New Roman"/>
                <w:b/>
                <w:sz w:val="20"/>
                <w:szCs w:val="20"/>
                <w:lang w:val="ro-RO"/>
              </w:rPr>
            </w:pPr>
            <w:r w:rsidRPr="00C24162">
              <w:rPr>
                <w:rFonts w:ascii="Times New Roman" w:eastAsia="Times New Roman" w:hAnsi="Times New Roman"/>
                <w:i/>
                <w:sz w:val="20"/>
                <w:szCs w:val="20"/>
                <w:lang w:val="ro-RO"/>
              </w:rPr>
              <w:t xml:space="preserve">De facto </w:t>
            </w:r>
            <w:r w:rsidRPr="00C24162">
              <w:rPr>
                <w:rFonts w:ascii="Times New Roman" w:eastAsia="Times New Roman" w:hAnsi="Times New Roman"/>
                <w:sz w:val="20"/>
                <w:szCs w:val="20"/>
                <w:lang w:val="ro-RO"/>
              </w:rPr>
              <w:t>debursate (în anul de raportare)</w:t>
            </w:r>
          </w:p>
        </w:tc>
        <w:tc>
          <w:tcPr>
            <w:tcW w:w="4544" w:type="dxa"/>
            <w:gridSpan w:val="2"/>
            <w:tcBorders>
              <w:top w:val="single" w:sz="4" w:space="0" w:color="auto"/>
              <w:left w:val="single" w:sz="4" w:space="0" w:color="auto"/>
              <w:bottom w:val="single" w:sz="4" w:space="0" w:color="auto"/>
              <w:right w:val="single" w:sz="4" w:space="0" w:color="auto"/>
            </w:tcBorders>
          </w:tcPr>
          <w:p w:rsidR="004171C4" w:rsidRPr="00C24162" w:rsidRDefault="000A0FFE" w:rsidP="004171C4">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61 630 000</w:t>
            </w:r>
            <w:r w:rsidR="004171C4" w:rsidRPr="00C24162">
              <w:rPr>
                <w:rFonts w:ascii="Times New Roman" w:eastAsia="Times New Roman" w:hAnsi="Times New Roman"/>
                <w:sz w:val="20"/>
                <w:szCs w:val="20"/>
                <w:lang w:val="ro-RO"/>
              </w:rPr>
              <w:t xml:space="preserve"> lei =</w:t>
            </w:r>
          </w:p>
          <w:p w:rsidR="00B36D0B" w:rsidRPr="00B76A72" w:rsidRDefault="000A0FFE" w:rsidP="00B76A72">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u w:val="single"/>
                <w:lang w:val="ro-RO"/>
              </w:rPr>
              <w:t>3 308 105,2</w:t>
            </w:r>
            <w:r w:rsidR="004171C4" w:rsidRPr="00C24162">
              <w:rPr>
                <w:rFonts w:ascii="Times New Roman" w:eastAsia="Times New Roman" w:hAnsi="Times New Roman"/>
                <w:b/>
                <w:sz w:val="20"/>
                <w:szCs w:val="20"/>
                <w:lang w:val="ro-RO"/>
              </w:rPr>
              <w:t xml:space="preserve"> Euro</w:t>
            </w:r>
          </w:p>
        </w:tc>
      </w:tr>
      <w:tr w:rsidR="00D97ED7" w:rsidRPr="00C24162" w:rsidTr="00C24162">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2092" w:type="dxa"/>
            <w:gridSpan w:val="7"/>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4673" w:type="dxa"/>
            <w:gridSpan w:val="8"/>
            <w:tcBorders>
              <w:top w:val="single" w:sz="4" w:space="0" w:color="auto"/>
              <w:left w:val="single" w:sz="4" w:space="0" w:color="auto"/>
              <w:bottom w:val="single" w:sz="4" w:space="0" w:color="auto"/>
              <w:right w:val="single" w:sz="4" w:space="0" w:color="auto"/>
            </w:tcBorders>
            <w:hideMark/>
          </w:tcPr>
          <w:p w:rsidR="00D84BEE" w:rsidRPr="00C24162" w:rsidRDefault="00D84BEE" w:rsidP="00543718">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Utilizate sistemele naționale de management al finanțelor publice și de procurări (de executare a bugetului, raportarea financiară, auditare, procurări) *</w:t>
            </w:r>
          </w:p>
        </w:tc>
        <w:tc>
          <w:tcPr>
            <w:tcW w:w="4544" w:type="dxa"/>
            <w:gridSpan w:val="2"/>
            <w:tcBorders>
              <w:top w:val="single" w:sz="4" w:space="0" w:color="auto"/>
              <w:left w:val="single" w:sz="4" w:space="0" w:color="auto"/>
              <w:bottom w:val="single" w:sz="4" w:space="0" w:color="auto"/>
              <w:right w:val="single" w:sz="4" w:space="0" w:color="auto"/>
            </w:tcBorders>
          </w:tcPr>
          <w:p w:rsidR="00D84BEE" w:rsidRPr="00C24162" w:rsidRDefault="00D84BEE">
            <w:pPr>
              <w:jc w:val="center"/>
              <w:rPr>
                <w:rFonts w:ascii="Times New Roman" w:eastAsia="Times New Roman" w:hAnsi="Times New Roman"/>
                <w:b/>
                <w:sz w:val="20"/>
                <w:szCs w:val="20"/>
                <w:lang w:val="ro-RO"/>
              </w:rPr>
            </w:pPr>
          </w:p>
        </w:tc>
      </w:tr>
      <w:tr w:rsidR="00D3416E" w:rsidRPr="00C24162" w:rsidTr="00C24162">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2092" w:type="dxa"/>
            <w:gridSpan w:val="7"/>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9217" w:type="dxa"/>
            <w:gridSpan w:val="10"/>
            <w:tcBorders>
              <w:top w:val="single" w:sz="4" w:space="0" w:color="auto"/>
              <w:left w:val="single" w:sz="4" w:space="0" w:color="auto"/>
              <w:bottom w:val="single" w:sz="4" w:space="0" w:color="auto"/>
              <w:right w:val="single" w:sz="4" w:space="0" w:color="auto"/>
            </w:tcBorders>
            <w:shd w:val="clear" w:color="auto" w:fill="C4BC96"/>
          </w:tcPr>
          <w:p w:rsidR="00D84BEE" w:rsidRPr="00C24162" w:rsidRDefault="00D84BEE">
            <w:pPr>
              <w:jc w:val="center"/>
              <w:rPr>
                <w:rFonts w:ascii="Times New Roman" w:eastAsia="Times New Roman" w:hAnsi="Times New Roman"/>
                <w:b/>
                <w:sz w:val="20"/>
                <w:szCs w:val="20"/>
                <w:lang w:val="ro-RO"/>
              </w:rPr>
            </w:pPr>
          </w:p>
        </w:tc>
      </w:tr>
      <w:tr w:rsidR="00D3416E" w:rsidRPr="00C24162" w:rsidTr="00C24162">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2092" w:type="dxa"/>
            <w:gridSpan w:val="7"/>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9217" w:type="dxa"/>
            <w:gridSpan w:val="10"/>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Sumele planifi</w:t>
            </w:r>
            <w:r w:rsidR="00C02D83" w:rsidRPr="00C24162">
              <w:rPr>
                <w:rFonts w:ascii="Times New Roman" w:eastAsia="Times New Roman" w:hAnsi="Times New Roman"/>
                <w:sz w:val="20"/>
                <w:szCs w:val="20"/>
                <w:lang w:val="ro-RO"/>
              </w:rPr>
              <w:t>cate în buget pentru următorii 4</w:t>
            </w:r>
            <w:r w:rsidRPr="00C24162">
              <w:rPr>
                <w:rFonts w:ascii="Times New Roman" w:eastAsia="Times New Roman" w:hAnsi="Times New Roman"/>
                <w:sz w:val="20"/>
                <w:szCs w:val="20"/>
                <w:lang w:val="ro-RO"/>
              </w:rPr>
              <w:t xml:space="preserve"> ani</w:t>
            </w:r>
            <w:r w:rsidR="00C02D83" w:rsidRPr="00C24162">
              <w:rPr>
                <w:rFonts w:ascii="Times New Roman" w:eastAsia="Times New Roman" w:hAnsi="Times New Roman"/>
                <w:sz w:val="20"/>
                <w:szCs w:val="20"/>
                <w:lang w:val="ro-RO"/>
              </w:rPr>
              <w:t xml:space="preserve"> (</w:t>
            </w:r>
            <w:r w:rsidR="00C02D83" w:rsidRPr="00C24162">
              <w:rPr>
                <w:rFonts w:ascii="Times New Roman" w:eastAsia="Times New Roman" w:hAnsi="Times New Roman"/>
                <w:i/>
                <w:sz w:val="20"/>
                <w:szCs w:val="20"/>
                <w:lang w:val="ro-RO"/>
              </w:rPr>
              <w:t>din asistența externă</w:t>
            </w:r>
            <w:r w:rsidR="00C02D83" w:rsidRPr="00C24162">
              <w:rPr>
                <w:rFonts w:ascii="Times New Roman" w:eastAsia="Times New Roman" w:hAnsi="Times New Roman"/>
                <w:sz w:val="20"/>
                <w:szCs w:val="20"/>
                <w:lang w:val="ro-RO"/>
              </w:rPr>
              <w:t>)</w:t>
            </w:r>
          </w:p>
        </w:tc>
      </w:tr>
      <w:tr w:rsidR="004D45BE" w:rsidRPr="00C24162" w:rsidTr="00C24162">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C02D83" w:rsidRPr="00C24162" w:rsidRDefault="00C02D83">
            <w:pPr>
              <w:spacing w:after="0" w:line="240" w:lineRule="auto"/>
              <w:rPr>
                <w:rFonts w:ascii="Times New Roman" w:eastAsia="Times New Roman" w:hAnsi="Times New Roman"/>
                <w:b/>
                <w:sz w:val="20"/>
                <w:szCs w:val="20"/>
                <w:lang w:val="ro-RO"/>
              </w:rPr>
            </w:pPr>
          </w:p>
        </w:tc>
        <w:tc>
          <w:tcPr>
            <w:tcW w:w="2092" w:type="dxa"/>
            <w:gridSpan w:val="7"/>
            <w:vMerge/>
            <w:tcBorders>
              <w:top w:val="single" w:sz="4" w:space="0" w:color="auto"/>
              <w:left w:val="single" w:sz="4" w:space="0" w:color="auto"/>
              <w:bottom w:val="single" w:sz="4" w:space="0" w:color="auto"/>
              <w:right w:val="single" w:sz="4" w:space="0" w:color="auto"/>
            </w:tcBorders>
            <w:vAlign w:val="center"/>
            <w:hideMark/>
          </w:tcPr>
          <w:p w:rsidR="00C02D83" w:rsidRPr="00C24162" w:rsidRDefault="00C02D83">
            <w:pPr>
              <w:spacing w:after="0" w:line="240" w:lineRule="auto"/>
              <w:rPr>
                <w:rFonts w:ascii="Times New Roman" w:eastAsia="Times New Roman" w:hAnsi="Times New Roman"/>
                <w:b/>
                <w:sz w:val="20"/>
                <w:szCs w:val="20"/>
                <w:lang w:val="ro-RO"/>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C02D83" w:rsidRPr="00C24162" w:rsidRDefault="00C02D83">
            <w:pPr>
              <w:spacing w:after="0" w:line="240" w:lineRule="auto"/>
              <w:rPr>
                <w:rFonts w:ascii="Times New Roman" w:eastAsia="Times New Roman" w:hAnsi="Times New Roman"/>
                <w:b/>
                <w:sz w:val="20"/>
                <w:szCs w:val="20"/>
                <w:lang w:val="ro-RO"/>
              </w:rPr>
            </w:pPr>
          </w:p>
        </w:tc>
        <w:tc>
          <w:tcPr>
            <w:tcW w:w="2125" w:type="dxa"/>
            <w:gridSpan w:val="4"/>
            <w:tcBorders>
              <w:top w:val="single" w:sz="4" w:space="0" w:color="auto"/>
              <w:left w:val="single" w:sz="4" w:space="0" w:color="auto"/>
              <w:bottom w:val="single" w:sz="4" w:space="0" w:color="auto"/>
              <w:right w:val="single" w:sz="4" w:space="0" w:color="auto"/>
            </w:tcBorders>
          </w:tcPr>
          <w:p w:rsidR="00C02D83" w:rsidRPr="00C24162" w:rsidRDefault="00C02D83">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2015</w:t>
            </w:r>
          </w:p>
        </w:tc>
        <w:tc>
          <w:tcPr>
            <w:tcW w:w="2126" w:type="dxa"/>
            <w:gridSpan w:val="3"/>
            <w:tcBorders>
              <w:top w:val="single" w:sz="4" w:space="0" w:color="auto"/>
              <w:left w:val="single" w:sz="4" w:space="0" w:color="auto"/>
              <w:bottom w:val="single" w:sz="4" w:space="0" w:color="auto"/>
              <w:right w:val="single" w:sz="4" w:space="0" w:color="auto"/>
            </w:tcBorders>
          </w:tcPr>
          <w:p w:rsidR="00C02D83" w:rsidRPr="00C24162" w:rsidRDefault="00C02D83">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2016</w:t>
            </w:r>
          </w:p>
        </w:tc>
        <w:tc>
          <w:tcPr>
            <w:tcW w:w="2267" w:type="dxa"/>
            <w:gridSpan w:val="2"/>
            <w:tcBorders>
              <w:top w:val="single" w:sz="4" w:space="0" w:color="auto"/>
              <w:left w:val="single" w:sz="4" w:space="0" w:color="auto"/>
              <w:bottom w:val="single" w:sz="4" w:space="0" w:color="auto"/>
              <w:right w:val="single" w:sz="4" w:space="0" w:color="auto"/>
            </w:tcBorders>
          </w:tcPr>
          <w:p w:rsidR="00C02D83" w:rsidRPr="00C24162" w:rsidRDefault="00C02D83">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2017</w:t>
            </w:r>
          </w:p>
        </w:tc>
        <w:tc>
          <w:tcPr>
            <w:tcW w:w="2699" w:type="dxa"/>
            <w:tcBorders>
              <w:top w:val="single" w:sz="4" w:space="0" w:color="auto"/>
              <w:left w:val="single" w:sz="4" w:space="0" w:color="auto"/>
              <w:bottom w:val="single" w:sz="4" w:space="0" w:color="auto"/>
              <w:right w:val="single" w:sz="4" w:space="0" w:color="auto"/>
            </w:tcBorders>
          </w:tcPr>
          <w:p w:rsidR="00C02D83" w:rsidRPr="00C24162" w:rsidRDefault="00C02D83">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2018</w:t>
            </w:r>
          </w:p>
        </w:tc>
      </w:tr>
      <w:tr w:rsidR="004D45BE" w:rsidRPr="00C24162" w:rsidTr="00C24162">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C02D83" w:rsidRPr="00C24162" w:rsidRDefault="00C02D83">
            <w:pPr>
              <w:spacing w:after="0" w:line="240" w:lineRule="auto"/>
              <w:rPr>
                <w:rFonts w:ascii="Times New Roman" w:eastAsia="Times New Roman" w:hAnsi="Times New Roman"/>
                <w:b/>
                <w:sz w:val="20"/>
                <w:szCs w:val="20"/>
                <w:lang w:val="ro-RO"/>
              </w:rPr>
            </w:pPr>
          </w:p>
        </w:tc>
        <w:tc>
          <w:tcPr>
            <w:tcW w:w="2092" w:type="dxa"/>
            <w:gridSpan w:val="7"/>
            <w:vMerge/>
            <w:tcBorders>
              <w:top w:val="single" w:sz="4" w:space="0" w:color="auto"/>
              <w:left w:val="single" w:sz="4" w:space="0" w:color="auto"/>
              <w:bottom w:val="single" w:sz="4" w:space="0" w:color="auto"/>
              <w:right w:val="single" w:sz="4" w:space="0" w:color="auto"/>
            </w:tcBorders>
            <w:vAlign w:val="center"/>
            <w:hideMark/>
          </w:tcPr>
          <w:p w:rsidR="00C02D83" w:rsidRPr="00C24162" w:rsidRDefault="00C02D83">
            <w:pPr>
              <w:spacing w:after="0" w:line="240" w:lineRule="auto"/>
              <w:rPr>
                <w:rFonts w:ascii="Times New Roman" w:eastAsia="Times New Roman" w:hAnsi="Times New Roman"/>
                <w:b/>
                <w:sz w:val="20"/>
                <w:szCs w:val="20"/>
                <w:lang w:val="ro-RO"/>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C02D83" w:rsidRPr="00C24162" w:rsidRDefault="00C02D83">
            <w:pPr>
              <w:spacing w:after="0" w:line="240" w:lineRule="auto"/>
              <w:rPr>
                <w:rFonts w:ascii="Times New Roman" w:eastAsia="Times New Roman" w:hAnsi="Times New Roman"/>
                <w:b/>
                <w:sz w:val="20"/>
                <w:szCs w:val="20"/>
                <w:lang w:val="ro-RO"/>
              </w:rPr>
            </w:pPr>
          </w:p>
        </w:tc>
        <w:tc>
          <w:tcPr>
            <w:tcW w:w="2125" w:type="dxa"/>
            <w:gridSpan w:val="4"/>
            <w:tcBorders>
              <w:top w:val="single" w:sz="4" w:space="0" w:color="auto"/>
              <w:left w:val="single" w:sz="4" w:space="0" w:color="auto"/>
              <w:bottom w:val="single" w:sz="4" w:space="0" w:color="auto"/>
              <w:right w:val="single" w:sz="4" w:space="0" w:color="auto"/>
            </w:tcBorders>
          </w:tcPr>
          <w:p w:rsidR="004171C4" w:rsidRPr="00C24162" w:rsidRDefault="004171C4" w:rsidP="00623790">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218 681 000 lei =</w:t>
            </w:r>
          </w:p>
          <w:p w:rsidR="000D3FFE" w:rsidRPr="00C24162" w:rsidRDefault="004171C4" w:rsidP="00623790">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u w:val="single"/>
                <w:lang w:val="ro-RO"/>
              </w:rPr>
              <w:t>11 738 110</w:t>
            </w:r>
            <w:r w:rsidRPr="00C24162">
              <w:rPr>
                <w:rFonts w:ascii="Times New Roman" w:eastAsia="Times New Roman" w:hAnsi="Times New Roman"/>
                <w:b/>
                <w:sz w:val="20"/>
                <w:szCs w:val="20"/>
                <w:lang w:val="ro-RO"/>
              </w:rPr>
              <w:t xml:space="preserve"> EUR</w:t>
            </w:r>
          </w:p>
        </w:tc>
        <w:tc>
          <w:tcPr>
            <w:tcW w:w="2126" w:type="dxa"/>
            <w:gridSpan w:val="3"/>
            <w:tcBorders>
              <w:top w:val="single" w:sz="4" w:space="0" w:color="auto"/>
              <w:left w:val="single" w:sz="4" w:space="0" w:color="auto"/>
              <w:bottom w:val="single" w:sz="4" w:space="0" w:color="auto"/>
              <w:right w:val="single" w:sz="4" w:space="0" w:color="auto"/>
            </w:tcBorders>
          </w:tcPr>
          <w:p w:rsidR="000D3FFE" w:rsidRPr="00C24162" w:rsidRDefault="004171C4" w:rsidP="000D3FF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298 944 800 lei =</w:t>
            </w:r>
          </w:p>
          <w:p w:rsidR="004171C4" w:rsidRPr="00C24162" w:rsidRDefault="004171C4" w:rsidP="000D3FF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u w:val="single"/>
                <w:lang w:val="ro-RO"/>
              </w:rPr>
              <w:t>16 046 419,75</w:t>
            </w:r>
            <w:r w:rsidRPr="00C24162">
              <w:rPr>
                <w:rFonts w:ascii="Times New Roman" w:eastAsia="Times New Roman" w:hAnsi="Times New Roman"/>
                <w:b/>
                <w:sz w:val="20"/>
                <w:szCs w:val="20"/>
                <w:lang w:val="ro-RO"/>
              </w:rPr>
              <w:t xml:space="preserve"> EUR</w:t>
            </w:r>
          </w:p>
        </w:tc>
        <w:tc>
          <w:tcPr>
            <w:tcW w:w="2267" w:type="dxa"/>
            <w:gridSpan w:val="2"/>
            <w:tcBorders>
              <w:top w:val="single" w:sz="4" w:space="0" w:color="auto"/>
              <w:left w:val="single" w:sz="4" w:space="0" w:color="auto"/>
              <w:bottom w:val="single" w:sz="4" w:space="0" w:color="auto"/>
              <w:right w:val="single" w:sz="4" w:space="0" w:color="auto"/>
            </w:tcBorders>
          </w:tcPr>
          <w:p w:rsidR="000D3FFE" w:rsidRPr="00C24162" w:rsidRDefault="004171C4">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285 685 600 lei =</w:t>
            </w:r>
          </w:p>
          <w:p w:rsidR="004171C4" w:rsidRPr="00C24162" w:rsidRDefault="004171C4">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u w:val="single"/>
                <w:lang w:val="ro-RO"/>
              </w:rPr>
              <w:t>15 334 707,46</w:t>
            </w:r>
            <w:r w:rsidRPr="00C24162">
              <w:rPr>
                <w:rFonts w:ascii="Times New Roman" w:eastAsia="Times New Roman" w:hAnsi="Times New Roman"/>
                <w:b/>
                <w:sz w:val="20"/>
                <w:szCs w:val="20"/>
                <w:lang w:val="ro-RO"/>
              </w:rPr>
              <w:t xml:space="preserve"> EUR</w:t>
            </w:r>
          </w:p>
        </w:tc>
        <w:tc>
          <w:tcPr>
            <w:tcW w:w="2699" w:type="dxa"/>
            <w:tcBorders>
              <w:top w:val="single" w:sz="4" w:space="0" w:color="auto"/>
              <w:left w:val="single" w:sz="4" w:space="0" w:color="auto"/>
              <w:bottom w:val="single" w:sz="4" w:space="0" w:color="auto"/>
              <w:right w:val="single" w:sz="4" w:space="0" w:color="auto"/>
            </w:tcBorders>
          </w:tcPr>
          <w:p w:rsidR="00C02D83" w:rsidRPr="00C24162" w:rsidRDefault="00C02D83">
            <w:pPr>
              <w:jc w:val="center"/>
              <w:rPr>
                <w:rFonts w:ascii="Times New Roman" w:eastAsia="Times New Roman" w:hAnsi="Times New Roman"/>
                <w:b/>
                <w:sz w:val="20"/>
                <w:szCs w:val="20"/>
                <w:lang w:val="ro-RO"/>
              </w:rPr>
            </w:pPr>
          </w:p>
        </w:tc>
      </w:tr>
      <w:tr w:rsidR="00D84BEE" w:rsidRPr="00C24162" w:rsidTr="00360444">
        <w:tc>
          <w:tcPr>
            <w:tcW w:w="14992" w:type="dxa"/>
            <w:gridSpan w:val="23"/>
            <w:tcBorders>
              <w:top w:val="single" w:sz="4" w:space="0" w:color="auto"/>
              <w:left w:val="single" w:sz="4" w:space="0" w:color="auto"/>
              <w:bottom w:val="single" w:sz="4" w:space="0" w:color="auto"/>
              <w:right w:val="single" w:sz="4" w:space="0" w:color="auto"/>
            </w:tcBorders>
            <w:shd w:val="clear" w:color="auto" w:fill="C4BC96"/>
          </w:tcPr>
          <w:p w:rsidR="00D84BEE" w:rsidRPr="00C24162" w:rsidRDefault="00D84BEE">
            <w:pPr>
              <w:jc w:val="center"/>
              <w:rPr>
                <w:rFonts w:ascii="Times New Roman" w:eastAsia="Times New Roman" w:hAnsi="Times New Roman"/>
                <w:b/>
                <w:sz w:val="20"/>
                <w:szCs w:val="20"/>
                <w:lang w:val="ro-RO"/>
              </w:rPr>
            </w:pPr>
          </w:p>
        </w:tc>
      </w:tr>
      <w:tr w:rsidR="00F62075" w:rsidRPr="00C24162" w:rsidTr="00C24162">
        <w:trPr>
          <w:trHeight w:val="199"/>
        </w:trPr>
        <w:tc>
          <w:tcPr>
            <w:tcW w:w="2510" w:type="dxa"/>
            <w:gridSpan w:val="2"/>
            <w:tcBorders>
              <w:top w:val="single" w:sz="4" w:space="0" w:color="auto"/>
              <w:left w:val="single" w:sz="4" w:space="0" w:color="auto"/>
              <w:bottom w:val="single" w:sz="4" w:space="0" w:color="auto"/>
              <w:right w:val="single" w:sz="4" w:space="0" w:color="auto"/>
            </w:tcBorders>
            <w:hideMark/>
          </w:tcPr>
          <w:p w:rsidR="00D84BEE" w:rsidRPr="00C24162" w:rsidRDefault="00D84BEE">
            <w:pPr>
              <w:jc w:val="both"/>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Dintre care:</w:t>
            </w:r>
          </w:p>
        </w:tc>
        <w:tc>
          <w:tcPr>
            <w:tcW w:w="12482" w:type="dxa"/>
            <w:gridSpan w:val="21"/>
            <w:tcBorders>
              <w:top w:val="single" w:sz="4" w:space="0" w:color="auto"/>
              <w:left w:val="single" w:sz="4" w:space="0" w:color="auto"/>
              <w:bottom w:val="single" w:sz="4" w:space="0" w:color="auto"/>
              <w:right w:val="single" w:sz="4" w:space="0" w:color="auto"/>
            </w:tcBorders>
            <w:shd w:val="clear" w:color="auto" w:fill="C4BC96"/>
          </w:tcPr>
          <w:p w:rsidR="00D84BEE" w:rsidRPr="00C24162" w:rsidRDefault="00D84BEE">
            <w:pPr>
              <w:jc w:val="center"/>
              <w:rPr>
                <w:rFonts w:ascii="Times New Roman" w:eastAsia="Times New Roman" w:hAnsi="Times New Roman"/>
                <w:b/>
                <w:sz w:val="20"/>
                <w:szCs w:val="20"/>
                <w:lang w:val="ro-RO"/>
              </w:rPr>
            </w:pPr>
          </w:p>
        </w:tc>
      </w:tr>
      <w:tr w:rsidR="00316657" w:rsidRPr="00C24162" w:rsidTr="00B76A72">
        <w:trPr>
          <w:trHeight w:val="199"/>
        </w:trPr>
        <w:tc>
          <w:tcPr>
            <w:tcW w:w="2510" w:type="dxa"/>
            <w:gridSpan w:val="2"/>
            <w:vMerge w:val="restart"/>
            <w:tcBorders>
              <w:top w:val="single" w:sz="4" w:space="0" w:color="auto"/>
              <w:left w:val="single" w:sz="4" w:space="0" w:color="auto"/>
              <w:bottom w:val="single" w:sz="4" w:space="0" w:color="auto"/>
              <w:right w:val="single" w:sz="4" w:space="0" w:color="auto"/>
            </w:tcBorders>
            <w:hideMark/>
          </w:tcPr>
          <w:p w:rsidR="00D84BEE" w:rsidRPr="00C24162" w:rsidRDefault="00D84BEE">
            <w:pPr>
              <w:jc w:val="both"/>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Asistența pentru reforme (ex. asistență tehnică, twinning, etc.)</w:t>
            </w:r>
          </w:p>
        </w:tc>
        <w:tc>
          <w:tcPr>
            <w:tcW w:w="1559" w:type="dxa"/>
            <w:gridSpan w:val="5"/>
            <w:vMerge w:val="restart"/>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Donatorul</w:t>
            </w:r>
          </w:p>
        </w:tc>
        <w:tc>
          <w:tcPr>
            <w:tcW w:w="1001" w:type="dxa"/>
            <w:gridSpan w:val="4"/>
            <w:vMerge w:val="restart"/>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Numărul de proiecte implementate</w:t>
            </w:r>
          </w:p>
        </w:tc>
        <w:tc>
          <w:tcPr>
            <w:tcW w:w="3686" w:type="dxa"/>
            <w:gridSpan w:val="8"/>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Buget (Euro)</w:t>
            </w:r>
          </w:p>
        </w:tc>
        <w:tc>
          <w:tcPr>
            <w:tcW w:w="6236" w:type="dxa"/>
            <w:gridSpan w:val="4"/>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Indicatori cu rezultate atinse </w:t>
            </w:r>
            <w:r w:rsidRPr="00C24162">
              <w:rPr>
                <w:rFonts w:ascii="Times New Roman" w:eastAsia="Times New Roman" w:hAnsi="Times New Roman"/>
                <w:sz w:val="20"/>
                <w:szCs w:val="20"/>
                <w:lang w:val="ro-RO"/>
              </w:rPr>
              <w:t>(ex. persoane instruite, documente elaborate, etc.)</w:t>
            </w:r>
          </w:p>
        </w:tc>
      </w:tr>
      <w:tr w:rsidR="00D3416E" w:rsidRPr="00C24162" w:rsidTr="00B76A72">
        <w:trPr>
          <w:trHeight w:val="199"/>
        </w:trPr>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235447" w:rsidRPr="00C24162" w:rsidRDefault="00235447">
            <w:pPr>
              <w:spacing w:after="0" w:line="240" w:lineRule="auto"/>
              <w:rPr>
                <w:rFonts w:ascii="Times New Roman" w:eastAsia="Times New Roman" w:hAnsi="Times New Roman"/>
                <w:b/>
                <w:sz w:val="20"/>
                <w:szCs w:val="20"/>
                <w:lang w:val="ro-RO"/>
              </w:rPr>
            </w:pPr>
          </w:p>
        </w:tc>
        <w:tc>
          <w:tcPr>
            <w:tcW w:w="1559" w:type="dxa"/>
            <w:gridSpan w:val="5"/>
            <w:vMerge/>
            <w:tcBorders>
              <w:top w:val="single" w:sz="4" w:space="0" w:color="auto"/>
              <w:left w:val="single" w:sz="4" w:space="0" w:color="auto"/>
              <w:bottom w:val="single" w:sz="4" w:space="0" w:color="auto"/>
              <w:right w:val="single" w:sz="4" w:space="0" w:color="auto"/>
            </w:tcBorders>
            <w:vAlign w:val="center"/>
            <w:hideMark/>
          </w:tcPr>
          <w:p w:rsidR="00235447" w:rsidRPr="00C24162" w:rsidRDefault="00235447">
            <w:pPr>
              <w:spacing w:after="0" w:line="240" w:lineRule="auto"/>
              <w:rPr>
                <w:rFonts w:ascii="Times New Roman" w:eastAsia="Times New Roman" w:hAnsi="Times New Roman"/>
                <w:b/>
                <w:sz w:val="20"/>
                <w:szCs w:val="20"/>
                <w:lang w:val="ro-RO"/>
              </w:rPr>
            </w:pPr>
          </w:p>
        </w:tc>
        <w:tc>
          <w:tcPr>
            <w:tcW w:w="1001" w:type="dxa"/>
            <w:gridSpan w:val="4"/>
            <w:vMerge/>
            <w:tcBorders>
              <w:top w:val="single" w:sz="4" w:space="0" w:color="auto"/>
              <w:left w:val="single" w:sz="4" w:space="0" w:color="auto"/>
              <w:bottom w:val="single" w:sz="4" w:space="0" w:color="auto"/>
              <w:right w:val="single" w:sz="4" w:space="0" w:color="auto"/>
            </w:tcBorders>
            <w:vAlign w:val="center"/>
            <w:hideMark/>
          </w:tcPr>
          <w:p w:rsidR="00235447" w:rsidRPr="00C24162" w:rsidRDefault="00235447">
            <w:pPr>
              <w:spacing w:after="0" w:line="240" w:lineRule="auto"/>
              <w:rPr>
                <w:rFonts w:ascii="Times New Roman" w:eastAsia="Times New Roman" w:hAnsi="Times New Roman"/>
                <w:b/>
                <w:sz w:val="20"/>
                <w:szCs w:val="20"/>
                <w:lang w:val="ro-RO"/>
              </w:rPr>
            </w:pPr>
          </w:p>
        </w:tc>
        <w:tc>
          <w:tcPr>
            <w:tcW w:w="2409" w:type="dxa"/>
            <w:gridSpan w:val="4"/>
            <w:tcBorders>
              <w:top w:val="single" w:sz="4" w:space="0" w:color="auto"/>
              <w:left w:val="single" w:sz="4" w:space="0" w:color="auto"/>
              <w:bottom w:val="single" w:sz="4" w:space="0" w:color="auto"/>
              <w:right w:val="single" w:sz="4" w:space="0" w:color="auto"/>
            </w:tcBorders>
            <w:hideMark/>
          </w:tcPr>
          <w:p w:rsidR="00235447" w:rsidRPr="00C24162" w:rsidRDefault="00235447">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Grant</w:t>
            </w:r>
          </w:p>
        </w:tc>
        <w:tc>
          <w:tcPr>
            <w:tcW w:w="1277" w:type="dxa"/>
            <w:gridSpan w:val="4"/>
            <w:tcBorders>
              <w:top w:val="single" w:sz="4" w:space="0" w:color="auto"/>
              <w:left w:val="single" w:sz="4" w:space="0" w:color="auto"/>
              <w:bottom w:val="single" w:sz="4" w:space="0" w:color="auto"/>
              <w:right w:val="single" w:sz="4" w:space="0" w:color="auto"/>
            </w:tcBorders>
            <w:hideMark/>
          </w:tcPr>
          <w:p w:rsidR="00235447" w:rsidRPr="00C24162" w:rsidRDefault="00235447">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Credit</w:t>
            </w:r>
          </w:p>
        </w:tc>
        <w:tc>
          <w:tcPr>
            <w:tcW w:w="6236" w:type="dxa"/>
            <w:gridSpan w:val="4"/>
            <w:tcBorders>
              <w:top w:val="single" w:sz="4" w:space="0" w:color="auto"/>
              <w:left w:val="single" w:sz="4" w:space="0" w:color="auto"/>
              <w:right w:val="single" w:sz="4" w:space="0" w:color="auto"/>
            </w:tcBorders>
          </w:tcPr>
          <w:p w:rsidR="00235447" w:rsidRPr="00C24162" w:rsidRDefault="00235447" w:rsidP="00235447">
            <w:pPr>
              <w:pStyle w:val="Listparagraf"/>
              <w:ind w:left="176"/>
              <w:jc w:val="both"/>
              <w:rPr>
                <w:rFonts w:ascii="Times New Roman" w:eastAsia="Times New Roman" w:hAnsi="Times New Roman"/>
                <w:sz w:val="20"/>
                <w:szCs w:val="20"/>
                <w:lang w:val="ro-RO"/>
              </w:rPr>
            </w:pPr>
          </w:p>
        </w:tc>
      </w:tr>
      <w:tr w:rsidR="00F84AF2" w:rsidRPr="00C24162" w:rsidTr="00B76A72">
        <w:trPr>
          <w:trHeight w:val="274"/>
        </w:trPr>
        <w:tc>
          <w:tcPr>
            <w:tcW w:w="2510" w:type="dxa"/>
            <w:gridSpan w:val="2"/>
            <w:vMerge w:val="restart"/>
            <w:tcBorders>
              <w:top w:val="single" w:sz="4" w:space="0" w:color="auto"/>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val="restart"/>
            <w:tcBorders>
              <w:top w:val="single" w:sz="4" w:space="0" w:color="auto"/>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UE </w:t>
            </w:r>
          </w:p>
        </w:tc>
        <w:tc>
          <w:tcPr>
            <w:tcW w:w="1001" w:type="dxa"/>
            <w:gridSpan w:val="4"/>
            <w:vMerge w:val="restart"/>
            <w:tcBorders>
              <w:top w:val="single" w:sz="4" w:space="0" w:color="auto"/>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7</w:t>
            </w:r>
          </w:p>
        </w:tc>
        <w:tc>
          <w:tcPr>
            <w:tcW w:w="2409" w:type="dxa"/>
            <w:gridSpan w:val="4"/>
            <w:tcBorders>
              <w:top w:val="single" w:sz="4" w:space="0" w:color="auto"/>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3 737 550 EUR</w:t>
            </w:r>
          </w:p>
          <w:p w:rsidR="00F84AF2" w:rsidRPr="00C24162" w:rsidRDefault="00F84AF2" w:rsidP="00AA49E4">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(dintre care pentru  2014  - </w:t>
            </w:r>
            <w:r w:rsidRPr="00C24162">
              <w:rPr>
                <w:rFonts w:ascii="Times New Roman" w:eastAsia="Times New Roman" w:hAnsi="Times New Roman"/>
                <w:sz w:val="20"/>
                <w:szCs w:val="20"/>
                <w:u w:val="single"/>
                <w:lang w:val="ro-RO"/>
              </w:rPr>
              <w:t>1 077 087 EUR)</w:t>
            </w:r>
          </w:p>
        </w:tc>
        <w:tc>
          <w:tcPr>
            <w:tcW w:w="1277" w:type="dxa"/>
            <w:gridSpan w:val="4"/>
            <w:tcBorders>
              <w:top w:val="single" w:sz="4" w:space="0" w:color="auto"/>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vAlign w:val="center"/>
            <w:hideMark/>
          </w:tcPr>
          <w:p w:rsidR="00F84AF2" w:rsidRPr="00C24162" w:rsidRDefault="00F84AF2" w:rsidP="00235447">
            <w:p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Proiectul de Asistență Tehnică pentru Programul de Suport Bugetar ”Stimularea Economică în Zonele Rurale”  (ESRA) (2011-2015)</w:t>
            </w:r>
          </w:p>
          <w:p w:rsidR="00F84AF2" w:rsidRPr="00C24162" w:rsidRDefault="00F84AF2" w:rsidP="00235447">
            <w:pPr>
              <w:spacing w:after="0" w:line="240" w:lineRule="auto"/>
              <w:jc w:val="both"/>
              <w:rPr>
                <w:rFonts w:ascii="Times New Roman" w:eastAsia="Times New Roman" w:hAnsi="Times New Roman"/>
                <w:b/>
                <w:i/>
                <w:color w:val="000000" w:themeColor="text1"/>
                <w:sz w:val="20"/>
                <w:szCs w:val="20"/>
                <w:u w:val="single"/>
                <w:lang w:val="ro-RO"/>
              </w:rPr>
            </w:pPr>
            <w:r w:rsidRPr="00C24162">
              <w:rPr>
                <w:rFonts w:ascii="Times New Roman" w:eastAsia="Times New Roman" w:hAnsi="Times New Roman"/>
                <w:b/>
                <w:i/>
                <w:color w:val="000000" w:themeColor="text1"/>
                <w:sz w:val="20"/>
                <w:szCs w:val="20"/>
                <w:u w:val="single"/>
                <w:lang w:val="ro-RO"/>
              </w:rPr>
              <w:t>Rezultate 2014:</w:t>
            </w:r>
          </w:p>
          <w:p w:rsidR="00F84AF2" w:rsidRPr="00C24162" w:rsidRDefault="00F84AF2" w:rsidP="00466FBF">
            <w:pPr>
              <w:pStyle w:val="Listparagraf"/>
              <w:numPr>
                <w:ilvl w:val="0"/>
                <w:numId w:val="3"/>
              </w:numPr>
              <w:spacing w:after="0" w:line="240" w:lineRule="auto"/>
              <w:ind w:left="69" w:firstLine="291"/>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 fost acordat suport tuturor beneficiarilor Programului de Suport Bugetar ESRA pentru a implementa activitățile de atingere a indicatorilor din Matricea de Politici ESRA</w:t>
            </w:r>
            <w:r w:rsidRPr="00C24162">
              <w:rPr>
                <w:rFonts w:ascii="Times New Roman" w:eastAsia="Times New Roman" w:hAnsi="Times New Roman"/>
                <w:sz w:val="20"/>
                <w:szCs w:val="20"/>
                <w:lang w:val="en-US"/>
              </w:rPr>
              <w:t>;</w:t>
            </w:r>
          </w:p>
          <w:p w:rsidR="00F84AF2" w:rsidRPr="00C24162" w:rsidRDefault="00F84AF2" w:rsidP="00466FBF">
            <w:pPr>
              <w:pStyle w:val="Listparagraf"/>
              <w:numPr>
                <w:ilvl w:val="0"/>
                <w:numId w:val="3"/>
              </w:numPr>
              <w:spacing w:after="0" w:line="240" w:lineRule="auto"/>
              <w:ind w:left="69" w:firstLine="291"/>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 fost elaborat și implementat conceptul și planul de acțiuni pentru Programul „COSME”;</w:t>
            </w:r>
          </w:p>
          <w:p w:rsidR="00F84AF2" w:rsidRPr="00C24162" w:rsidRDefault="00F84AF2" w:rsidP="00466FBF">
            <w:pPr>
              <w:pStyle w:val="Listparagraf"/>
              <w:numPr>
                <w:ilvl w:val="0"/>
                <w:numId w:val="3"/>
              </w:numPr>
              <w:spacing w:after="0" w:line="240" w:lineRule="auto"/>
              <w:ind w:left="69" w:firstLine="291"/>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 fost formulată strategia AIPA;</w:t>
            </w:r>
          </w:p>
          <w:p w:rsidR="00F84AF2" w:rsidRPr="00C24162" w:rsidRDefault="00F84AF2" w:rsidP="00466FBF">
            <w:pPr>
              <w:pStyle w:val="Listparagraf"/>
              <w:numPr>
                <w:ilvl w:val="0"/>
                <w:numId w:val="3"/>
              </w:numPr>
              <w:spacing w:after="0" w:line="240" w:lineRule="auto"/>
              <w:ind w:left="69" w:firstLine="291"/>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250 rezidenți ai Incubatoarelor de Afaceri, angajați ai Ministerului Economiei și ODIMM au fost instruiți în „Dezvoltarea antreprenoriatului”.</w:t>
            </w:r>
          </w:p>
        </w:tc>
      </w:tr>
      <w:tr w:rsidR="00F84AF2" w:rsidRPr="00C24162" w:rsidTr="00B76A72">
        <w:trPr>
          <w:trHeight w:val="636"/>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1001" w:type="dxa"/>
            <w:gridSpan w:val="4"/>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2409" w:type="dxa"/>
            <w:gridSpan w:val="4"/>
            <w:tcBorders>
              <w:left w:val="single" w:sz="4" w:space="0" w:color="auto"/>
              <w:right w:val="single" w:sz="4" w:space="0" w:color="auto"/>
            </w:tcBorders>
          </w:tcPr>
          <w:p w:rsidR="00F84AF2" w:rsidRPr="00C24162" w:rsidRDefault="00F84AF2" w:rsidP="008C58EB">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1 927 000 EUR</w:t>
            </w:r>
          </w:p>
          <w:p w:rsidR="00F84AF2" w:rsidRPr="00C24162" w:rsidRDefault="00F84AF2" w:rsidP="008C58EB">
            <w:pPr>
              <w:jc w:val="center"/>
              <w:rPr>
                <w:rFonts w:ascii="Times New Roman" w:eastAsia="Times New Roman" w:hAnsi="Times New Roman"/>
                <w:b/>
                <w:sz w:val="20"/>
                <w:szCs w:val="20"/>
                <w:u w:val="single"/>
                <w:lang w:val="ro-RO"/>
              </w:rPr>
            </w:pPr>
            <w:r w:rsidRPr="00C24162">
              <w:rPr>
                <w:rFonts w:ascii="Times New Roman" w:eastAsia="Times New Roman" w:hAnsi="Times New Roman"/>
                <w:sz w:val="20"/>
                <w:szCs w:val="20"/>
                <w:lang w:val="ro-RO"/>
              </w:rPr>
              <w:t xml:space="preserve">(dintre care pentru  2014  - </w:t>
            </w:r>
            <w:r w:rsidRPr="00C24162">
              <w:rPr>
                <w:rFonts w:ascii="Times New Roman" w:eastAsia="Times New Roman" w:hAnsi="Times New Roman"/>
                <w:sz w:val="20"/>
                <w:szCs w:val="20"/>
                <w:u w:val="single"/>
                <w:lang w:val="ro-RO"/>
              </w:rPr>
              <w:t xml:space="preserve">385 400 EUR) </w:t>
            </w: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F84AF2" w:rsidRPr="00C24162" w:rsidRDefault="00F84AF2" w:rsidP="00400AC1">
            <w:pPr>
              <w:spacing w:after="0" w:line="240" w:lineRule="auto"/>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Sprijin pentru Republica Moldova în procesul de implementare a zonei de liber schimb aprofundată şi cuprinzătoare (ZLSAC)(2013-2015)</w:t>
            </w:r>
          </w:p>
          <w:p w:rsidR="00F84AF2" w:rsidRPr="00C24162" w:rsidRDefault="00F84AF2" w:rsidP="00011616">
            <w:pPr>
              <w:spacing w:after="0" w:line="240" w:lineRule="auto"/>
              <w:jc w:val="both"/>
              <w:rPr>
                <w:rFonts w:ascii="Times New Roman" w:eastAsia="Times New Roman" w:hAnsi="Times New Roman"/>
                <w:b/>
                <w:i/>
                <w:color w:val="000000" w:themeColor="text1"/>
                <w:sz w:val="20"/>
                <w:szCs w:val="20"/>
                <w:u w:val="single"/>
                <w:lang w:val="ro-RO"/>
              </w:rPr>
            </w:pPr>
            <w:r w:rsidRPr="00C24162">
              <w:rPr>
                <w:rFonts w:ascii="Times New Roman" w:eastAsia="Times New Roman" w:hAnsi="Times New Roman"/>
                <w:b/>
                <w:i/>
                <w:color w:val="000000" w:themeColor="text1"/>
                <w:sz w:val="20"/>
                <w:szCs w:val="20"/>
                <w:u w:val="single"/>
                <w:lang w:val="ro-RO"/>
              </w:rPr>
              <w:t>Rezultate 2014:</w:t>
            </w:r>
          </w:p>
          <w:p w:rsidR="00F84AF2" w:rsidRPr="00C24162" w:rsidRDefault="00F84AF2" w:rsidP="00F040A5">
            <w:pPr>
              <w:pStyle w:val="Listparagraf"/>
              <w:numPr>
                <w:ilvl w:val="0"/>
                <w:numId w:val="15"/>
              </w:numPr>
              <w:spacing w:after="0" w:line="240" w:lineRule="auto"/>
              <w:ind w:left="28" w:firstLine="332"/>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Au fost furnizate cercetări  şi recomandări de politici pentru grupurile de funcționari implicate în punerea în aplicare a ZLSAC  ( i.e. 4 </w:t>
            </w:r>
            <w:r w:rsidRPr="00C24162">
              <w:rPr>
                <w:rFonts w:ascii="Times New Roman" w:eastAsia="Times New Roman" w:hAnsi="Times New Roman"/>
                <w:sz w:val="20"/>
                <w:szCs w:val="20"/>
                <w:lang w:val="ro-RO"/>
              </w:rPr>
              <w:lastRenderedPageBreak/>
              <w:t>lucrări pentru sectoarele cheie, 7 rezumate privind sectoarele de comerţ, 6 note de concept, 3 studii  privind cerinţele pentru oule de masă  în vederea armonizării cu cerinţele UE, 17 note informative, 20 Ghiduri privind transpunerea Directivelor şi Anexelor, 5 Tabele privind Anexele conexe ZLSAC privind prioritățile şi termenele de aproximare, 5 actualizări ale  template-urilor de stare iniţială, 1 instrument web privind analiza comparativă a accesului pe piaţă, 2 chestionări, 1 Studiu de politici privind Strategia de comerţ şi investiţii, 2 Analize privind exporturile în Federaţia Rusă şi Uniunea Vamală, 1 Analiză şi comparaţie a actualei legi a metrologiei cu cerinţele UE).</w:t>
            </w:r>
          </w:p>
          <w:p w:rsidR="00F84AF2" w:rsidRPr="00C24162" w:rsidRDefault="00F84AF2" w:rsidP="00F040A5">
            <w:pPr>
              <w:pStyle w:val="Listparagraf"/>
              <w:numPr>
                <w:ilvl w:val="0"/>
                <w:numId w:val="15"/>
              </w:numPr>
              <w:spacing w:after="0" w:line="240" w:lineRule="auto"/>
              <w:ind w:left="28" w:firstLine="332"/>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S-a oferit asistenţă la elaborarea proiectelor de reglementări, armonizare a legislaţiei naţionale, cu prevederile Directivelor Europene, evaluarea echivalentelor naţionale şi prezentarea propunerilor de implementare şi adaptare (i.e. 5 Note informative, 4 Tabele privind Anexele conexe ZLSAC privind prioritățile şi termenele de aproximare, 6 ghiduri privind transpunerea Anexelor, 3 actualizări ale template-urilor de stare iniţială, acordarea asistenţei privind amendarea legii metrologiei, 1 Listă de verificare a implementării ZLSAC – listarea reglementărilor UE şi Directivelor de a fi aproximate, 3 vizite de studiu pentru Ministerul Economiei, 1 Atelier de lucru regional privind regulile preferențiale de origine şi dovezile acestora).</w:t>
            </w:r>
          </w:p>
          <w:p w:rsidR="00F84AF2" w:rsidRPr="00C24162" w:rsidRDefault="00F84AF2" w:rsidP="0066269B">
            <w:pPr>
              <w:pStyle w:val="Listparagraf"/>
              <w:numPr>
                <w:ilvl w:val="0"/>
                <w:numId w:val="15"/>
              </w:numPr>
              <w:spacing w:after="0" w:line="240" w:lineRule="auto"/>
              <w:ind w:left="28" w:firstLine="332"/>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S-au promovat modificările în cadrul Ministerelor de resort şi s-a influenţat indirect Guvernul, Parlamentul, societatea civilă şi mediul de afaceri prin publicitate şi prezentări (i.e. 2 întîlniri ale donatorilor, 1 prezentare pentru consilierii UE de politici de rang înalt privind ZLSAC şi Acordul de Asociere, întâlniri cu reprezentanţii Ministerului Economiei, Cancelaria de Stat şi Ministerul Afacerilor Externe şi Integrării Europene privind sistemele existente MIS, Notă informativă privind  conținutul potenţial al paginii web, elaborarea paginii web a ZLSAC).</w:t>
            </w:r>
          </w:p>
        </w:tc>
      </w:tr>
      <w:tr w:rsidR="00F84AF2" w:rsidRPr="00C24162" w:rsidTr="00B76A72">
        <w:trPr>
          <w:trHeight w:val="1399"/>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1001" w:type="dxa"/>
            <w:gridSpan w:val="4"/>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2409" w:type="dxa"/>
            <w:gridSpan w:val="4"/>
            <w:tcBorders>
              <w:left w:val="single" w:sz="4" w:space="0" w:color="auto"/>
              <w:bottom w:val="single" w:sz="4" w:space="0" w:color="auto"/>
              <w:right w:val="single" w:sz="4" w:space="0" w:color="auto"/>
            </w:tcBorders>
          </w:tcPr>
          <w:p w:rsidR="00F84AF2" w:rsidRPr="00C24162" w:rsidRDefault="00F84AF2" w:rsidP="008C58EB">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1 100 000 EUR</w:t>
            </w:r>
          </w:p>
          <w:p w:rsidR="00F84AF2" w:rsidRPr="00C24162" w:rsidRDefault="00F84AF2" w:rsidP="008C58EB">
            <w:pPr>
              <w:jc w:val="center"/>
              <w:rPr>
                <w:rFonts w:ascii="Times New Roman" w:eastAsia="Times New Roman" w:hAnsi="Times New Roman"/>
                <w:b/>
                <w:sz w:val="20"/>
                <w:szCs w:val="20"/>
                <w:u w:val="single"/>
                <w:lang w:val="ro-RO"/>
              </w:rPr>
            </w:pPr>
          </w:p>
          <w:p w:rsidR="00F84AF2" w:rsidRPr="00C24162" w:rsidRDefault="00F84AF2" w:rsidP="0008280A">
            <w:pPr>
              <w:jc w:val="center"/>
              <w:rPr>
                <w:rFonts w:ascii="Times New Roman" w:eastAsia="Times New Roman" w:hAnsi="Times New Roman"/>
                <w:b/>
                <w:sz w:val="20"/>
                <w:szCs w:val="20"/>
                <w:u w:val="single"/>
                <w:lang w:val="ro-RO"/>
              </w:rPr>
            </w:pP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F84AF2" w:rsidRPr="00C24162" w:rsidRDefault="00F84AF2" w:rsidP="00400AC1">
            <w:pPr>
              <w:spacing w:after="0" w:line="240" w:lineRule="auto"/>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Proiect Twinning „Consolidarea sistemului de parteneriat public-privat în Republica Moldova” (2014-2016)</w:t>
            </w:r>
          </w:p>
          <w:p w:rsidR="00F84AF2" w:rsidRPr="00C24162" w:rsidRDefault="00F84AF2" w:rsidP="00011616">
            <w:pPr>
              <w:spacing w:after="0" w:line="240" w:lineRule="auto"/>
              <w:jc w:val="both"/>
              <w:rPr>
                <w:rFonts w:ascii="Times New Roman" w:eastAsia="Times New Roman" w:hAnsi="Times New Roman"/>
                <w:b/>
                <w:i/>
                <w:color w:val="000000" w:themeColor="text1"/>
                <w:sz w:val="20"/>
                <w:szCs w:val="20"/>
                <w:u w:val="single"/>
                <w:lang w:val="ro-RO"/>
              </w:rPr>
            </w:pPr>
            <w:r w:rsidRPr="00C24162">
              <w:rPr>
                <w:rFonts w:ascii="Times New Roman" w:eastAsia="Times New Roman" w:hAnsi="Times New Roman"/>
                <w:b/>
                <w:i/>
                <w:color w:val="000000" w:themeColor="text1"/>
                <w:sz w:val="20"/>
                <w:szCs w:val="20"/>
                <w:u w:val="single"/>
                <w:lang w:val="ro-RO"/>
              </w:rPr>
              <w:t>Rezultate 2014:</w:t>
            </w:r>
          </w:p>
          <w:p w:rsidR="00F84AF2" w:rsidRPr="00C24162" w:rsidRDefault="00F84AF2" w:rsidP="00B50668">
            <w:pPr>
              <w:pStyle w:val="Listparagraf"/>
              <w:numPr>
                <w:ilvl w:val="0"/>
                <w:numId w:val="11"/>
              </w:numPr>
              <w:spacing w:after="0" w:line="240" w:lineRule="auto"/>
              <w:ind w:left="170" w:firstLine="190"/>
              <w:jc w:val="both"/>
              <w:rPr>
                <w:rFonts w:ascii="Times New Roman" w:eastAsia="Times New Roman" w:hAnsi="Times New Roman"/>
                <w:sz w:val="20"/>
                <w:szCs w:val="20"/>
                <w:lang w:val="ro-RO"/>
              </w:rPr>
            </w:pPr>
            <w:r w:rsidRPr="00C24162">
              <w:rPr>
                <w:rFonts w:ascii="Times New Roman" w:eastAsia="Times New Roman" w:hAnsi="Times New Roman"/>
                <w:i/>
                <w:sz w:val="20"/>
                <w:szCs w:val="20"/>
                <w:lang w:val="ro-RO"/>
              </w:rPr>
              <w:t>Armonizarea cadrului legislativ şi normativ existent în domeniu la standardele UE.  În rezultatul acestei acțiuni se presupune implementarea unor sisteme de raportare PPP, proceduri directoare și manuale PPP și efectuarea unei vizite de studiu, etc.</w:t>
            </w:r>
            <w:r w:rsidRPr="00C24162">
              <w:rPr>
                <w:rFonts w:ascii="Times New Roman" w:eastAsia="Times New Roman" w:hAnsi="Times New Roman"/>
                <w:sz w:val="20"/>
                <w:szCs w:val="20"/>
                <w:lang w:val="ro-RO"/>
              </w:rPr>
              <w:t xml:space="preserve"> </w:t>
            </w:r>
          </w:p>
          <w:p w:rsidR="00F84AF2" w:rsidRPr="00C24162" w:rsidRDefault="00F84AF2" w:rsidP="00B50668">
            <w:pPr>
              <w:pStyle w:val="Listparagraf"/>
              <w:numPr>
                <w:ilvl w:val="0"/>
                <w:numId w:val="10"/>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proiectul de modificare și completare a Legii nr. 534 din 13.07.1995 privind concesiunile;</w:t>
            </w:r>
          </w:p>
          <w:p w:rsidR="00F84AF2" w:rsidRPr="00C24162" w:rsidRDefault="00F84AF2" w:rsidP="00B50668">
            <w:pPr>
              <w:pStyle w:val="Listparagraf"/>
              <w:numPr>
                <w:ilvl w:val="0"/>
                <w:numId w:val="10"/>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elaborate recomandările privind completarea și modificarea Legii nr. 179 din 10.07.2008 cu privire la parteneriatul public-privat;</w:t>
            </w:r>
          </w:p>
          <w:p w:rsidR="00F84AF2" w:rsidRPr="00C24162" w:rsidRDefault="00F84AF2" w:rsidP="00B50668">
            <w:pPr>
              <w:pStyle w:val="Listparagraf"/>
              <w:numPr>
                <w:ilvl w:val="0"/>
                <w:numId w:val="10"/>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lastRenderedPageBreak/>
              <w:t>Au fost elaborate recomandările privind modificarea și completarea Matricei de partajare a riscurilor de proiect aprobată prin Ordinul Ministerului economiei nr. 143 din 02.08.2013;</w:t>
            </w:r>
          </w:p>
          <w:p w:rsidR="00F84AF2" w:rsidRPr="00C24162" w:rsidRDefault="00F84AF2" w:rsidP="00B50668">
            <w:pPr>
              <w:pStyle w:val="Listparagraf"/>
              <w:numPr>
                <w:ilvl w:val="0"/>
                <w:numId w:val="10"/>
              </w:numPr>
              <w:spacing w:after="0" w:line="240" w:lineRule="auto"/>
              <w:jc w:val="both"/>
              <w:rPr>
                <w:rFonts w:ascii="Times New Roman" w:eastAsia="Times New Roman" w:hAnsi="Times New Roman"/>
                <w:b/>
                <w:sz w:val="20"/>
                <w:szCs w:val="20"/>
                <w:lang w:val="ro-RO"/>
              </w:rPr>
            </w:pPr>
            <w:r w:rsidRPr="00C24162">
              <w:rPr>
                <w:rFonts w:ascii="Times New Roman" w:eastAsia="Times New Roman" w:hAnsi="Times New Roman"/>
                <w:sz w:val="20"/>
                <w:szCs w:val="20"/>
                <w:lang w:val="ro-RO"/>
              </w:rPr>
              <w:t xml:space="preserve">A fost elaborat Manualul PPP.  </w:t>
            </w:r>
          </w:p>
          <w:p w:rsidR="00F84AF2" w:rsidRPr="00C24162" w:rsidRDefault="00F84AF2" w:rsidP="00B50668">
            <w:pPr>
              <w:pStyle w:val="Listparagraf"/>
              <w:spacing w:after="0" w:line="240" w:lineRule="auto"/>
              <w:jc w:val="both"/>
              <w:rPr>
                <w:rFonts w:ascii="Times New Roman" w:eastAsia="Times New Roman" w:hAnsi="Times New Roman"/>
                <w:b/>
                <w:sz w:val="20"/>
                <w:szCs w:val="20"/>
                <w:lang w:val="ro-RO"/>
              </w:rPr>
            </w:pPr>
          </w:p>
          <w:p w:rsidR="00F84AF2" w:rsidRPr="00C24162" w:rsidRDefault="00F84AF2" w:rsidP="00B50668">
            <w:pPr>
              <w:pStyle w:val="Listparagraf"/>
              <w:numPr>
                <w:ilvl w:val="0"/>
                <w:numId w:val="11"/>
              </w:numPr>
              <w:spacing w:after="0" w:line="240" w:lineRule="auto"/>
              <w:ind w:left="170" w:firstLine="190"/>
              <w:jc w:val="both"/>
              <w:rPr>
                <w:rFonts w:ascii="Times New Roman" w:eastAsia="Times New Roman" w:hAnsi="Times New Roman"/>
                <w:i/>
                <w:sz w:val="20"/>
                <w:szCs w:val="20"/>
                <w:lang w:val="ro-RO"/>
              </w:rPr>
            </w:pPr>
            <w:r w:rsidRPr="00C24162">
              <w:rPr>
                <w:rFonts w:ascii="Times New Roman" w:eastAsia="Times New Roman" w:hAnsi="Times New Roman"/>
                <w:i/>
                <w:sz w:val="20"/>
                <w:szCs w:val="20"/>
                <w:lang w:val="ro-RO"/>
              </w:rPr>
              <w:t>Dezvoltarea capacităților interne a administrației publice pentru pregătirea și implementarea proiectelor PPP în Republica Moldova. Aceasta componentă presupune ca rezultat implementarea a cel puţin 3 proiecte de PPP pilot și efectuarea a 3 vizite de  studiu, etc.</w:t>
            </w:r>
          </w:p>
          <w:p w:rsidR="00F84AF2" w:rsidRPr="00C24162" w:rsidRDefault="00F84AF2" w:rsidP="00B50668">
            <w:pPr>
              <w:pStyle w:val="Listparagraf"/>
              <w:numPr>
                <w:ilvl w:val="0"/>
                <w:numId w:val="12"/>
              </w:numPr>
              <w:spacing w:after="0" w:line="240" w:lineRule="auto"/>
              <w:ind w:left="737" w:hanging="426"/>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 fost organizată vizita de studiu în Germania pentru reprezentanții Ministerului Economiei şi ai Agenţiei Proprietăţii Publice ;</w:t>
            </w:r>
          </w:p>
          <w:p w:rsidR="00F84AF2" w:rsidRPr="00C24162" w:rsidRDefault="00F84AF2" w:rsidP="00804838">
            <w:pPr>
              <w:pStyle w:val="Listparagraf"/>
              <w:numPr>
                <w:ilvl w:val="0"/>
                <w:numId w:val="12"/>
              </w:numPr>
              <w:spacing w:after="0" w:line="240" w:lineRule="auto"/>
              <w:ind w:left="737" w:hanging="426"/>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Au fost identificate 3 proiecte PPP pilot pentru a fi dezvoltate cu suportul consultativ a experților Twinning.</w:t>
            </w:r>
          </w:p>
          <w:p w:rsidR="00F84AF2" w:rsidRPr="00C24162" w:rsidRDefault="00F84AF2" w:rsidP="00B50668">
            <w:pPr>
              <w:pStyle w:val="Listparagraf"/>
              <w:spacing w:after="0" w:line="240" w:lineRule="auto"/>
              <w:ind w:left="737"/>
              <w:jc w:val="both"/>
              <w:rPr>
                <w:rFonts w:ascii="Times New Roman" w:eastAsia="Times New Roman" w:hAnsi="Times New Roman"/>
                <w:sz w:val="20"/>
                <w:szCs w:val="20"/>
                <w:lang w:val="ro-RO"/>
              </w:rPr>
            </w:pPr>
          </w:p>
          <w:p w:rsidR="00F84AF2" w:rsidRPr="00C24162" w:rsidRDefault="00F84AF2" w:rsidP="00B50668">
            <w:pPr>
              <w:pStyle w:val="Listparagraf"/>
              <w:numPr>
                <w:ilvl w:val="0"/>
                <w:numId w:val="11"/>
              </w:numPr>
              <w:spacing w:after="0" w:line="240" w:lineRule="auto"/>
              <w:ind w:left="170" w:firstLine="190"/>
              <w:jc w:val="both"/>
              <w:rPr>
                <w:rFonts w:ascii="Times New Roman" w:eastAsia="Times New Roman" w:hAnsi="Times New Roman"/>
                <w:i/>
                <w:sz w:val="20"/>
                <w:szCs w:val="20"/>
                <w:lang w:val="ro-RO"/>
              </w:rPr>
            </w:pPr>
            <w:r w:rsidRPr="00C24162">
              <w:rPr>
                <w:rFonts w:ascii="Times New Roman" w:eastAsia="Times New Roman" w:hAnsi="Times New Roman"/>
                <w:i/>
                <w:sz w:val="20"/>
                <w:szCs w:val="20"/>
                <w:lang w:val="ro-RO"/>
              </w:rPr>
              <w:t>Dezvoltarea și operarea unui mediu şi unei rețele de gestionare a concesiunilor şi a PPP în Moldova. În acest sens se presupune a fi organizate circa 10 evenimente de comunicare pentru sporirea gradului de conștientizare şi sensibilizare a opiniei publice şi diseminarea informaţiilor</w:t>
            </w:r>
          </w:p>
          <w:p w:rsidR="00F84AF2" w:rsidRPr="00C24162" w:rsidRDefault="00F84AF2" w:rsidP="00B50668">
            <w:pPr>
              <w:pStyle w:val="Listparagraf"/>
              <w:numPr>
                <w:ilvl w:val="0"/>
                <w:numId w:val="14"/>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A fost elaborat proiectul noului site al Agenției Proprietății Publice </w:t>
            </w:r>
            <w:hyperlink r:id="rId7" w:history="1">
              <w:r w:rsidRPr="00C24162">
                <w:rPr>
                  <w:rStyle w:val="Hyperlink"/>
                  <w:rFonts w:ascii="Times New Roman" w:eastAsia="Times New Roman" w:hAnsi="Times New Roman"/>
                  <w:sz w:val="20"/>
                  <w:szCs w:val="20"/>
                  <w:lang w:val="ro-RO"/>
                </w:rPr>
                <w:t>www.app.gov.md</w:t>
              </w:r>
            </w:hyperlink>
            <w:r w:rsidRPr="00C24162">
              <w:rPr>
                <w:rFonts w:ascii="Times New Roman" w:eastAsia="Times New Roman" w:hAnsi="Times New Roman"/>
                <w:sz w:val="20"/>
                <w:szCs w:val="20"/>
                <w:lang w:val="ro-RO"/>
              </w:rPr>
              <w:t xml:space="preserve"> ;</w:t>
            </w:r>
          </w:p>
          <w:p w:rsidR="00F84AF2" w:rsidRPr="00C24162" w:rsidRDefault="00F84AF2" w:rsidP="00B50668">
            <w:pPr>
              <w:pStyle w:val="Listparagraf"/>
              <w:numPr>
                <w:ilvl w:val="0"/>
                <w:numId w:val="14"/>
              </w:numPr>
              <w:spacing w:after="0" w:line="240" w:lineRule="auto"/>
              <w:jc w:val="both"/>
              <w:rPr>
                <w:rFonts w:ascii="Times New Roman" w:eastAsia="Times New Roman" w:hAnsi="Times New Roman"/>
                <w:i/>
                <w:sz w:val="20"/>
                <w:szCs w:val="20"/>
                <w:lang w:val="ro-RO"/>
              </w:rPr>
            </w:pPr>
            <w:r w:rsidRPr="00C24162">
              <w:rPr>
                <w:rFonts w:ascii="Times New Roman" w:eastAsia="Times New Roman" w:hAnsi="Times New Roman"/>
                <w:sz w:val="20"/>
                <w:szCs w:val="20"/>
                <w:lang w:val="ro-RO"/>
              </w:rPr>
              <w:t>Au fost organizate training-uri pentru reprezentanții autorităților administrației publice centrale ;</w:t>
            </w:r>
          </w:p>
          <w:p w:rsidR="00F84AF2" w:rsidRPr="00C24162" w:rsidRDefault="00F84AF2" w:rsidP="00B50668">
            <w:pPr>
              <w:spacing w:after="0" w:line="240" w:lineRule="auto"/>
              <w:jc w:val="both"/>
              <w:rPr>
                <w:rFonts w:ascii="Times New Roman" w:eastAsia="Times New Roman" w:hAnsi="Times New Roman"/>
                <w:i/>
                <w:sz w:val="20"/>
                <w:szCs w:val="20"/>
                <w:lang w:val="ro-RO"/>
              </w:rPr>
            </w:pPr>
          </w:p>
          <w:p w:rsidR="00F84AF2" w:rsidRPr="00C24162" w:rsidRDefault="00F84AF2" w:rsidP="00B50668">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Au fost instruiţi în cadru Atelierelor de lucru şi de instruire membrii Reţelei interministeriale de parteneriat public-privat (49 persoane), reprezentanți ai Ministerului Economiei şi ai Agenţiei Proprietăţii Publice;</w:t>
            </w:r>
          </w:p>
          <w:p w:rsidR="00F84AF2" w:rsidRPr="00C24162" w:rsidRDefault="00F84AF2" w:rsidP="00B50668">
            <w:pPr>
              <w:spacing w:after="0" w:line="240" w:lineRule="auto"/>
              <w:jc w:val="both"/>
              <w:rPr>
                <w:rFonts w:ascii="Times New Roman" w:eastAsia="Times New Roman" w:hAnsi="Times New Roman"/>
                <w:sz w:val="20"/>
                <w:szCs w:val="20"/>
                <w:lang w:val="ro-RO"/>
              </w:rPr>
            </w:pPr>
          </w:p>
        </w:tc>
      </w:tr>
      <w:tr w:rsidR="00F84AF2" w:rsidRPr="00C24162" w:rsidTr="00B76A72">
        <w:trPr>
          <w:trHeight w:val="2328"/>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1001" w:type="dxa"/>
            <w:gridSpan w:val="4"/>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2409" w:type="dxa"/>
            <w:gridSpan w:val="4"/>
            <w:tcBorders>
              <w:left w:val="single" w:sz="4" w:space="0" w:color="auto"/>
              <w:right w:val="single" w:sz="4" w:space="0" w:color="auto"/>
            </w:tcBorders>
          </w:tcPr>
          <w:p w:rsidR="00F84AF2" w:rsidRPr="00C24162" w:rsidRDefault="00F84AF2" w:rsidP="008C58EB">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 xml:space="preserve">1 000 </w:t>
            </w:r>
            <w:proofErr w:type="spellStart"/>
            <w:r w:rsidRPr="00C24162">
              <w:rPr>
                <w:rFonts w:ascii="Times New Roman" w:eastAsia="Times New Roman" w:hAnsi="Times New Roman"/>
                <w:b/>
                <w:sz w:val="20"/>
                <w:szCs w:val="20"/>
                <w:u w:val="single"/>
                <w:lang w:val="ro-RO"/>
              </w:rPr>
              <w:t>000</w:t>
            </w:r>
            <w:proofErr w:type="spellEnd"/>
            <w:r w:rsidRPr="00C24162">
              <w:rPr>
                <w:rFonts w:ascii="Times New Roman" w:eastAsia="Times New Roman" w:hAnsi="Times New Roman"/>
                <w:b/>
                <w:sz w:val="20"/>
                <w:szCs w:val="20"/>
                <w:u w:val="single"/>
                <w:lang w:val="ro-RO"/>
              </w:rPr>
              <w:t xml:space="preserve"> EUR</w:t>
            </w:r>
          </w:p>
          <w:p w:rsidR="00F84AF2" w:rsidRPr="00C24162" w:rsidRDefault="00F84AF2" w:rsidP="008C58EB">
            <w:pPr>
              <w:jc w:val="center"/>
              <w:rPr>
                <w:rFonts w:ascii="Times New Roman" w:eastAsia="Times New Roman" w:hAnsi="Times New Roman"/>
                <w:b/>
                <w:sz w:val="20"/>
                <w:szCs w:val="20"/>
                <w:u w:val="single"/>
                <w:lang w:val="ro-RO"/>
              </w:rPr>
            </w:pPr>
          </w:p>
          <w:p w:rsidR="00F84AF2" w:rsidRPr="00C24162" w:rsidRDefault="00F84AF2" w:rsidP="0008280A">
            <w:pPr>
              <w:jc w:val="center"/>
              <w:rPr>
                <w:rFonts w:ascii="Times New Roman" w:eastAsia="Times New Roman" w:hAnsi="Times New Roman"/>
                <w:b/>
                <w:sz w:val="20"/>
                <w:szCs w:val="20"/>
                <w:u w:val="single"/>
                <w:lang w:val="ro-RO"/>
              </w:rPr>
            </w:pPr>
            <w:r w:rsidRPr="00C24162">
              <w:rPr>
                <w:rFonts w:ascii="Times New Roman" w:eastAsia="Times New Roman" w:hAnsi="Times New Roman"/>
                <w:sz w:val="20"/>
                <w:szCs w:val="20"/>
                <w:lang w:val="ro-RO"/>
              </w:rPr>
              <w:t>(dintre care pentru  2014</w:t>
            </w:r>
            <w:r w:rsidR="00B76A72">
              <w:rPr>
                <w:rFonts w:ascii="Times New Roman" w:eastAsia="Times New Roman" w:hAnsi="Times New Roman"/>
                <w:sz w:val="20"/>
                <w:szCs w:val="20"/>
                <w:lang w:val="ro-RO"/>
              </w:rPr>
              <w:t xml:space="preserve"> -</w:t>
            </w:r>
            <w:r w:rsidRPr="00C24162">
              <w:rPr>
                <w:rFonts w:ascii="Times New Roman" w:eastAsia="Times New Roman" w:hAnsi="Times New Roman"/>
                <w:sz w:val="20"/>
                <w:szCs w:val="20"/>
                <w:lang w:val="ro-RO"/>
              </w:rPr>
              <w:t xml:space="preserve">  </w:t>
            </w:r>
            <w:r w:rsidR="00B76A72">
              <w:rPr>
                <w:rFonts w:ascii="Times New Roman" w:eastAsia="Times New Roman" w:hAnsi="Times New Roman"/>
                <w:sz w:val="20"/>
                <w:szCs w:val="20"/>
                <w:u w:val="single"/>
                <w:lang w:val="ro-RO"/>
              </w:rPr>
              <w:t xml:space="preserve">333 363 </w:t>
            </w:r>
            <w:r w:rsidRPr="00C24162">
              <w:rPr>
                <w:rFonts w:ascii="Times New Roman" w:eastAsia="Times New Roman" w:hAnsi="Times New Roman"/>
                <w:sz w:val="20"/>
                <w:szCs w:val="20"/>
                <w:u w:val="single"/>
                <w:lang w:val="ro-RO"/>
              </w:rPr>
              <w:t>EUR)</w:t>
            </w: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CD73D6" w:rsidRDefault="004427EF" w:rsidP="0008280A">
            <w:pPr>
              <w:spacing w:after="0" w:line="240" w:lineRule="auto"/>
              <w:jc w:val="both"/>
              <w:rPr>
                <w:rFonts w:ascii="Times New Roman" w:eastAsia="Times New Roman" w:hAnsi="Times New Roman"/>
                <w:b/>
                <w:i/>
                <w:color w:val="000000" w:themeColor="text1"/>
                <w:sz w:val="20"/>
                <w:szCs w:val="20"/>
                <w:lang w:val="ro-RO"/>
              </w:rPr>
            </w:pPr>
            <w:bookmarkStart w:id="0" w:name="_GoBack"/>
            <w:bookmarkEnd w:id="0"/>
            <w:r w:rsidRPr="004427EF">
              <w:rPr>
                <w:rFonts w:ascii="Times New Roman" w:eastAsia="Times New Roman" w:hAnsi="Times New Roman"/>
                <w:b/>
                <w:i/>
                <w:color w:val="000000" w:themeColor="text1"/>
                <w:sz w:val="20"/>
                <w:szCs w:val="20"/>
                <w:lang w:val="ro-RO"/>
              </w:rPr>
              <w:t xml:space="preserve">Proiectul </w:t>
            </w:r>
            <w:proofErr w:type="spellStart"/>
            <w:r w:rsidRPr="004427EF">
              <w:rPr>
                <w:rFonts w:ascii="Times New Roman" w:eastAsia="Times New Roman" w:hAnsi="Times New Roman"/>
                <w:b/>
                <w:i/>
                <w:color w:val="000000" w:themeColor="text1"/>
                <w:sz w:val="20"/>
                <w:szCs w:val="20"/>
                <w:lang w:val="ro-RO"/>
              </w:rPr>
              <w:t>Twinning</w:t>
            </w:r>
            <w:proofErr w:type="spellEnd"/>
            <w:r w:rsidRPr="004427EF">
              <w:rPr>
                <w:rFonts w:ascii="Times New Roman" w:eastAsia="Times New Roman" w:hAnsi="Times New Roman"/>
                <w:b/>
                <w:i/>
                <w:color w:val="000000" w:themeColor="text1"/>
                <w:sz w:val="20"/>
                <w:szCs w:val="20"/>
                <w:lang w:val="ro-RO"/>
              </w:rPr>
              <w:t xml:space="preserve"> „Consolidarea capacităţilor Centrului de Acreditare în domeniul  Evaluării Conformităţii Produselor al Republicii Moldova”</w:t>
            </w:r>
          </w:p>
          <w:p w:rsidR="00F84AF2" w:rsidRPr="00CD73D6" w:rsidRDefault="00F04B47" w:rsidP="00F04B47">
            <w:pPr>
              <w:pStyle w:val="Listparagraf"/>
              <w:numPr>
                <w:ilvl w:val="0"/>
                <w:numId w:val="27"/>
              </w:numPr>
              <w:tabs>
                <w:tab w:val="left" w:pos="952"/>
              </w:tabs>
              <w:spacing w:after="0" w:line="240" w:lineRule="auto"/>
              <w:ind w:firstLine="22"/>
              <w:jc w:val="both"/>
              <w:rPr>
                <w:rFonts w:ascii="Times New Roman" w:eastAsia="Times New Roman" w:hAnsi="Times New Roman"/>
                <w:color w:val="000000" w:themeColor="text1"/>
                <w:sz w:val="20"/>
                <w:szCs w:val="20"/>
                <w:lang w:val="ro-RO"/>
              </w:rPr>
            </w:pPr>
            <w:r>
              <w:rPr>
                <w:rFonts w:ascii="Times New Roman" w:eastAsia="Times New Roman" w:hAnsi="Times New Roman"/>
                <w:color w:val="000000" w:themeColor="text1"/>
                <w:sz w:val="20"/>
                <w:szCs w:val="20"/>
                <w:lang w:val="ro-RO"/>
              </w:rPr>
              <w:t xml:space="preserve">  </w:t>
            </w:r>
            <w:r w:rsidR="00F84AF2" w:rsidRPr="00CD73D6">
              <w:rPr>
                <w:rFonts w:ascii="Times New Roman" w:eastAsia="Times New Roman" w:hAnsi="Times New Roman"/>
                <w:color w:val="000000" w:themeColor="text1"/>
                <w:sz w:val="20"/>
                <w:szCs w:val="20"/>
                <w:lang w:val="ro-RO"/>
              </w:rPr>
              <w:t>S-a</w:t>
            </w:r>
            <w:r w:rsidR="00CD73D6" w:rsidRPr="00CD73D6">
              <w:rPr>
                <w:rFonts w:ascii="Times New Roman" w:eastAsia="Times New Roman" w:hAnsi="Times New Roman"/>
                <w:color w:val="000000" w:themeColor="text1"/>
                <w:sz w:val="20"/>
                <w:szCs w:val="20"/>
                <w:lang w:val="ro-RO"/>
              </w:rPr>
              <w:t xml:space="preserve"> elaborat noua structură MOLDAC</w:t>
            </w:r>
          </w:p>
          <w:p w:rsidR="00F84AF2" w:rsidRPr="00C24162" w:rsidRDefault="00F84AF2" w:rsidP="0008280A">
            <w:pPr>
              <w:pStyle w:val="Listparagraf"/>
              <w:numPr>
                <w:ilvl w:val="0"/>
                <w:numId w:val="22"/>
              </w:num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S-a creat în componenţă nouă Consiliul de Acreditare, Comisia de Apel, Comitetele tehnice,</w:t>
            </w:r>
          </w:p>
          <w:p w:rsidR="00F84AF2" w:rsidRPr="00C24162" w:rsidRDefault="00F84AF2" w:rsidP="0008280A">
            <w:pPr>
              <w:pStyle w:val="Listparagraf"/>
              <w:numPr>
                <w:ilvl w:val="0"/>
                <w:numId w:val="22"/>
              </w:num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S-a revizuit şi elaborat în versiune nouă documentele sistemului de management,</w:t>
            </w:r>
          </w:p>
          <w:p w:rsidR="00F84AF2" w:rsidRPr="00C24162" w:rsidRDefault="00F84AF2" w:rsidP="0008280A">
            <w:pPr>
              <w:pStyle w:val="Listparagraf"/>
              <w:numPr>
                <w:ilvl w:val="0"/>
                <w:numId w:val="22"/>
              </w:num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S-a instruit personalul implicat în procesul de acreditare şi evaluarea conformităţii  (persoane participante:  instruiri  -  475, inclusiv, OEC –  137, Autorităţi – 19),</w:t>
            </w:r>
          </w:p>
          <w:p w:rsidR="00F84AF2" w:rsidRPr="00C24162" w:rsidRDefault="00F84AF2" w:rsidP="0008280A">
            <w:pPr>
              <w:pStyle w:val="Listparagraf"/>
              <w:numPr>
                <w:ilvl w:val="0"/>
                <w:numId w:val="22"/>
              </w:num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lastRenderedPageBreak/>
              <w:t>S-au obţinut concluziile pozitive a evaluatorilor EA  în rezultatul a două evaluări paritare simulate organizate în cadrul proiectului,</w:t>
            </w:r>
          </w:p>
          <w:p w:rsidR="00F84AF2" w:rsidRPr="00C24162" w:rsidRDefault="00F84AF2" w:rsidP="0008280A">
            <w:pPr>
              <w:pStyle w:val="Listparagraf"/>
              <w:numPr>
                <w:ilvl w:val="0"/>
                <w:numId w:val="22"/>
              </w:num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 xml:space="preserve">S-a extins competenţei MOLDAC pe 2 domenii noi (laboratoare medicale şi laboratoare de etalonări). </w:t>
            </w:r>
          </w:p>
          <w:p w:rsidR="00F84AF2" w:rsidRPr="00C24162" w:rsidRDefault="00F84AF2" w:rsidP="0008280A">
            <w:pPr>
              <w:pStyle w:val="Listparagraf"/>
              <w:numPr>
                <w:ilvl w:val="0"/>
                <w:numId w:val="22"/>
              </w:num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 xml:space="preserve">MOLDAC  a depus la 18 decembrie 2013 cerere la Secretariatul EA de a deveni semnatar al acordului de recunoaştere multilaterală  EA MLA  pe domeniile Certificare produse, Certificare sisteme management, laboratoare de încercări si laboratoare de etalonări; </w:t>
            </w:r>
          </w:p>
          <w:p w:rsidR="00F84AF2" w:rsidRPr="00C24162" w:rsidRDefault="00F84AF2" w:rsidP="0008280A">
            <w:pPr>
              <w:pStyle w:val="Listparagraf"/>
              <w:numPr>
                <w:ilvl w:val="0"/>
                <w:numId w:val="22"/>
              </w:num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 xml:space="preserve">La cerere au fost anexate materialele justificative,  referitor la organizarea şi competenţa MOLDAC; </w:t>
            </w:r>
          </w:p>
          <w:p w:rsidR="00F84AF2" w:rsidRPr="00C24162" w:rsidRDefault="00F84AF2" w:rsidP="0008280A">
            <w:pPr>
              <w:pStyle w:val="Listparagraf"/>
              <w:numPr>
                <w:ilvl w:val="0"/>
                <w:numId w:val="22"/>
              </w:num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color w:val="000000" w:themeColor="text1"/>
                <w:sz w:val="20"/>
                <w:szCs w:val="20"/>
                <w:lang w:val="ro-RO"/>
              </w:rPr>
              <w:t>-</w:t>
            </w:r>
            <w:r w:rsidRPr="00C24162">
              <w:rPr>
                <w:rFonts w:ascii="Times New Roman" w:eastAsia="Times New Roman" w:hAnsi="Times New Roman"/>
                <w:color w:val="000000" w:themeColor="text1"/>
                <w:sz w:val="20"/>
                <w:szCs w:val="20"/>
                <w:lang w:val="ro-RO"/>
              </w:rPr>
              <w:tab/>
              <w:t xml:space="preserve"> Cerere a fost acceptată, numit evaluatorul şef şi perioada evaluării. 2014-2016)</w:t>
            </w:r>
          </w:p>
        </w:tc>
      </w:tr>
      <w:tr w:rsidR="00F84AF2" w:rsidRPr="00C24162" w:rsidTr="00B76A72">
        <w:trPr>
          <w:trHeight w:val="1164"/>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1001" w:type="dxa"/>
            <w:gridSpan w:val="4"/>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2409" w:type="dxa"/>
            <w:gridSpan w:val="4"/>
            <w:tcBorders>
              <w:left w:val="single" w:sz="4" w:space="0" w:color="auto"/>
              <w:right w:val="single" w:sz="4" w:space="0" w:color="auto"/>
            </w:tcBorders>
          </w:tcPr>
          <w:p w:rsidR="00F84AF2" w:rsidRPr="00C24162" w:rsidRDefault="00F84AF2" w:rsidP="008C58EB">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2 600 000 EUR</w:t>
            </w:r>
          </w:p>
          <w:p w:rsidR="00F84AF2" w:rsidRPr="00C24162" w:rsidRDefault="00F84AF2" w:rsidP="00891C53">
            <w:pPr>
              <w:jc w:val="center"/>
              <w:rPr>
                <w:rFonts w:ascii="Times New Roman" w:eastAsia="Times New Roman" w:hAnsi="Times New Roman"/>
                <w:b/>
                <w:sz w:val="20"/>
                <w:szCs w:val="20"/>
                <w:u w:val="single"/>
                <w:lang w:val="ro-RO"/>
              </w:rPr>
            </w:pPr>
            <w:r w:rsidRPr="00C24162">
              <w:rPr>
                <w:rFonts w:ascii="Times New Roman" w:eastAsia="Times New Roman" w:hAnsi="Times New Roman"/>
                <w:sz w:val="20"/>
                <w:szCs w:val="20"/>
                <w:lang w:val="ro-RO"/>
              </w:rPr>
              <w:t xml:space="preserve">(dintre care pentru  2014  </w:t>
            </w:r>
            <w:r w:rsidRPr="00C24162">
              <w:rPr>
                <w:rFonts w:ascii="Times New Roman" w:eastAsia="Times New Roman" w:hAnsi="Times New Roman"/>
                <w:sz w:val="20"/>
                <w:szCs w:val="20"/>
                <w:u w:val="single"/>
                <w:lang w:val="ro-RO"/>
              </w:rPr>
              <w:t>857 065- EUR)</w:t>
            </w: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BC3A98" w:rsidRDefault="00F84AF2" w:rsidP="00BC3A98">
            <w:pPr>
              <w:spacing w:after="0" w:line="240" w:lineRule="auto"/>
              <w:jc w:val="both"/>
              <w:rPr>
                <w:rFonts w:ascii="Times New Roman" w:eastAsia="Times New Roman" w:hAnsi="Times New Roman"/>
                <w:b/>
                <w:i/>
                <w:color w:val="000000" w:themeColor="text1"/>
                <w:sz w:val="20"/>
                <w:szCs w:val="20"/>
                <w:lang w:val="ro-RO"/>
              </w:rPr>
            </w:pPr>
            <w:r w:rsidRPr="00C24162">
              <w:rPr>
                <w:rFonts w:ascii="Times New Roman" w:eastAsia="Times New Roman" w:hAnsi="Times New Roman"/>
                <w:b/>
                <w:i/>
                <w:color w:val="000000" w:themeColor="text1"/>
                <w:sz w:val="20"/>
                <w:szCs w:val="20"/>
                <w:lang w:val="ro-RO"/>
              </w:rPr>
              <w:t xml:space="preserve">Asistenţă tehnică pentru implementarea Programului de susţinere a politicilor sectoriale </w:t>
            </w:r>
            <w:r w:rsidR="00BC3A98">
              <w:rPr>
                <w:rFonts w:ascii="Times New Roman" w:eastAsia="Times New Roman" w:hAnsi="Times New Roman"/>
                <w:b/>
                <w:i/>
                <w:color w:val="000000" w:themeColor="text1"/>
                <w:sz w:val="20"/>
                <w:szCs w:val="20"/>
                <w:lang w:val="ro-RO"/>
              </w:rPr>
              <w:t>„</w:t>
            </w:r>
            <w:r w:rsidRPr="00C24162">
              <w:rPr>
                <w:rFonts w:ascii="Times New Roman" w:eastAsia="Times New Roman" w:hAnsi="Times New Roman"/>
                <w:b/>
                <w:i/>
                <w:color w:val="000000" w:themeColor="text1"/>
                <w:sz w:val="20"/>
                <w:szCs w:val="20"/>
                <w:lang w:val="ro-RO"/>
              </w:rPr>
              <w:t>Asistenţă pentru reforma sectorului energetic”</w:t>
            </w:r>
            <w:r w:rsidR="00D83551" w:rsidRPr="00C24162">
              <w:rPr>
                <w:rFonts w:ascii="Times New Roman" w:eastAsia="Times New Roman" w:hAnsi="Times New Roman"/>
                <w:b/>
                <w:i/>
                <w:color w:val="000000" w:themeColor="text1"/>
                <w:sz w:val="20"/>
                <w:szCs w:val="20"/>
                <w:lang w:val="ro-RO"/>
              </w:rPr>
              <w:t>.</w:t>
            </w:r>
          </w:p>
          <w:p w:rsidR="00F84AF2" w:rsidRDefault="003B742F" w:rsidP="00BC3A98">
            <w:pPr>
              <w:spacing w:after="0" w:line="240" w:lineRule="auto"/>
              <w:jc w:val="both"/>
              <w:rPr>
                <w:rFonts w:ascii="Times New Roman" w:eastAsia="Times New Roman" w:hAnsi="Times New Roman"/>
                <w:b/>
                <w:i/>
                <w:color w:val="000000" w:themeColor="text1"/>
                <w:sz w:val="20"/>
                <w:szCs w:val="20"/>
                <w:lang w:val="ro-RO"/>
              </w:rPr>
            </w:pPr>
            <w:r>
              <w:rPr>
                <w:rFonts w:ascii="Times New Roman" w:eastAsia="Times New Roman" w:hAnsi="Times New Roman"/>
                <w:b/>
                <w:i/>
                <w:color w:val="000000" w:themeColor="text1"/>
                <w:sz w:val="20"/>
                <w:szCs w:val="20"/>
                <w:lang w:val="ro-RO"/>
              </w:rPr>
              <w:t>(2012-2015</w:t>
            </w:r>
            <w:r w:rsidRPr="003B742F">
              <w:rPr>
                <w:rFonts w:ascii="Times New Roman" w:eastAsia="Times New Roman" w:hAnsi="Times New Roman"/>
                <w:b/>
                <w:i/>
                <w:color w:val="000000" w:themeColor="text1"/>
                <w:sz w:val="20"/>
                <w:szCs w:val="20"/>
                <w:lang w:val="ro-RO"/>
              </w:rPr>
              <w:t>)</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xml:space="preserve">Obiectivul general al PSPS </w:t>
            </w:r>
            <w:r>
              <w:rPr>
                <w:rFonts w:ascii="Times New Roman" w:eastAsia="Times New Roman" w:hAnsi="Times New Roman"/>
                <w:color w:val="000000" w:themeColor="text1"/>
                <w:sz w:val="20"/>
                <w:szCs w:val="20"/>
                <w:lang w:val="ro-RO"/>
              </w:rPr>
              <w:t>„</w:t>
            </w:r>
            <w:r w:rsidRPr="003B742F">
              <w:rPr>
                <w:rFonts w:ascii="Times New Roman" w:eastAsia="Times New Roman" w:hAnsi="Times New Roman"/>
                <w:color w:val="000000" w:themeColor="text1"/>
                <w:sz w:val="20"/>
                <w:szCs w:val="20"/>
                <w:lang w:val="ro-RO"/>
              </w:rPr>
              <w:t xml:space="preserve">Suport pentru Reforma  sectorului energetic", dintre care proiectul </w:t>
            </w:r>
            <w:r>
              <w:rPr>
                <w:rFonts w:ascii="Times New Roman" w:eastAsia="Times New Roman" w:hAnsi="Times New Roman"/>
                <w:color w:val="000000" w:themeColor="text1"/>
                <w:sz w:val="20"/>
                <w:szCs w:val="20"/>
                <w:lang w:val="ro-RO"/>
              </w:rPr>
              <w:t>de asistență tehnică are ca scop oferirea sprijinului</w:t>
            </w:r>
            <w:r w:rsidRPr="003B742F">
              <w:rPr>
                <w:rFonts w:ascii="Times New Roman" w:eastAsia="Times New Roman" w:hAnsi="Times New Roman"/>
                <w:color w:val="000000" w:themeColor="text1"/>
                <w:sz w:val="20"/>
                <w:szCs w:val="20"/>
                <w:lang w:val="ro-RO"/>
              </w:rPr>
              <w:t xml:space="preserve"> Guvernul</w:t>
            </w:r>
            <w:r>
              <w:rPr>
                <w:rFonts w:ascii="Times New Roman" w:eastAsia="Times New Roman" w:hAnsi="Times New Roman"/>
                <w:color w:val="000000" w:themeColor="text1"/>
                <w:sz w:val="20"/>
                <w:szCs w:val="20"/>
                <w:lang w:val="ro-RO"/>
              </w:rPr>
              <w:t>ui Republicii Moldova pentru</w:t>
            </w:r>
            <w:r w:rsidRPr="003B742F">
              <w:rPr>
                <w:rFonts w:ascii="Times New Roman" w:eastAsia="Times New Roman" w:hAnsi="Times New Roman"/>
                <w:color w:val="000000" w:themeColor="text1"/>
                <w:sz w:val="20"/>
                <w:szCs w:val="20"/>
                <w:lang w:val="ro-RO"/>
              </w:rPr>
              <w:t xml:space="preserve"> punerea în ap</w:t>
            </w:r>
            <w:r>
              <w:rPr>
                <w:rFonts w:ascii="Times New Roman" w:eastAsia="Times New Roman" w:hAnsi="Times New Roman"/>
                <w:color w:val="000000" w:themeColor="text1"/>
                <w:sz w:val="20"/>
                <w:szCs w:val="20"/>
                <w:lang w:val="ro-RO"/>
              </w:rPr>
              <w:t xml:space="preserve">licare a reformelor în sectorul </w:t>
            </w:r>
            <w:r w:rsidRPr="003B742F">
              <w:rPr>
                <w:rFonts w:ascii="Times New Roman" w:eastAsia="Times New Roman" w:hAnsi="Times New Roman"/>
                <w:color w:val="000000" w:themeColor="text1"/>
                <w:sz w:val="20"/>
                <w:szCs w:val="20"/>
                <w:lang w:val="ro-RO"/>
              </w:rPr>
              <w:t xml:space="preserve">energetic cu </w:t>
            </w:r>
            <w:r>
              <w:rPr>
                <w:rFonts w:ascii="Times New Roman" w:eastAsia="Times New Roman" w:hAnsi="Times New Roman"/>
                <w:color w:val="000000" w:themeColor="text1"/>
                <w:sz w:val="20"/>
                <w:szCs w:val="20"/>
                <w:lang w:val="ro-RO"/>
              </w:rPr>
              <w:t>un accent deosebit pe</w:t>
            </w:r>
            <w:r w:rsidRPr="003B742F">
              <w:rPr>
                <w:rFonts w:ascii="Times New Roman" w:eastAsia="Times New Roman" w:hAnsi="Times New Roman"/>
                <w:color w:val="000000" w:themeColor="text1"/>
                <w:sz w:val="20"/>
                <w:szCs w:val="20"/>
                <w:lang w:val="ro-RO"/>
              </w:rPr>
              <w:t xml:space="preserve"> (i) securitatea </w:t>
            </w:r>
            <w:r>
              <w:rPr>
                <w:rFonts w:ascii="Times New Roman" w:eastAsia="Times New Roman" w:hAnsi="Times New Roman"/>
                <w:color w:val="000000" w:themeColor="text1"/>
                <w:sz w:val="20"/>
                <w:szCs w:val="20"/>
                <w:lang w:val="ro-RO"/>
              </w:rPr>
              <w:t>energetică</w:t>
            </w:r>
            <w:r w:rsidRPr="003B742F">
              <w:rPr>
                <w:rFonts w:ascii="Times New Roman" w:eastAsia="Times New Roman" w:hAnsi="Times New Roman"/>
                <w:color w:val="000000" w:themeColor="text1"/>
                <w:sz w:val="20"/>
                <w:szCs w:val="20"/>
                <w:lang w:val="ro-RO"/>
              </w:rPr>
              <w:t>, (ii) eficiența energetică (EE) și (</w:t>
            </w:r>
            <w:proofErr w:type="spellStart"/>
            <w:r w:rsidRPr="003B742F">
              <w:rPr>
                <w:rFonts w:ascii="Times New Roman" w:eastAsia="Times New Roman" w:hAnsi="Times New Roman"/>
                <w:color w:val="000000" w:themeColor="text1"/>
                <w:sz w:val="20"/>
                <w:szCs w:val="20"/>
                <w:lang w:val="ro-RO"/>
              </w:rPr>
              <w:t>iii</w:t>
            </w:r>
            <w:proofErr w:type="spellEnd"/>
            <w:r w:rsidRPr="003B742F">
              <w:rPr>
                <w:rFonts w:ascii="Times New Roman" w:eastAsia="Times New Roman" w:hAnsi="Times New Roman"/>
                <w:color w:val="000000" w:themeColor="text1"/>
                <w:sz w:val="20"/>
                <w:szCs w:val="20"/>
                <w:lang w:val="ro-RO"/>
              </w:rPr>
              <w:t xml:space="preserve">) energie regenerabilă (RE), prin furnizarea </w:t>
            </w:r>
            <w:r>
              <w:rPr>
                <w:rFonts w:ascii="Times New Roman" w:eastAsia="Times New Roman" w:hAnsi="Times New Roman"/>
                <w:color w:val="000000" w:themeColor="text1"/>
                <w:sz w:val="20"/>
                <w:szCs w:val="20"/>
                <w:lang w:val="ro-RO"/>
              </w:rPr>
              <w:t xml:space="preserve">de </w:t>
            </w:r>
            <w:r w:rsidRPr="003B742F">
              <w:rPr>
                <w:rFonts w:ascii="Times New Roman" w:eastAsia="Times New Roman" w:hAnsi="Times New Roman"/>
                <w:color w:val="000000" w:themeColor="text1"/>
                <w:sz w:val="20"/>
                <w:szCs w:val="20"/>
                <w:lang w:val="ro-RO"/>
              </w:rPr>
              <w:t>(a) finanțe, (b) asistență tehnică și (c) dialogul politic pentru activitățile prioritare de mare relevanță pentru populația Republicii Moldova și dezvoltarea sectorului energetic.</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În acest context, proiect TA-PSPS Energie oferă consiliere cu privire la îndeplinirea obiectivelor și indicatorilor ce țin de reforma sectorului energetic,</w:t>
            </w:r>
            <w:r>
              <w:rPr>
                <w:rFonts w:ascii="Times New Roman" w:eastAsia="Times New Roman" w:hAnsi="Times New Roman"/>
                <w:color w:val="000000" w:themeColor="text1"/>
                <w:sz w:val="20"/>
                <w:szCs w:val="20"/>
                <w:lang w:val="ro-RO"/>
              </w:rPr>
              <w:t xml:space="preserve"> conform matricei de politici </w:t>
            </w:r>
            <w:r w:rsidRPr="003B742F">
              <w:rPr>
                <w:rFonts w:ascii="Times New Roman" w:eastAsia="Times New Roman" w:hAnsi="Times New Roman"/>
                <w:color w:val="000000" w:themeColor="text1"/>
                <w:sz w:val="20"/>
                <w:szCs w:val="20"/>
                <w:lang w:val="ro-RO"/>
              </w:rPr>
              <w:t xml:space="preserve"> </w:t>
            </w:r>
            <w:r>
              <w:rPr>
                <w:rFonts w:ascii="Times New Roman" w:eastAsia="Times New Roman" w:hAnsi="Times New Roman"/>
                <w:color w:val="000000" w:themeColor="text1"/>
                <w:sz w:val="20"/>
                <w:szCs w:val="20"/>
                <w:lang w:val="ro-RO"/>
              </w:rPr>
              <w:t>anexate</w:t>
            </w:r>
            <w:r w:rsidRPr="003B742F">
              <w:rPr>
                <w:rFonts w:ascii="Times New Roman" w:eastAsia="Times New Roman" w:hAnsi="Times New Roman"/>
                <w:color w:val="000000" w:themeColor="text1"/>
                <w:sz w:val="20"/>
                <w:szCs w:val="20"/>
                <w:lang w:val="ro-RO"/>
              </w:rPr>
              <w:t xml:space="preserve"> la Acordul de finanțare dintre Guvernul Republicii Moldova și Uniunea Europeană.</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xml:space="preserve">În același timp, proiectul merge dincolo de obiectivele </w:t>
            </w:r>
            <w:r>
              <w:rPr>
                <w:rFonts w:ascii="Times New Roman" w:eastAsia="Times New Roman" w:hAnsi="Times New Roman"/>
                <w:color w:val="000000" w:themeColor="text1"/>
                <w:sz w:val="20"/>
                <w:szCs w:val="20"/>
                <w:lang w:val="ro-RO"/>
              </w:rPr>
              <w:t>matricei de politici</w:t>
            </w:r>
            <w:r w:rsidRPr="003B742F">
              <w:rPr>
                <w:rFonts w:ascii="Times New Roman" w:eastAsia="Times New Roman" w:hAnsi="Times New Roman"/>
                <w:color w:val="000000" w:themeColor="text1"/>
                <w:sz w:val="20"/>
                <w:szCs w:val="20"/>
                <w:lang w:val="ro-RO"/>
              </w:rPr>
              <w:t xml:space="preserve"> și oferă asistență mai largă a Ministerului E</w:t>
            </w:r>
            <w:r>
              <w:rPr>
                <w:rFonts w:ascii="Times New Roman" w:eastAsia="Times New Roman" w:hAnsi="Times New Roman"/>
                <w:color w:val="000000" w:themeColor="text1"/>
                <w:sz w:val="20"/>
                <w:szCs w:val="20"/>
                <w:lang w:val="ro-RO"/>
              </w:rPr>
              <w:t>conomiei</w:t>
            </w:r>
            <w:r w:rsidRPr="003B742F">
              <w:rPr>
                <w:rFonts w:ascii="Times New Roman" w:eastAsia="Times New Roman" w:hAnsi="Times New Roman"/>
                <w:color w:val="000000" w:themeColor="text1"/>
                <w:sz w:val="20"/>
                <w:szCs w:val="20"/>
                <w:lang w:val="ro-RO"/>
              </w:rPr>
              <w:t xml:space="preserve"> în mai multe aspecte important</w:t>
            </w:r>
            <w:r>
              <w:rPr>
                <w:rFonts w:ascii="Times New Roman" w:eastAsia="Times New Roman" w:hAnsi="Times New Roman"/>
                <w:color w:val="000000" w:themeColor="text1"/>
                <w:sz w:val="20"/>
                <w:szCs w:val="20"/>
                <w:lang w:val="ro-RO"/>
              </w:rPr>
              <w:t>e</w:t>
            </w:r>
            <w:r w:rsidRPr="003B742F">
              <w:rPr>
                <w:rFonts w:ascii="Times New Roman" w:eastAsia="Times New Roman" w:hAnsi="Times New Roman"/>
                <w:color w:val="000000" w:themeColor="text1"/>
                <w:sz w:val="20"/>
                <w:szCs w:val="20"/>
                <w:lang w:val="ro-RO"/>
              </w:rPr>
              <w:t xml:space="preserve"> legate de sectorul energetic, care sunt identificate ca priorități actuale.</w:t>
            </w:r>
          </w:p>
          <w:p w:rsidR="003B742F" w:rsidRPr="003B742F" w:rsidRDefault="003B742F" w:rsidP="003B742F">
            <w:pPr>
              <w:spacing w:after="0" w:line="240" w:lineRule="auto"/>
              <w:jc w:val="both"/>
              <w:rPr>
                <w:rFonts w:ascii="Times New Roman" w:eastAsia="Times New Roman" w:hAnsi="Times New Roman"/>
                <w:i/>
                <w:color w:val="000000" w:themeColor="text1"/>
                <w:sz w:val="20"/>
                <w:szCs w:val="20"/>
                <w:u w:val="single"/>
                <w:lang w:val="ro-RO"/>
              </w:rPr>
            </w:pPr>
            <w:r w:rsidRPr="003B742F">
              <w:rPr>
                <w:rFonts w:ascii="Times New Roman" w:eastAsia="Times New Roman" w:hAnsi="Times New Roman"/>
                <w:i/>
                <w:color w:val="000000" w:themeColor="text1"/>
                <w:sz w:val="20"/>
                <w:szCs w:val="20"/>
                <w:u w:val="single"/>
                <w:lang w:val="ro-RO"/>
              </w:rPr>
              <w:t>Rezultate:</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Pr>
                <w:rFonts w:ascii="Times New Roman" w:eastAsia="Times New Roman" w:hAnsi="Times New Roman"/>
                <w:color w:val="000000" w:themeColor="text1"/>
                <w:sz w:val="20"/>
                <w:szCs w:val="20"/>
                <w:lang w:val="ro-RO"/>
              </w:rPr>
              <w:t>Suport</w:t>
            </w:r>
            <w:r w:rsidRPr="003B742F">
              <w:rPr>
                <w:rFonts w:ascii="Times New Roman" w:eastAsia="Times New Roman" w:hAnsi="Times New Roman"/>
                <w:color w:val="000000" w:themeColor="text1"/>
                <w:sz w:val="20"/>
                <w:szCs w:val="20"/>
                <w:lang w:val="ro-RO"/>
              </w:rPr>
              <w:t xml:space="preserve"> </w:t>
            </w:r>
            <w:r>
              <w:rPr>
                <w:rFonts w:ascii="Times New Roman" w:eastAsia="Times New Roman" w:hAnsi="Times New Roman"/>
                <w:color w:val="000000" w:themeColor="text1"/>
                <w:sz w:val="20"/>
                <w:szCs w:val="20"/>
                <w:lang w:val="ro-RO"/>
              </w:rPr>
              <w:t xml:space="preserve">acordat </w:t>
            </w:r>
            <w:r w:rsidRPr="003B742F">
              <w:rPr>
                <w:rFonts w:ascii="Times New Roman" w:eastAsia="Times New Roman" w:hAnsi="Times New Roman"/>
                <w:color w:val="000000" w:themeColor="text1"/>
                <w:sz w:val="20"/>
                <w:szCs w:val="20"/>
                <w:lang w:val="ro-RO"/>
              </w:rPr>
              <w:t>Ministerului E</w:t>
            </w:r>
            <w:r>
              <w:rPr>
                <w:rFonts w:ascii="Times New Roman" w:eastAsia="Times New Roman" w:hAnsi="Times New Roman"/>
                <w:color w:val="000000" w:themeColor="text1"/>
                <w:sz w:val="20"/>
                <w:szCs w:val="20"/>
                <w:lang w:val="ro-RO"/>
              </w:rPr>
              <w:t>conomiei în</w:t>
            </w:r>
            <w:r w:rsidRPr="003B742F">
              <w:rPr>
                <w:rFonts w:ascii="Times New Roman" w:eastAsia="Times New Roman" w:hAnsi="Times New Roman"/>
                <w:color w:val="000000" w:themeColor="text1"/>
                <w:sz w:val="20"/>
                <w:szCs w:val="20"/>
                <w:lang w:val="ro-RO"/>
              </w:rPr>
              <w:t>:</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xml:space="preserve">• </w:t>
            </w:r>
            <w:r>
              <w:rPr>
                <w:rFonts w:ascii="Times New Roman" w:eastAsia="Times New Roman" w:hAnsi="Times New Roman"/>
                <w:color w:val="000000" w:themeColor="text1"/>
                <w:sz w:val="20"/>
                <w:szCs w:val="20"/>
                <w:lang w:val="ro-RO"/>
              </w:rPr>
              <w:t>prezentarea pentru  evaluatorii externi ai CE a progreselor înregistrate de Guvern pe PSPS E</w:t>
            </w:r>
            <w:r w:rsidRPr="003B742F">
              <w:rPr>
                <w:rFonts w:ascii="Times New Roman" w:eastAsia="Times New Roman" w:hAnsi="Times New Roman"/>
                <w:color w:val="000000" w:themeColor="text1"/>
                <w:sz w:val="20"/>
                <w:szCs w:val="20"/>
                <w:lang w:val="ro-RO"/>
              </w:rPr>
              <w:t>nergie în cursul anului 2012 și 2013</w:t>
            </w:r>
            <w:r>
              <w:rPr>
                <w:rFonts w:ascii="Times New Roman" w:eastAsia="Times New Roman" w:hAnsi="Times New Roman"/>
                <w:color w:val="000000" w:themeColor="text1"/>
                <w:sz w:val="20"/>
                <w:szCs w:val="20"/>
                <w:lang w:val="ro-RO"/>
              </w:rPr>
              <w:t>.</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xml:space="preserve">• </w:t>
            </w:r>
            <w:r>
              <w:rPr>
                <w:rFonts w:ascii="Times New Roman" w:eastAsia="Times New Roman" w:hAnsi="Times New Roman"/>
                <w:color w:val="000000" w:themeColor="text1"/>
                <w:sz w:val="20"/>
                <w:szCs w:val="20"/>
                <w:lang w:val="ro-RO"/>
              </w:rPr>
              <w:t>elaborarea și prezentarea</w:t>
            </w:r>
            <w:r w:rsidRPr="003B742F">
              <w:rPr>
                <w:rFonts w:ascii="Times New Roman" w:eastAsia="Times New Roman" w:hAnsi="Times New Roman"/>
                <w:color w:val="000000" w:themeColor="text1"/>
                <w:sz w:val="20"/>
                <w:szCs w:val="20"/>
                <w:lang w:val="ro-RO"/>
              </w:rPr>
              <w:t xml:space="preserve"> declarații</w:t>
            </w:r>
            <w:r>
              <w:rPr>
                <w:rFonts w:ascii="Times New Roman" w:eastAsia="Times New Roman" w:hAnsi="Times New Roman"/>
                <w:color w:val="000000" w:themeColor="text1"/>
                <w:sz w:val="20"/>
                <w:szCs w:val="20"/>
                <w:lang w:val="ro-RO"/>
              </w:rPr>
              <w:t>lor</w:t>
            </w:r>
            <w:r w:rsidRPr="003B742F">
              <w:rPr>
                <w:rFonts w:ascii="Times New Roman" w:eastAsia="Times New Roman" w:hAnsi="Times New Roman"/>
                <w:color w:val="000000" w:themeColor="text1"/>
                <w:sz w:val="20"/>
                <w:szCs w:val="20"/>
                <w:lang w:val="ro-RO"/>
              </w:rPr>
              <w:t xml:space="preserve"> de conformitate către CE în ceea ce privește îndeplinirea </w:t>
            </w:r>
            <w:r w:rsidR="00575A81">
              <w:rPr>
                <w:rFonts w:ascii="Times New Roman" w:eastAsia="Times New Roman" w:hAnsi="Times New Roman"/>
                <w:color w:val="000000" w:themeColor="text1"/>
                <w:sz w:val="20"/>
                <w:szCs w:val="20"/>
                <w:lang w:val="ro-RO"/>
              </w:rPr>
              <w:t>obiectivelor PSPS E</w:t>
            </w:r>
            <w:r w:rsidR="00575A81" w:rsidRPr="003B742F">
              <w:rPr>
                <w:rFonts w:ascii="Times New Roman" w:eastAsia="Times New Roman" w:hAnsi="Times New Roman"/>
                <w:color w:val="000000" w:themeColor="text1"/>
                <w:sz w:val="20"/>
                <w:szCs w:val="20"/>
                <w:lang w:val="ro-RO"/>
              </w:rPr>
              <w:t>nergie</w:t>
            </w:r>
            <w:r w:rsidR="00575A81">
              <w:rPr>
                <w:rFonts w:ascii="Times New Roman" w:eastAsia="Times New Roman" w:hAnsi="Times New Roman"/>
                <w:color w:val="000000" w:themeColor="text1"/>
                <w:sz w:val="20"/>
                <w:szCs w:val="20"/>
                <w:lang w:val="ro-RO"/>
              </w:rPr>
              <w:t xml:space="preserve"> pentru 2012 și 2013.</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xml:space="preserve">• </w:t>
            </w:r>
            <w:r w:rsidR="00575A81">
              <w:rPr>
                <w:rFonts w:ascii="Times New Roman" w:eastAsia="Times New Roman" w:hAnsi="Times New Roman"/>
                <w:color w:val="000000" w:themeColor="text1"/>
                <w:sz w:val="20"/>
                <w:szCs w:val="20"/>
                <w:lang w:val="ro-RO"/>
              </w:rPr>
              <w:t>elaborarea</w:t>
            </w:r>
            <w:r w:rsidRPr="003B742F">
              <w:rPr>
                <w:rFonts w:ascii="Times New Roman" w:eastAsia="Times New Roman" w:hAnsi="Times New Roman"/>
                <w:color w:val="000000" w:themeColor="text1"/>
                <w:sz w:val="20"/>
                <w:szCs w:val="20"/>
                <w:lang w:val="ro-RO"/>
              </w:rPr>
              <w:t xml:space="preserve"> proiecte</w:t>
            </w:r>
            <w:r w:rsidR="00575A81">
              <w:rPr>
                <w:rFonts w:ascii="Times New Roman" w:eastAsia="Times New Roman" w:hAnsi="Times New Roman"/>
                <w:color w:val="000000" w:themeColor="text1"/>
                <w:sz w:val="20"/>
                <w:szCs w:val="20"/>
                <w:lang w:val="ro-RO"/>
              </w:rPr>
              <w:t xml:space="preserve">lor de acte normative referitor la </w:t>
            </w:r>
            <w:proofErr w:type="spellStart"/>
            <w:r w:rsidR="00575A81">
              <w:rPr>
                <w:rFonts w:ascii="Times New Roman" w:eastAsia="Times New Roman" w:hAnsi="Times New Roman"/>
                <w:color w:val="000000" w:themeColor="text1"/>
                <w:sz w:val="20"/>
                <w:szCs w:val="20"/>
                <w:lang w:val="ro-RO"/>
              </w:rPr>
              <w:t>eco</w:t>
            </w:r>
            <w:proofErr w:type="spellEnd"/>
            <w:r w:rsidR="00575A81">
              <w:rPr>
                <w:rFonts w:ascii="Times New Roman" w:eastAsia="Times New Roman" w:hAnsi="Times New Roman"/>
                <w:color w:val="000000" w:themeColor="text1"/>
                <w:sz w:val="20"/>
                <w:szCs w:val="20"/>
                <w:lang w:val="ro-RO"/>
              </w:rPr>
              <w:t xml:space="preserve"> design, </w:t>
            </w:r>
            <w:proofErr w:type="spellStart"/>
            <w:r w:rsidR="00575A81">
              <w:rPr>
                <w:rFonts w:ascii="Times New Roman" w:eastAsia="Times New Roman" w:hAnsi="Times New Roman"/>
                <w:color w:val="000000" w:themeColor="text1"/>
                <w:sz w:val="20"/>
                <w:szCs w:val="20"/>
                <w:lang w:val="ro-RO"/>
              </w:rPr>
              <w:t>energy</w:t>
            </w:r>
            <w:proofErr w:type="spellEnd"/>
            <w:r w:rsidR="00575A81">
              <w:rPr>
                <w:rFonts w:ascii="Times New Roman" w:eastAsia="Times New Roman" w:hAnsi="Times New Roman"/>
                <w:color w:val="000000" w:themeColor="text1"/>
                <w:sz w:val="20"/>
                <w:szCs w:val="20"/>
                <w:lang w:val="ro-RO"/>
              </w:rPr>
              <w:t xml:space="preserve"> </w:t>
            </w:r>
            <w:proofErr w:type="spellStart"/>
            <w:r w:rsidR="00575A81">
              <w:rPr>
                <w:rFonts w:ascii="Times New Roman" w:eastAsia="Times New Roman" w:hAnsi="Times New Roman"/>
                <w:color w:val="000000" w:themeColor="text1"/>
                <w:sz w:val="20"/>
                <w:szCs w:val="20"/>
                <w:lang w:val="ro-RO"/>
              </w:rPr>
              <w:lastRenderedPageBreak/>
              <w:t>labeling</w:t>
            </w:r>
            <w:proofErr w:type="spellEnd"/>
            <w:r w:rsidR="00575A81">
              <w:rPr>
                <w:rFonts w:ascii="Times New Roman" w:eastAsia="Times New Roman" w:hAnsi="Times New Roman"/>
                <w:color w:val="000000" w:themeColor="text1"/>
                <w:sz w:val="20"/>
                <w:szCs w:val="20"/>
                <w:lang w:val="ro-RO"/>
              </w:rPr>
              <w:t xml:space="preserve">, </w:t>
            </w:r>
            <w:r w:rsidRPr="003B742F">
              <w:rPr>
                <w:rFonts w:ascii="Times New Roman" w:eastAsia="Times New Roman" w:hAnsi="Times New Roman"/>
                <w:color w:val="000000" w:themeColor="text1"/>
                <w:sz w:val="20"/>
                <w:szCs w:val="20"/>
                <w:lang w:val="ro-RO"/>
              </w:rPr>
              <w:t xml:space="preserve">precum și un număr de </w:t>
            </w:r>
            <w:proofErr w:type="spellStart"/>
            <w:r w:rsidR="00575A81">
              <w:rPr>
                <w:rFonts w:ascii="Times New Roman" w:eastAsia="Times New Roman" w:hAnsi="Times New Roman"/>
                <w:color w:val="000000" w:themeColor="text1"/>
                <w:sz w:val="20"/>
                <w:szCs w:val="20"/>
                <w:lang w:val="ro-RO"/>
              </w:rPr>
              <w:t>AIR-uri</w:t>
            </w:r>
            <w:proofErr w:type="spellEnd"/>
            <w:r w:rsidRPr="003B742F">
              <w:rPr>
                <w:rFonts w:ascii="Times New Roman" w:eastAsia="Times New Roman" w:hAnsi="Times New Roman"/>
                <w:color w:val="000000" w:themeColor="text1"/>
                <w:sz w:val="20"/>
                <w:szCs w:val="20"/>
                <w:lang w:val="ro-RO"/>
              </w:rPr>
              <w:t xml:space="preserve"> pe</w:t>
            </w:r>
            <w:r w:rsidR="00575A81">
              <w:rPr>
                <w:rFonts w:ascii="Times New Roman" w:eastAsia="Times New Roman" w:hAnsi="Times New Roman"/>
                <w:color w:val="000000" w:themeColor="text1"/>
                <w:sz w:val="20"/>
                <w:szCs w:val="20"/>
                <w:lang w:val="ro-RO"/>
              </w:rPr>
              <w:t>ntru</w:t>
            </w:r>
            <w:r w:rsidRPr="003B742F">
              <w:rPr>
                <w:rFonts w:ascii="Times New Roman" w:eastAsia="Times New Roman" w:hAnsi="Times New Roman"/>
                <w:color w:val="000000" w:themeColor="text1"/>
                <w:sz w:val="20"/>
                <w:szCs w:val="20"/>
                <w:lang w:val="ro-RO"/>
              </w:rPr>
              <w:t xml:space="preserve"> mai multe proiecte de lege</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xml:space="preserve">• </w:t>
            </w:r>
            <w:r w:rsidR="00575A81">
              <w:rPr>
                <w:rFonts w:ascii="Times New Roman" w:eastAsia="Times New Roman" w:hAnsi="Times New Roman"/>
                <w:color w:val="000000" w:themeColor="text1"/>
                <w:sz w:val="20"/>
                <w:szCs w:val="20"/>
                <w:lang w:val="ro-RO"/>
              </w:rPr>
              <w:t xml:space="preserve">pregătirea </w:t>
            </w:r>
            <w:r w:rsidRPr="003B742F">
              <w:rPr>
                <w:rFonts w:ascii="Times New Roman" w:eastAsia="Times New Roman" w:hAnsi="Times New Roman"/>
                <w:color w:val="000000" w:themeColor="text1"/>
                <w:sz w:val="20"/>
                <w:szCs w:val="20"/>
                <w:lang w:val="ro-RO"/>
              </w:rPr>
              <w:t>proiectul</w:t>
            </w:r>
            <w:r w:rsidR="00575A81">
              <w:rPr>
                <w:rFonts w:ascii="Times New Roman" w:eastAsia="Times New Roman" w:hAnsi="Times New Roman"/>
                <w:color w:val="000000" w:themeColor="text1"/>
                <w:sz w:val="20"/>
                <w:szCs w:val="20"/>
                <w:lang w:val="ro-RO"/>
              </w:rPr>
              <w:t xml:space="preserve">ui de lege nou privind sursele de energie regenerabilă </w:t>
            </w:r>
            <w:r w:rsidRPr="003B742F">
              <w:rPr>
                <w:rFonts w:ascii="Times New Roman" w:eastAsia="Times New Roman" w:hAnsi="Times New Roman"/>
                <w:color w:val="000000" w:themeColor="text1"/>
                <w:sz w:val="20"/>
                <w:szCs w:val="20"/>
                <w:lang w:val="ro-RO"/>
              </w:rPr>
              <w:t xml:space="preserve"> și documentele aferente, inclusiv </w:t>
            </w:r>
            <w:r w:rsidR="00575A81">
              <w:rPr>
                <w:rFonts w:ascii="Times New Roman" w:eastAsia="Times New Roman" w:hAnsi="Times New Roman"/>
                <w:color w:val="000000" w:themeColor="text1"/>
                <w:sz w:val="20"/>
                <w:szCs w:val="20"/>
                <w:lang w:val="ro-RO"/>
              </w:rPr>
              <w:t>AIR.</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xml:space="preserve">• </w:t>
            </w:r>
            <w:r w:rsidR="00575A81">
              <w:rPr>
                <w:rFonts w:ascii="Times New Roman" w:eastAsia="Times New Roman" w:hAnsi="Times New Roman"/>
                <w:color w:val="000000" w:themeColor="text1"/>
                <w:sz w:val="20"/>
                <w:szCs w:val="20"/>
                <w:lang w:val="ro-RO"/>
              </w:rPr>
              <w:t>finalizarea</w:t>
            </w:r>
            <w:r w:rsidRPr="003B742F">
              <w:rPr>
                <w:rFonts w:ascii="Times New Roman" w:eastAsia="Times New Roman" w:hAnsi="Times New Roman"/>
                <w:color w:val="000000" w:themeColor="text1"/>
                <w:sz w:val="20"/>
                <w:szCs w:val="20"/>
                <w:lang w:val="ro-RO"/>
              </w:rPr>
              <w:t xml:space="preserve"> proiectul de lege </w:t>
            </w:r>
            <w:r w:rsidR="00575A81">
              <w:rPr>
                <w:rFonts w:ascii="Times New Roman" w:eastAsia="Times New Roman" w:hAnsi="Times New Roman"/>
                <w:color w:val="000000" w:themeColor="text1"/>
                <w:sz w:val="20"/>
                <w:szCs w:val="20"/>
                <w:lang w:val="ro-RO"/>
              </w:rPr>
              <w:t>cu privire la energia termică</w:t>
            </w:r>
            <w:r w:rsidRPr="003B742F">
              <w:rPr>
                <w:rFonts w:ascii="Times New Roman" w:eastAsia="Times New Roman" w:hAnsi="Times New Roman"/>
                <w:color w:val="000000" w:themeColor="text1"/>
                <w:sz w:val="20"/>
                <w:szCs w:val="20"/>
                <w:lang w:val="ro-RO"/>
              </w:rPr>
              <w:t xml:space="preserve">, inclusiv încorporarea </w:t>
            </w:r>
            <w:r w:rsidR="00575A81" w:rsidRPr="00575A81">
              <w:rPr>
                <w:rFonts w:ascii="Times New Roman" w:eastAsia="Times New Roman" w:hAnsi="Times New Roman"/>
                <w:color w:val="000000" w:themeColor="text1"/>
                <w:sz w:val="20"/>
                <w:szCs w:val="20"/>
                <w:lang w:val="ro-RO"/>
              </w:rPr>
              <w:t>CHP Directive (EU)</w:t>
            </w:r>
            <w:r w:rsidR="00575A81">
              <w:rPr>
                <w:rFonts w:ascii="Times New Roman" w:eastAsia="Times New Roman" w:hAnsi="Times New Roman"/>
                <w:color w:val="000000" w:themeColor="text1"/>
                <w:sz w:val="20"/>
                <w:szCs w:val="20"/>
                <w:lang w:val="ro-RO"/>
              </w:rPr>
              <w:t>.</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xml:space="preserve">• </w:t>
            </w:r>
            <w:r w:rsidR="00575A81">
              <w:rPr>
                <w:rFonts w:ascii="Times New Roman" w:eastAsia="Times New Roman" w:hAnsi="Times New Roman"/>
                <w:color w:val="000000" w:themeColor="text1"/>
                <w:sz w:val="20"/>
                <w:szCs w:val="20"/>
                <w:lang w:val="ro-RO"/>
              </w:rPr>
              <w:t>dezvoltarea și finalizarea</w:t>
            </w:r>
            <w:r w:rsidRPr="003B742F">
              <w:rPr>
                <w:rFonts w:ascii="Times New Roman" w:eastAsia="Times New Roman" w:hAnsi="Times New Roman"/>
                <w:color w:val="000000" w:themeColor="text1"/>
                <w:sz w:val="20"/>
                <w:szCs w:val="20"/>
                <w:lang w:val="ro-RO"/>
              </w:rPr>
              <w:t xml:space="preserve"> o metodologie de evaluare</w:t>
            </w:r>
            <w:r w:rsidR="00575A81">
              <w:rPr>
                <w:rFonts w:ascii="Times New Roman" w:eastAsia="Times New Roman" w:hAnsi="Times New Roman"/>
                <w:color w:val="000000" w:themeColor="text1"/>
                <w:sz w:val="20"/>
                <w:szCs w:val="20"/>
                <w:lang w:val="ro-RO"/>
              </w:rPr>
              <w:t xml:space="preserve"> a</w:t>
            </w:r>
            <w:r w:rsidRPr="003B742F">
              <w:rPr>
                <w:rFonts w:ascii="Times New Roman" w:eastAsia="Times New Roman" w:hAnsi="Times New Roman"/>
                <w:color w:val="000000" w:themeColor="text1"/>
                <w:sz w:val="20"/>
                <w:szCs w:val="20"/>
                <w:lang w:val="ro-RO"/>
              </w:rPr>
              <w:t xml:space="preserve"> active</w:t>
            </w:r>
            <w:r w:rsidR="00575A81">
              <w:rPr>
                <w:rFonts w:ascii="Times New Roman" w:eastAsia="Times New Roman" w:hAnsi="Times New Roman"/>
                <w:color w:val="000000" w:themeColor="text1"/>
                <w:sz w:val="20"/>
                <w:szCs w:val="20"/>
                <w:lang w:val="ro-RO"/>
              </w:rPr>
              <w:t>lor</w:t>
            </w:r>
            <w:r w:rsidRPr="003B742F">
              <w:rPr>
                <w:rFonts w:ascii="Times New Roman" w:eastAsia="Times New Roman" w:hAnsi="Times New Roman"/>
                <w:color w:val="000000" w:themeColor="text1"/>
                <w:sz w:val="20"/>
                <w:szCs w:val="20"/>
                <w:lang w:val="ro-RO"/>
              </w:rPr>
              <w:t xml:space="preserve"> de gaze</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xml:space="preserve">• </w:t>
            </w:r>
            <w:r w:rsidR="00575A81">
              <w:rPr>
                <w:rFonts w:ascii="Times New Roman" w:eastAsia="Times New Roman" w:hAnsi="Times New Roman"/>
                <w:color w:val="000000" w:themeColor="text1"/>
                <w:sz w:val="20"/>
                <w:szCs w:val="20"/>
                <w:lang w:val="ro-RO"/>
              </w:rPr>
              <w:t>elaborarea foii</w:t>
            </w:r>
            <w:r w:rsidRPr="003B742F">
              <w:rPr>
                <w:rFonts w:ascii="Times New Roman" w:eastAsia="Times New Roman" w:hAnsi="Times New Roman"/>
                <w:color w:val="000000" w:themeColor="text1"/>
                <w:sz w:val="20"/>
                <w:szCs w:val="20"/>
                <w:lang w:val="ro-RO"/>
              </w:rPr>
              <w:t xml:space="preserve"> de parcurs pentru transpunerea acquis-ului UE privind statisticile</w:t>
            </w:r>
            <w:r w:rsidR="00575A81">
              <w:rPr>
                <w:rFonts w:ascii="Times New Roman" w:eastAsia="Times New Roman" w:hAnsi="Times New Roman"/>
                <w:color w:val="000000" w:themeColor="text1"/>
                <w:sz w:val="20"/>
                <w:szCs w:val="20"/>
                <w:lang w:val="ro-RO"/>
              </w:rPr>
              <w:t xml:space="preserve"> în energie.</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xml:space="preserve">• </w:t>
            </w:r>
            <w:r w:rsidR="00575A81">
              <w:rPr>
                <w:rFonts w:ascii="Times New Roman" w:eastAsia="Times New Roman" w:hAnsi="Times New Roman"/>
                <w:color w:val="000000" w:themeColor="text1"/>
                <w:sz w:val="20"/>
                <w:szCs w:val="20"/>
                <w:lang w:val="ro-RO"/>
              </w:rPr>
              <w:t>elaborarea</w:t>
            </w:r>
            <w:r w:rsidRPr="003B742F">
              <w:rPr>
                <w:rFonts w:ascii="Times New Roman" w:eastAsia="Times New Roman" w:hAnsi="Times New Roman"/>
                <w:color w:val="000000" w:themeColor="text1"/>
                <w:sz w:val="20"/>
                <w:szCs w:val="20"/>
                <w:lang w:val="ro-RO"/>
              </w:rPr>
              <w:t xml:space="preserve"> planuri</w:t>
            </w:r>
            <w:r w:rsidR="00575A81">
              <w:rPr>
                <w:rFonts w:ascii="Times New Roman" w:eastAsia="Times New Roman" w:hAnsi="Times New Roman"/>
                <w:color w:val="000000" w:themeColor="text1"/>
                <w:sz w:val="20"/>
                <w:szCs w:val="20"/>
                <w:lang w:val="ro-RO"/>
              </w:rPr>
              <w:t>lor</w:t>
            </w:r>
            <w:r w:rsidRPr="003B742F">
              <w:rPr>
                <w:rFonts w:ascii="Times New Roman" w:eastAsia="Times New Roman" w:hAnsi="Times New Roman"/>
                <w:color w:val="000000" w:themeColor="text1"/>
                <w:sz w:val="20"/>
                <w:szCs w:val="20"/>
                <w:lang w:val="ro-RO"/>
              </w:rPr>
              <w:t xml:space="preserve"> de acțiune pentru punerea în aplicare a strategiei energetice în sectorul energiei electrice și gazelor</w:t>
            </w:r>
            <w:r w:rsidR="00575A81">
              <w:rPr>
                <w:rFonts w:ascii="Times New Roman" w:eastAsia="Times New Roman" w:hAnsi="Times New Roman"/>
                <w:color w:val="000000" w:themeColor="text1"/>
                <w:sz w:val="20"/>
                <w:szCs w:val="20"/>
                <w:lang w:val="ro-RO"/>
              </w:rPr>
              <w:t>.</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xml:space="preserve">• </w:t>
            </w:r>
            <w:r w:rsidR="00575A81">
              <w:rPr>
                <w:rFonts w:ascii="Times New Roman" w:eastAsia="Times New Roman" w:hAnsi="Times New Roman"/>
                <w:color w:val="000000" w:themeColor="text1"/>
                <w:sz w:val="20"/>
                <w:szCs w:val="20"/>
                <w:lang w:val="ro-RO"/>
              </w:rPr>
              <w:t>elaborarea</w:t>
            </w:r>
            <w:r w:rsidRPr="003B742F">
              <w:rPr>
                <w:rFonts w:ascii="Times New Roman" w:eastAsia="Times New Roman" w:hAnsi="Times New Roman"/>
                <w:color w:val="000000" w:themeColor="text1"/>
                <w:sz w:val="20"/>
                <w:szCs w:val="20"/>
                <w:lang w:val="ro-RO"/>
              </w:rPr>
              <w:t xml:space="preserve"> planul</w:t>
            </w:r>
            <w:r w:rsidR="00575A81">
              <w:rPr>
                <w:rFonts w:ascii="Times New Roman" w:eastAsia="Times New Roman" w:hAnsi="Times New Roman"/>
                <w:color w:val="000000" w:themeColor="text1"/>
                <w:sz w:val="20"/>
                <w:szCs w:val="20"/>
                <w:lang w:val="ro-RO"/>
              </w:rPr>
              <w:t>ui</w:t>
            </w:r>
            <w:r w:rsidRPr="003B742F">
              <w:rPr>
                <w:rFonts w:ascii="Times New Roman" w:eastAsia="Times New Roman" w:hAnsi="Times New Roman"/>
                <w:color w:val="000000" w:themeColor="text1"/>
                <w:sz w:val="20"/>
                <w:szCs w:val="20"/>
                <w:lang w:val="ro-RO"/>
              </w:rPr>
              <w:t xml:space="preserve"> de acțiune pentru punerea în aplicare a sistemului</w:t>
            </w:r>
            <w:r w:rsidR="00575A81">
              <w:rPr>
                <w:rFonts w:ascii="Times New Roman" w:eastAsia="Times New Roman" w:hAnsi="Times New Roman"/>
                <w:color w:val="000000" w:themeColor="text1"/>
                <w:sz w:val="20"/>
                <w:szCs w:val="20"/>
                <w:lang w:val="ro-RO"/>
              </w:rPr>
              <w:t xml:space="preserve"> privind statistica energetică.</w:t>
            </w:r>
          </w:p>
          <w:p w:rsidR="003B742F" w:rsidRPr="003B742F" w:rsidRDefault="003B742F" w:rsidP="00575A81">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xml:space="preserve">• </w:t>
            </w:r>
            <w:r w:rsidR="00575A81">
              <w:rPr>
                <w:rFonts w:ascii="Times New Roman" w:eastAsia="Times New Roman" w:hAnsi="Times New Roman"/>
                <w:color w:val="000000" w:themeColor="text1"/>
                <w:sz w:val="20"/>
                <w:szCs w:val="20"/>
                <w:lang w:val="ro-RO"/>
              </w:rPr>
              <w:t>finalizarea</w:t>
            </w:r>
            <w:r w:rsidRPr="003B742F">
              <w:rPr>
                <w:rFonts w:ascii="Times New Roman" w:eastAsia="Times New Roman" w:hAnsi="Times New Roman"/>
                <w:color w:val="000000" w:themeColor="text1"/>
                <w:sz w:val="20"/>
                <w:szCs w:val="20"/>
                <w:lang w:val="ro-RO"/>
              </w:rPr>
              <w:t xml:space="preserve"> studii</w:t>
            </w:r>
            <w:r w:rsidR="00575A81">
              <w:rPr>
                <w:rFonts w:ascii="Times New Roman" w:eastAsia="Times New Roman" w:hAnsi="Times New Roman"/>
                <w:color w:val="000000" w:themeColor="text1"/>
                <w:sz w:val="20"/>
                <w:szCs w:val="20"/>
                <w:lang w:val="ro-RO"/>
              </w:rPr>
              <w:t>lor</w:t>
            </w:r>
            <w:r w:rsidRPr="003B742F">
              <w:rPr>
                <w:rFonts w:ascii="Times New Roman" w:eastAsia="Times New Roman" w:hAnsi="Times New Roman"/>
                <w:color w:val="000000" w:themeColor="text1"/>
                <w:sz w:val="20"/>
                <w:szCs w:val="20"/>
                <w:lang w:val="ro-RO"/>
              </w:rPr>
              <w:t xml:space="preserve"> privind potențialul solar, biocombustibili, alocarea responsabilităților între instituții în domeniul eficienței energetice și a surselor regenerabile de energie,</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De asemenea, proiectul a sprijinit Fondul E</w:t>
            </w:r>
            <w:r w:rsidR="00575A81">
              <w:rPr>
                <w:rFonts w:ascii="Times New Roman" w:eastAsia="Times New Roman" w:hAnsi="Times New Roman"/>
                <w:color w:val="000000" w:themeColor="text1"/>
                <w:sz w:val="20"/>
                <w:szCs w:val="20"/>
                <w:lang w:val="ro-RO"/>
              </w:rPr>
              <w:t xml:space="preserve">ficiență </w:t>
            </w:r>
            <w:r w:rsidRPr="003B742F">
              <w:rPr>
                <w:rFonts w:ascii="Times New Roman" w:eastAsia="Times New Roman" w:hAnsi="Times New Roman"/>
                <w:color w:val="000000" w:themeColor="text1"/>
                <w:sz w:val="20"/>
                <w:szCs w:val="20"/>
                <w:lang w:val="ro-RO"/>
              </w:rPr>
              <w:t>E</w:t>
            </w:r>
            <w:r w:rsidR="00575A81">
              <w:rPr>
                <w:rFonts w:ascii="Times New Roman" w:eastAsia="Times New Roman" w:hAnsi="Times New Roman"/>
                <w:color w:val="000000" w:themeColor="text1"/>
                <w:sz w:val="20"/>
                <w:szCs w:val="20"/>
                <w:lang w:val="ro-RO"/>
              </w:rPr>
              <w:t>nergetică</w:t>
            </w:r>
            <w:r w:rsidRPr="003B742F">
              <w:rPr>
                <w:rFonts w:ascii="Times New Roman" w:eastAsia="Times New Roman" w:hAnsi="Times New Roman"/>
                <w:color w:val="000000" w:themeColor="text1"/>
                <w:sz w:val="20"/>
                <w:szCs w:val="20"/>
                <w:lang w:val="ro-RO"/>
              </w:rPr>
              <w:t>:</w:t>
            </w:r>
          </w:p>
          <w:p w:rsidR="003B742F" w:rsidRPr="00575A81" w:rsidRDefault="003B742F" w:rsidP="003B742F">
            <w:pPr>
              <w:spacing w:after="0" w:line="240" w:lineRule="auto"/>
              <w:jc w:val="both"/>
              <w:rPr>
                <w:rFonts w:ascii="Times New Roman" w:eastAsia="Times New Roman" w:hAnsi="Times New Roman"/>
                <w:color w:val="000000" w:themeColor="text1"/>
                <w:sz w:val="20"/>
                <w:szCs w:val="20"/>
                <w:lang w:val="en-US"/>
              </w:rPr>
            </w:pPr>
            <w:r w:rsidRPr="003B742F">
              <w:rPr>
                <w:rFonts w:ascii="Times New Roman" w:eastAsia="Times New Roman" w:hAnsi="Times New Roman"/>
                <w:color w:val="000000" w:themeColor="text1"/>
                <w:sz w:val="20"/>
                <w:szCs w:val="20"/>
                <w:lang w:val="ro-RO"/>
              </w:rPr>
              <w:t xml:space="preserve">• să pregătească metodologie, software, </w:t>
            </w:r>
            <w:r w:rsidR="00575A81" w:rsidRPr="003B742F">
              <w:rPr>
                <w:rFonts w:ascii="Times New Roman" w:eastAsia="Times New Roman" w:hAnsi="Times New Roman"/>
                <w:color w:val="000000" w:themeColor="text1"/>
                <w:sz w:val="20"/>
                <w:szCs w:val="20"/>
                <w:lang w:val="ro-RO"/>
              </w:rPr>
              <w:t>specificațiile</w:t>
            </w:r>
            <w:r w:rsidRPr="003B742F">
              <w:rPr>
                <w:rFonts w:ascii="Times New Roman" w:eastAsia="Times New Roman" w:hAnsi="Times New Roman"/>
                <w:color w:val="000000" w:themeColor="text1"/>
                <w:sz w:val="20"/>
                <w:szCs w:val="20"/>
                <w:lang w:val="ro-RO"/>
              </w:rPr>
              <w:t xml:space="preserve"> tehnice, chestionare, studiu </w:t>
            </w:r>
            <w:r w:rsidR="00575A81">
              <w:rPr>
                <w:rFonts w:ascii="Times New Roman" w:eastAsia="Times New Roman" w:hAnsi="Times New Roman"/>
                <w:color w:val="000000" w:themeColor="text1"/>
                <w:sz w:val="20"/>
                <w:szCs w:val="20"/>
                <w:lang w:val="ro-RO"/>
              </w:rPr>
              <w:t xml:space="preserve">privind </w:t>
            </w:r>
            <w:r w:rsidRPr="003B742F">
              <w:rPr>
                <w:rFonts w:ascii="Times New Roman" w:eastAsia="Times New Roman" w:hAnsi="Times New Roman"/>
                <w:color w:val="000000" w:themeColor="text1"/>
                <w:sz w:val="20"/>
                <w:szCs w:val="20"/>
                <w:lang w:val="ro-RO"/>
              </w:rPr>
              <w:t xml:space="preserve">costuri unitare, </w:t>
            </w:r>
            <w:proofErr w:type="spellStart"/>
            <w:r w:rsidRPr="003B742F">
              <w:rPr>
                <w:rFonts w:ascii="Times New Roman" w:eastAsia="Times New Roman" w:hAnsi="Times New Roman"/>
                <w:color w:val="000000" w:themeColor="text1"/>
                <w:sz w:val="20"/>
                <w:szCs w:val="20"/>
                <w:lang w:val="ro-RO"/>
              </w:rPr>
              <w:t>etc</w:t>
            </w:r>
            <w:proofErr w:type="spellEnd"/>
            <w:r w:rsidRPr="003B742F">
              <w:rPr>
                <w:rFonts w:ascii="Times New Roman" w:eastAsia="Times New Roman" w:hAnsi="Times New Roman"/>
                <w:color w:val="000000" w:themeColor="text1"/>
                <w:sz w:val="20"/>
                <w:szCs w:val="20"/>
                <w:lang w:val="ro-RO"/>
              </w:rPr>
              <w:t xml:space="preserve"> legate de primul apel pentru sectorul public</w:t>
            </w:r>
            <w:r w:rsidR="00575A81">
              <w:rPr>
                <w:rFonts w:ascii="Times New Roman" w:eastAsia="Times New Roman" w:hAnsi="Times New Roman"/>
                <w:color w:val="000000" w:themeColor="text1"/>
                <w:sz w:val="20"/>
                <w:szCs w:val="20"/>
                <w:lang w:val="en-US"/>
              </w:rPr>
              <w:t>;</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să se pregătească documentația completă pentru al 3-lea apel pentru Sectorul Public</w:t>
            </w:r>
            <w:r w:rsidR="00575A81">
              <w:rPr>
                <w:rFonts w:ascii="Times New Roman" w:eastAsia="Times New Roman" w:hAnsi="Times New Roman"/>
                <w:color w:val="000000" w:themeColor="text1"/>
                <w:sz w:val="20"/>
                <w:szCs w:val="20"/>
                <w:lang w:val="ro-RO"/>
              </w:rPr>
              <w:t>;</w:t>
            </w:r>
          </w:p>
          <w:p w:rsidR="003B742F" w:rsidRPr="003B742F"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să organizeze 3 ateliere de lucru regionale pentru beneficiari EEF</w:t>
            </w:r>
            <w:r w:rsidR="00575A81">
              <w:rPr>
                <w:rFonts w:ascii="Times New Roman" w:eastAsia="Times New Roman" w:hAnsi="Times New Roman"/>
                <w:color w:val="000000" w:themeColor="text1"/>
                <w:sz w:val="20"/>
                <w:szCs w:val="20"/>
                <w:lang w:val="ro-RO"/>
              </w:rPr>
              <w:t>;</w:t>
            </w:r>
          </w:p>
          <w:p w:rsidR="003B742F" w:rsidRPr="00575A81" w:rsidRDefault="003B742F" w:rsidP="003B742F">
            <w:pPr>
              <w:spacing w:after="0" w:line="240" w:lineRule="auto"/>
              <w:jc w:val="both"/>
              <w:rPr>
                <w:rFonts w:ascii="Times New Roman" w:eastAsia="Times New Roman" w:hAnsi="Times New Roman"/>
                <w:color w:val="000000" w:themeColor="text1"/>
                <w:sz w:val="20"/>
                <w:szCs w:val="20"/>
                <w:lang w:val="ro-RO"/>
              </w:rPr>
            </w:pPr>
            <w:r w:rsidRPr="003B742F">
              <w:rPr>
                <w:rFonts w:ascii="Times New Roman" w:eastAsia="Times New Roman" w:hAnsi="Times New Roman"/>
                <w:color w:val="000000" w:themeColor="text1"/>
                <w:sz w:val="20"/>
                <w:szCs w:val="20"/>
                <w:lang w:val="ro-RO"/>
              </w:rPr>
              <w:t>• să evalueze propunerile de proiecte (</w:t>
            </w:r>
            <w:r w:rsidR="00575A81">
              <w:rPr>
                <w:rFonts w:ascii="Times New Roman" w:eastAsia="Times New Roman" w:hAnsi="Times New Roman"/>
                <w:color w:val="000000" w:themeColor="text1"/>
                <w:sz w:val="20"/>
                <w:szCs w:val="20"/>
                <w:lang w:val="ro-RO"/>
              </w:rPr>
              <w:t>instruirea la locul de muncă</w:t>
            </w:r>
            <w:r w:rsidRPr="003B742F">
              <w:rPr>
                <w:rFonts w:ascii="Times New Roman" w:eastAsia="Times New Roman" w:hAnsi="Times New Roman"/>
                <w:color w:val="000000" w:themeColor="text1"/>
                <w:sz w:val="20"/>
                <w:szCs w:val="20"/>
                <w:lang w:val="ro-RO"/>
              </w:rPr>
              <w:t>)</w:t>
            </w:r>
            <w:r w:rsidR="00575A81">
              <w:rPr>
                <w:rFonts w:ascii="Times New Roman" w:eastAsia="Times New Roman" w:hAnsi="Times New Roman"/>
                <w:color w:val="000000" w:themeColor="text1"/>
                <w:sz w:val="20"/>
                <w:szCs w:val="20"/>
                <w:lang w:val="ro-RO"/>
              </w:rPr>
              <w:t>.</w:t>
            </w:r>
          </w:p>
        </w:tc>
      </w:tr>
      <w:tr w:rsidR="00F84AF2" w:rsidRPr="00C24162" w:rsidTr="00A301D2">
        <w:trPr>
          <w:trHeight w:val="2391"/>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1001" w:type="dxa"/>
            <w:gridSpan w:val="4"/>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2409" w:type="dxa"/>
            <w:gridSpan w:val="4"/>
            <w:tcBorders>
              <w:left w:val="single" w:sz="4" w:space="0" w:color="auto"/>
              <w:right w:val="single" w:sz="4" w:space="0" w:color="auto"/>
            </w:tcBorders>
          </w:tcPr>
          <w:p w:rsidR="00F84AF2" w:rsidRPr="00C24162" w:rsidRDefault="00F84AF2" w:rsidP="008C58EB">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107600,6 EUR</w:t>
            </w:r>
          </w:p>
          <w:p w:rsidR="00F84AF2" w:rsidRPr="00C24162" w:rsidRDefault="00F84AF2" w:rsidP="00891C53">
            <w:pPr>
              <w:jc w:val="center"/>
              <w:rPr>
                <w:rFonts w:ascii="Times New Roman" w:eastAsia="Times New Roman" w:hAnsi="Times New Roman"/>
                <w:b/>
                <w:sz w:val="20"/>
                <w:szCs w:val="20"/>
                <w:u w:val="single"/>
                <w:lang w:val="ro-RO"/>
              </w:rPr>
            </w:pPr>
            <w:r w:rsidRPr="00C24162">
              <w:rPr>
                <w:rFonts w:ascii="Times New Roman" w:eastAsia="Times New Roman" w:hAnsi="Times New Roman"/>
                <w:sz w:val="20"/>
                <w:szCs w:val="20"/>
                <w:lang w:val="ro-RO"/>
              </w:rPr>
              <w:t xml:space="preserve">(dintre care pentru  2014  </w:t>
            </w:r>
            <w:r w:rsidRPr="00C24162">
              <w:rPr>
                <w:rFonts w:ascii="Times New Roman" w:eastAsia="Times New Roman" w:hAnsi="Times New Roman"/>
                <w:sz w:val="20"/>
                <w:szCs w:val="20"/>
                <w:u w:val="single"/>
                <w:lang w:val="ro-RO"/>
              </w:rPr>
              <w:t>61 851,85 - EUR)</w:t>
            </w: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F84AF2" w:rsidRPr="00C24162" w:rsidRDefault="00F84AF2" w:rsidP="00D7560A">
            <w:pPr>
              <w:spacing w:after="0" w:line="240" w:lineRule="auto"/>
              <w:jc w:val="both"/>
              <w:rPr>
                <w:rFonts w:ascii="Times New Roman" w:eastAsia="Times New Roman" w:hAnsi="Times New Roman"/>
                <w:b/>
                <w:i/>
                <w:color w:val="000000" w:themeColor="text1"/>
                <w:sz w:val="20"/>
                <w:szCs w:val="20"/>
                <w:lang w:val="ro-RO"/>
              </w:rPr>
            </w:pPr>
            <w:r w:rsidRPr="00C24162">
              <w:rPr>
                <w:rFonts w:ascii="Times New Roman" w:eastAsia="Times New Roman" w:hAnsi="Times New Roman"/>
                <w:b/>
                <w:i/>
                <w:color w:val="000000" w:themeColor="text1"/>
                <w:sz w:val="20"/>
                <w:szCs w:val="20"/>
                <w:lang w:val="ro-RO"/>
              </w:rPr>
              <w:t>Politici de cluster inteligente pentru Europa de sud est</w:t>
            </w:r>
          </w:p>
          <w:p w:rsidR="00F84AF2" w:rsidRPr="00C24162" w:rsidRDefault="00F84AF2" w:rsidP="00613AF3">
            <w:p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i/>
                <w:color w:val="000000" w:themeColor="text1"/>
                <w:sz w:val="20"/>
                <w:szCs w:val="20"/>
                <w:u w:val="single"/>
                <w:lang w:val="ro-RO"/>
              </w:rPr>
              <w:t xml:space="preserve">Obiectivul 1. </w:t>
            </w:r>
            <w:r w:rsidRPr="00C24162">
              <w:rPr>
                <w:rFonts w:ascii="Times New Roman" w:eastAsia="Times New Roman" w:hAnsi="Times New Roman"/>
                <w:color w:val="000000" w:themeColor="text1"/>
                <w:sz w:val="20"/>
                <w:szCs w:val="20"/>
                <w:lang w:val="ro-RO"/>
              </w:rPr>
              <w:t>Dezvoltarea grupurilor care conduc la sporirea competențelor și cunoștințelor. (octombrie 2014)</w:t>
            </w:r>
          </w:p>
          <w:p w:rsidR="00F84AF2" w:rsidRPr="00C24162" w:rsidRDefault="00F84AF2" w:rsidP="00613AF3">
            <w:p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i/>
                <w:color w:val="000000" w:themeColor="text1"/>
                <w:sz w:val="20"/>
                <w:szCs w:val="20"/>
                <w:u w:val="single"/>
                <w:lang w:val="ro-RO"/>
              </w:rPr>
              <w:t>Obiectivul 2.</w:t>
            </w:r>
            <w:r w:rsidRPr="00C24162">
              <w:rPr>
                <w:rFonts w:ascii="Times New Roman" w:eastAsia="Times New Roman" w:hAnsi="Times New Roman"/>
                <w:color w:val="000000" w:themeColor="text1"/>
                <w:sz w:val="20"/>
                <w:szCs w:val="20"/>
                <w:lang w:val="ro-RO"/>
              </w:rPr>
              <w:t xml:space="preserve"> Organizare a 2 sesiuni de instruire (au fost instruiți in total 90 persoane, dintre care 33 sunt funcționari publici) axate pe întregul ciclu de politici și pe dezvoltarea de strategii de specializare inteligentă pentru </w:t>
            </w:r>
          </w:p>
          <w:p w:rsidR="00F84AF2" w:rsidRPr="00C24162" w:rsidRDefault="00F84AF2" w:rsidP="00613AF3">
            <w:p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i/>
                <w:color w:val="000000" w:themeColor="text1"/>
                <w:sz w:val="20"/>
                <w:szCs w:val="20"/>
                <w:u w:val="single"/>
                <w:lang w:val="ro-RO"/>
              </w:rPr>
              <w:t>Obiectivul 3</w:t>
            </w:r>
            <w:r w:rsidRPr="00C24162">
              <w:rPr>
                <w:rFonts w:ascii="Times New Roman" w:eastAsia="Times New Roman" w:hAnsi="Times New Roman"/>
                <w:color w:val="000000" w:themeColor="text1"/>
                <w:sz w:val="20"/>
                <w:szCs w:val="20"/>
                <w:lang w:val="ro-RO"/>
              </w:rPr>
              <w:t>. Organizarea a 2 ateliere de lucru care vor avea drept obiectiv inițierea acţiunilor de generare a unui cluster pilot în Republica Moldova (ianuarie 2015)</w:t>
            </w:r>
          </w:p>
          <w:p w:rsidR="00F84AF2" w:rsidRPr="00C24162" w:rsidRDefault="00F84AF2" w:rsidP="00613AF3">
            <w:pPr>
              <w:spacing w:after="0" w:line="240" w:lineRule="auto"/>
              <w:jc w:val="both"/>
              <w:rPr>
                <w:rFonts w:ascii="Times New Roman" w:eastAsia="Times New Roman" w:hAnsi="Times New Roman"/>
                <w:color w:val="000000" w:themeColor="text1"/>
                <w:sz w:val="20"/>
                <w:szCs w:val="20"/>
                <w:lang w:val="ro-RO"/>
              </w:rPr>
            </w:pPr>
          </w:p>
          <w:p w:rsidR="00F84AF2" w:rsidRPr="00C24162" w:rsidRDefault="00F84AF2" w:rsidP="00613AF3">
            <w:pPr>
              <w:spacing w:after="0" w:line="240" w:lineRule="auto"/>
              <w:jc w:val="both"/>
              <w:rPr>
                <w:rFonts w:ascii="Times New Roman" w:eastAsia="Times New Roman" w:hAnsi="Times New Roman"/>
                <w:i/>
                <w:color w:val="000000" w:themeColor="text1"/>
                <w:sz w:val="20"/>
                <w:szCs w:val="20"/>
                <w:u w:val="single"/>
                <w:lang w:val="ro-RO"/>
              </w:rPr>
            </w:pPr>
            <w:r w:rsidRPr="00C24162">
              <w:rPr>
                <w:rFonts w:ascii="Times New Roman" w:eastAsia="Times New Roman" w:hAnsi="Times New Roman"/>
                <w:i/>
                <w:color w:val="000000" w:themeColor="text1"/>
                <w:sz w:val="20"/>
                <w:szCs w:val="20"/>
                <w:u w:val="single"/>
                <w:lang w:val="ro-RO"/>
              </w:rPr>
              <w:t>Rezultate 2014:</w:t>
            </w:r>
          </w:p>
          <w:p w:rsidR="00F84AF2" w:rsidRPr="00C24162" w:rsidRDefault="00F84AF2" w:rsidP="004356DF">
            <w:pPr>
              <w:pStyle w:val="Listparagraf"/>
              <w:numPr>
                <w:ilvl w:val="0"/>
                <w:numId w:val="16"/>
              </w:num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Organizarea conferinţei de deschidere a proiectului în Moldova.</w:t>
            </w:r>
          </w:p>
          <w:p w:rsidR="00F84AF2" w:rsidRPr="00C24162" w:rsidRDefault="00F84AF2" w:rsidP="00613AF3">
            <w:pPr>
              <w:pStyle w:val="Listparagraf"/>
              <w:numPr>
                <w:ilvl w:val="0"/>
                <w:numId w:val="16"/>
              </w:num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 xml:space="preserve">Identificarea și colectarea datelor și informațiilor pentru analiza condițiilor-cadru prin procesul de învățare dezvoltate pentru elaborarea de politici reflective. </w:t>
            </w:r>
          </w:p>
          <w:p w:rsidR="00F84AF2" w:rsidRPr="00C24162" w:rsidRDefault="00F84AF2" w:rsidP="00613AF3">
            <w:pPr>
              <w:pStyle w:val="Listparagraf"/>
              <w:numPr>
                <w:ilvl w:val="0"/>
                <w:numId w:val="16"/>
              </w:num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 xml:space="preserve">Implicarea Ministerului pentru definirea și punerea în aplicare a politicilor de cluster în Republica Moldova în activitățile dedicate </w:t>
            </w:r>
            <w:r w:rsidRPr="00C24162">
              <w:rPr>
                <w:rFonts w:ascii="Times New Roman" w:eastAsia="Times New Roman" w:hAnsi="Times New Roman"/>
                <w:color w:val="000000" w:themeColor="text1"/>
                <w:sz w:val="20"/>
                <w:szCs w:val="20"/>
                <w:lang w:val="ro-RO"/>
              </w:rPr>
              <w:lastRenderedPageBreak/>
              <w:t>dezvoltării viitoare a clusterului în zona SEE (WP6) asigurarea durabilității rezultatelor comune realizate prin înființarea Inițiativei Cluster SEE și elaborarea de strategii comune și a Planului de dezvoltare durabilă. Strategie, Plan de Dezvoltare aprobate.</w:t>
            </w:r>
          </w:p>
          <w:p w:rsidR="00F84AF2" w:rsidRPr="00C24162" w:rsidRDefault="00F84AF2" w:rsidP="00613AF3">
            <w:pPr>
              <w:pStyle w:val="Listparagraf"/>
              <w:numPr>
                <w:ilvl w:val="0"/>
                <w:numId w:val="16"/>
              </w:numPr>
              <w:spacing w:after="0" w:line="240" w:lineRule="auto"/>
              <w:jc w:val="both"/>
              <w:rPr>
                <w:rFonts w:ascii="Times New Roman" w:eastAsia="Times New Roman" w:hAnsi="Times New Roman"/>
                <w:b/>
                <w:i/>
                <w:color w:val="FF0000"/>
                <w:sz w:val="20"/>
                <w:szCs w:val="20"/>
                <w:lang w:val="ro-RO"/>
              </w:rPr>
            </w:pPr>
            <w:r w:rsidRPr="00C24162">
              <w:rPr>
                <w:rFonts w:ascii="Times New Roman" w:eastAsia="Times New Roman" w:hAnsi="Times New Roman"/>
                <w:color w:val="000000" w:themeColor="text1"/>
                <w:sz w:val="20"/>
                <w:szCs w:val="20"/>
                <w:lang w:val="ro-RO"/>
              </w:rPr>
              <w:t xml:space="preserve">Aderarea la platforma de învățare dezvoltată ClusterPoliSEE, ( WP3 ) care prevede implicarea activă a factorilor de decizie și părțile interesate de politicile de cluster. </w:t>
            </w:r>
          </w:p>
          <w:p w:rsidR="00F84AF2" w:rsidRPr="00C24162" w:rsidRDefault="00F84AF2" w:rsidP="00543718">
            <w:pPr>
              <w:pStyle w:val="Listparagraf"/>
              <w:numPr>
                <w:ilvl w:val="0"/>
                <w:numId w:val="16"/>
              </w:num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 xml:space="preserve">Organizare a 2 sesiuni de instruire (au fost instruiți in total 90 persoane, dintre care 33 sunt funcționari publici) o2 axate pe întregul ciclu de politici și pe dezvoltarea de strategii de specializare inteligentă pentru dezvoltarea grupurilor care conduc la sporirea competențelor și cunoștințelor. </w:t>
            </w:r>
          </w:p>
          <w:p w:rsidR="00F84AF2" w:rsidRPr="00C24162" w:rsidRDefault="00F84AF2" w:rsidP="00543718">
            <w:pPr>
              <w:pStyle w:val="Listparagraf"/>
              <w:spacing w:after="0" w:line="240" w:lineRule="auto"/>
              <w:jc w:val="both"/>
              <w:rPr>
                <w:rFonts w:ascii="Times New Roman" w:eastAsia="Times New Roman" w:hAnsi="Times New Roman"/>
                <w:b/>
                <w:i/>
                <w:color w:val="FF0000"/>
                <w:sz w:val="20"/>
                <w:szCs w:val="20"/>
                <w:lang w:val="ro-RO"/>
              </w:rPr>
            </w:pPr>
          </w:p>
        </w:tc>
      </w:tr>
      <w:tr w:rsidR="00F84AF2" w:rsidRPr="00C24162" w:rsidTr="00B76A72">
        <w:trPr>
          <w:trHeight w:val="2533"/>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1001" w:type="dxa"/>
            <w:gridSpan w:val="4"/>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2409" w:type="dxa"/>
            <w:gridSpan w:val="4"/>
            <w:tcBorders>
              <w:left w:val="single" w:sz="4" w:space="0" w:color="auto"/>
              <w:bottom w:val="single" w:sz="4" w:space="0" w:color="auto"/>
              <w:right w:val="single" w:sz="4" w:space="0" w:color="auto"/>
            </w:tcBorders>
          </w:tcPr>
          <w:p w:rsidR="00F84AF2" w:rsidRPr="00B76A72" w:rsidRDefault="00F84AF2" w:rsidP="00177920">
            <w:pPr>
              <w:jc w:val="center"/>
              <w:rPr>
                <w:rFonts w:ascii="Times New Roman" w:eastAsia="Times New Roman" w:hAnsi="Times New Roman"/>
                <w:b/>
                <w:sz w:val="20"/>
                <w:szCs w:val="20"/>
                <w:lang w:val="ro-RO"/>
              </w:rPr>
            </w:pPr>
            <w:r w:rsidRPr="00B76A72">
              <w:rPr>
                <w:rFonts w:ascii="Times New Roman" w:eastAsia="Times New Roman" w:hAnsi="Times New Roman"/>
                <w:b/>
                <w:sz w:val="20"/>
                <w:szCs w:val="20"/>
                <w:lang w:val="ro-RO"/>
              </w:rPr>
              <w:t xml:space="preserve">Programul Operațional Comun RO-UA-MD </w:t>
            </w:r>
          </w:p>
          <w:p w:rsidR="00F84AF2" w:rsidRPr="00C24162" w:rsidRDefault="00F84AF2" w:rsidP="00177920">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6 360 639,12 EUR</w:t>
            </w:r>
          </w:p>
          <w:p w:rsidR="00F84AF2" w:rsidRPr="00C24162" w:rsidRDefault="00F84AF2" w:rsidP="00177920">
            <w:pPr>
              <w:jc w:val="center"/>
              <w:rPr>
                <w:rFonts w:ascii="Times New Roman" w:eastAsia="Times New Roman" w:hAnsi="Times New Roman"/>
                <w:b/>
                <w:sz w:val="20"/>
                <w:szCs w:val="20"/>
                <w:u w:val="single"/>
                <w:lang w:val="ro-RO"/>
              </w:rPr>
            </w:pPr>
          </w:p>
          <w:p w:rsidR="00F84AF2" w:rsidRPr="00C24162" w:rsidRDefault="00F84AF2" w:rsidP="00177920">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 (dintre care pentru  2014 – </w:t>
            </w:r>
            <w:r w:rsidRPr="00C24162">
              <w:rPr>
                <w:rFonts w:ascii="Times New Roman" w:eastAsia="Times New Roman" w:hAnsi="Times New Roman"/>
                <w:sz w:val="20"/>
                <w:szCs w:val="20"/>
                <w:u w:val="single"/>
                <w:lang w:val="ro-RO"/>
              </w:rPr>
              <w:t>978 980,2 EUR</w:t>
            </w:r>
            <w:r w:rsidRPr="00C24162">
              <w:rPr>
                <w:rFonts w:ascii="Times New Roman" w:eastAsia="Times New Roman" w:hAnsi="Times New Roman"/>
                <w:sz w:val="20"/>
                <w:szCs w:val="20"/>
                <w:lang w:val="ro-RO"/>
              </w:rPr>
              <w:t>)</w:t>
            </w: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F84AF2" w:rsidRPr="00C24162" w:rsidRDefault="00F84AF2" w:rsidP="00177920">
            <w:p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b/>
                <w:i/>
                <w:color w:val="000000" w:themeColor="text1"/>
                <w:sz w:val="20"/>
                <w:szCs w:val="20"/>
                <w:lang w:val="ro-RO"/>
              </w:rPr>
              <w:t xml:space="preserve">Proiectul  "Studiul de Fezabilitate privind interconectarea Sistemelor electroenergetice ale Republicii Moldova si Ucrainei la Comunitatea Europeana a Operatorilor de Rețele  Electroenergetice (ENTSO-E) (2012-2015) </w:t>
            </w:r>
            <w:r w:rsidRPr="00C24162">
              <w:rPr>
                <w:rFonts w:ascii="Times New Roman" w:eastAsia="Times New Roman" w:hAnsi="Times New Roman"/>
                <w:color w:val="000000" w:themeColor="text1"/>
                <w:sz w:val="20"/>
                <w:szCs w:val="20"/>
                <w:lang w:val="ro-RO"/>
              </w:rPr>
              <w:t xml:space="preserve">- include activități privind colectarea, validarea si prezentarea datelor privind Elaborarea studiului de fezabilitate privind Interconectarea energetice ale </w:t>
            </w:r>
            <w:proofErr w:type="spellStart"/>
            <w:r w:rsidRPr="00C24162">
              <w:rPr>
                <w:rFonts w:ascii="Times New Roman" w:eastAsia="Times New Roman" w:hAnsi="Times New Roman"/>
                <w:color w:val="000000" w:themeColor="text1"/>
                <w:sz w:val="20"/>
                <w:szCs w:val="20"/>
                <w:lang w:val="ro-RO"/>
              </w:rPr>
              <w:t>R.Moldova</w:t>
            </w:r>
            <w:proofErr w:type="spellEnd"/>
            <w:r w:rsidRPr="00C24162">
              <w:rPr>
                <w:rFonts w:ascii="Times New Roman" w:eastAsia="Times New Roman" w:hAnsi="Times New Roman"/>
                <w:color w:val="000000" w:themeColor="text1"/>
                <w:sz w:val="20"/>
                <w:szCs w:val="20"/>
                <w:lang w:val="ro-RO"/>
              </w:rPr>
              <w:t xml:space="preserve"> si Ucrainei la Comunitatea Europeana a Operatorilor de Energie Electrica (ENTSO-E).</w:t>
            </w:r>
          </w:p>
          <w:p w:rsidR="00F84AF2" w:rsidRPr="00C24162" w:rsidRDefault="00F84AF2" w:rsidP="00177920">
            <w:pPr>
              <w:spacing w:after="0" w:line="240" w:lineRule="auto"/>
              <w:jc w:val="both"/>
              <w:rPr>
                <w:rFonts w:ascii="Times New Roman" w:eastAsia="Times New Roman" w:hAnsi="Times New Roman"/>
                <w:color w:val="000000" w:themeColor="text1"/>
                <w:sz w:val="20"/>
                <w:szCs w:val="20"/>
                <w:lang w:val="ro-RO"/>
              </w:rPr>
            </w:pPr>
          </w:p>
          <w:p w:rsidR="00F84AF2" w:rsidRPr="00C24162" w:rsidRDefault="00F84AF2" w:rsidP="00177920">
            <w:p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Rezultate 2014:</w:t>
            </w:r>
          </w:p>
          <w:p w:rsidR="00F84AF2" w:rsidRPr="00C24162" w:rsidRDefault="00F84AF2" w:rsidP="00177920">
            <w:pPr>
              <w:spacing w:after="0" w:line="240" w:lineRule="auto"/>
              <w:jc w:val="both"/>
              <w:rPr>
                <w:rFonts w:ascii="Times New Roman" w:eastAsia="Times New Roman" w:hAnsi="Times New Roman"/>
                <w:b/>
                <w:i/>
                <w:color w:val="000000" w:themeColor="text1"/>
                <w:sz w:val="20"/>
                <w:szCs w:val="20"/>
                <w:lang w:val="ro-RO"/>
              </w:rPr>
            </w:pPr>
            <w:r w:rsidRPr="00C24162">
              <w:rPr>
                <w:rFonts w:ascii="Times New Roman" w:eastAsia="Times New Roman" w:hAnsi="Times New Roman"/>
                <w:color w:val="000000" w:themeColor="text1"/>
                <w:sz w:val="20"/>
                <w:szCs w:val="20"/>
                <w:lang w:val="ro-RO"/>
              </w:rPr>
              <w:t xml:space="preserve">Studiu de fezabilitate va fi elaborat </w:t>
            </w:r>
            <w:proofErr w:type="spellStart"/>
            <w:r w:rsidRPr="00C24162">
              <w:rPr>
                <w:rFonts w:ascii="Times New Roman" w:eastAsia="Times New Roman" w:hAnsi="Times New Roman"/>
                <w:color w:val="000000" w:themeColor="text1"/>
                <w:sz w:val="20"/>
                <w:szCs w:val="20"/>
                <w:lang w:val="ro-RO"/>
              </w:rPr>
              <w:t>pîna</w:t>
            </w:r>
            <w:proofErr w:type="spellEnd"/>
            <w:r w:rsidRPr="00C24162">
              <w:rPr>
                <w:rFonts w:ascii="Times New Roman" w:eastAsia="Times New Roman" w:hAnsi="Times New Roman"/>
                <w:color w:val="000000" w:themeColor="text1"/>
                <w:sz w:val="20"/>
                <w:szCs w:val="20"/>
                <w:lang w:val="ro-RO"/>
              </w:rPr>
              <w:t xml:space="preserve"> la finele anului 2015.</w:t>
            </w:r>
          </w:p>
        </w:tc>
      </w:tr>
      <w:tr w:rsidR="00F84AF2" w:rsidRPr="00C24162" w:rsidTr="00B76A72">
        <w:trPr>
          <w:trHeight w:val="265"/>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val="restart"/>
            <w:tcBorders>
              <w:left w:val="single" w:sz="4" w:space="0" w:color="auto"/>
              <w:right w:val="single" w:sz="4" w:space="0" w:color="auto"/>
            </w:tcBorders>
          </w:tcPr>
          <w:p w:rsidR="00F84AF2" w:rsidRPr="00C24162" w:rsidRDefault="00F84AF2" w:rsidP="008A3320">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PNUD</w:t>
            </w:r>
          </w:p>
          <w:p w:rsidR="00F84AF2" w:rsidRPr="00C24162" w:rsidRDefault="00F84AF2" w:rsidP="001A263F">
            <w:pPr>
              <w:jc w:val="center"/>
              <w:rPr>
                <w:rFonts w:ascii="Times New Roman" w:eastAsia="Times New Roman" w:hAnsi="Times New Roman"/>
                <w:b/>
                <w:sz w:val="20"/>
                <w:szCs w:val="20"/>
                <w:lang w:val="ro-RO"/>
              </w:rPr>
            </w:pPr>
          </w:p>
        </w:tc>
        <w:tc>
          <w:tcPr>
            <w:tcW w:w="1001" w:type="dxa"/>
            <w:gridSpan w:val="4"/>
            <w:vMerge w:val="restart"/>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3</w:t>
            </w:r>
          </w:p>
          <w:p w:rsidR="00F84AF2" w:rsidRPr="00C24162" w:rsidRDefault="00F84AF2" w:rsidP="007C6939">
            <w:pPr>
              <w:rPr>
                <w:rFonts w:ascii="Times New Roman" w:eastAsia="Times New Roman" w:hAnsi="Times New Roman"/>
                <w:b/>
                <w:sz w:val="20"/>
                <w:szCs w:val="20"/>
                <w:lang w:val="ro-RO"/>
              </w:rPr>
            </w:pPr>
          </w:p>
        </w:tc>
        <w:tc>
          <w:tcPr>
            <w:tcW w:w="2409" w:type="dxa"/>
            <w:gridSpan w:val="4"/>
            <w:tcBorders>
              <w:top w:val="single" w:sz="4" w:space="0" w:color="auto"/>
              <w:left w:val="single" w:sz="4" w:space="0" w:color="auto"/>
              <w:right w:val="single" w:sz="4" w:space="0" w:color="auto"/>
            </w:tcBorders>
          </w:tcPr>
          <w:p w:rsidR="00F84AF2" w:rsidRPr="00C24162" w:rsidRDefault="00F84AF2" w:rsidP="00055255">
            <w:pPr>
              <w:spacing w:after="0" w:line="240" w:lineRule="auto"/>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PNUD </w:t>
            </w:r>
          </w:p>
          <w:p w:rsidR="00F84AF2" w:rsidRPr="00C24162" w:rsidRDefault="00F84AF2" w:rsidP="00055255">
            <w:pPr>
              <w:spacing w:after="0" w:line="240" w:lineRule="auto"/>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 </w:t>
            </w:r>
          </w:p>
          <w:p w:rsidR="00F84AF2" w:rsidRPr="00C24162" w:rsidRDefault="00F84AF2" w:rsidP="00055255">
            <w:pPr>
              <w:spacing w:after="0" w:line="240" w:lineRule="auto"/>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MAE Norvegiei </w:t>
            </w:r>
          </w:p>
          <w:p w:rsidR="00F84AF2" w:rsidRPr="00C24162" w:rsidRDefault="00F84AF2" w:rsidP="00055255">
            <w:pPr>
              <w:spacing w:after="0" w:line="240" w:lineRule="auto"/>
              <w:jc w:val="center"/>
              <w:rPr>
                <w:rFonts w:ascii="Times New Roman" w:eastAsia="Times New Roman" w:hAnsi="Times New Roman"/>
                <w:b/>
                <w:sz w:val="20"/>
                <w:szCs w:val="20"/>
                <w:lang w:val="ro-RO"/>
              </w:rPr>
            </w:pPr>
          </w:p>
          <w:p w:rsidR="00F84AF2" w:rsidRPr="00C24162" w:rsidRDefault="00F84AF2" w:rsidP="00055255">
            <w:pPr>
              <w:spacing w:after="0" w:line="240" w:lineRule="auto"/>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726 306,6 EUR</w:t>
            </w:r>
          </w:p>
          <w:p w:rsidR="00F84AF2" w:rsidRPr="00C24162" w:rsidRDefault="00F84AF2" w:rsidP="00055255">
            <w:pPr>
              <w:spacing w:after="0" w:line="240" w:lineRule="auto"/>
              <w:jc w:val="center"/>
              <w:rPr>
                <w:rFonts w:ascii="Times New Roman" w:eastAsia="Times New Roman" w:hAnsi="Times New Roman"/>
                <w:b/>
                <w:sz w:val="20"/>
                <w:szCs w:val="20"/>
                <w:u w:val="single"/>
                <w:lang w:val="ro-RO"/>
              </w:rPr>
            </w:pPr>
          </w:p>
          <w:p w:rsidR="00F84AF2" w:rsidRPr="00C24162" w:rsidRDefault="00F84AF2" w:rsidP="00055255">
            <w:pPr>
              <w:spacing w:after="0" w:line="240" w:lineRule="auto"/>
              <w:jc w:val="center"/>
              <w:rPr>
                <w:rFonts w:ascii="Times New Roman" w:eastAsia="Times New Roman" w:hAnsi="Times New Roman"/>
                <w:b/>
                <w:sz w:val="20"/>
                <w:szCs w:val="20"/>
                <w:u w:val="single"/>
                <w:lang w:val="ro-RO"/>
              </w:rPr>
            </w:pPr>
          </w:p>
          <w:p w:rsidR="00F84AF2" w:rsidRPr="00C24162" w:rsidRDefault="00F84AF2" w:rsidP="00055255">
            <w:pPr>
              <w:spacing w:after="0" w:line="240" w:lineRule="auto"/>
              <w:jc w:val="center"/>
              <w:rPr>
                <w:rFonts w:ascii="Times New Roman" w:eastAsia="Times New Roman" w:hAnsi="Times New Roman"/>
                <w:b/>
                <w:sz w:val="20"/>
                <w:szCs w:val="20"/>
                <w:u w:val="single"/>
                <w:lang w:val="ro-RO"/>
              </w:rPr>
            </w:pPr>
          </w:p>
          <w:p w:rsidR="00F84AF2" w:rsidRPr="00C24162" w:rsidRDefault="00F84AF2" w:rsidP="00F87268">
            <w:pPr>
              <w:spacing w:after="0" w:line="240" w:lineRule="auto"/>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(dintre care pentru  2014 –</w:t>
            </w:r>
            <w:r w:rsidRPr="00C24162">
              <w:rPr>
                <w:rFonts w:ascii="Times New Roman" w:eastAsia="Times New Roman" w:hAnsi="Times New Roman"/>
                <w:sz w:val="20"/>
                <w:szCs w:val="20"/>
                <w:u w:val="single"/>
                <w:lang w:val="ro-RO"/>
              </w:rPr>
              <w:t>248 613,9 EUR</w:t>
            </w:r>
            <w:r w:rsidRPr="00C24162">
              <w:rPr>
                <w:rFonts w:ascii="Times New Roman" w:eastAsia="Times New Roman" w:hAnsi="Times New Roman"/>
                <w:sz w:val="20"/>
                <w:szCs w:val="20"/>
                <w:lang w:val="ro-RO"/>
              </w:rPr>
              <w:t>)</w:t>
            </w: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bottom w:val="single" w:sz="4" w:space="0" w:color="auto"/>
              <w:right w:val="single" w:sz="4" w:space="0" w:color="auto"/>
            </w:tcBorders>
          </w:tcPr>
          <w:p w:rsidR="00F84AF2" w:rsidRPr="00C24162" w:rsidRDefault="00F84AF2" w:rsidP="002C7B9C">
            <w:p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„Antreprenoriat inovativ pentru ocuparea durabilă a forţei de muncă (SYSLAB)” (2013-2015)</w:t>
            </w:r>
          </w:p>
          <w:p w:rsidR="00F84AF2" w:rsidRPr="00C24162" w:rsidRDefault="00F84AF2" w:rsidP="009655DE">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i/>
                <w:sz w:val="20"/>
                <w:szCs w:val="20"/>
                <w:u w:val="single"/>
                <w:lang w:val="ro-RO"/>
              </w:rPr>
              <w:t>Obiectiv 1:</w:t>
            </w:r>
            <w:r w:rsidRPr="00C24162">
              <w:rPr>
                <w:rFonts w:ascii="Times New Roman" w:eastAsia="Times New Roman" w:hAnsi="Times New Roman"/>
                <w:sz w:val="20"/>
                <w:szCs w:val="20"/>
                <w:lang w:val="ro-RO"/>
              </w:rPr>
              <w:t xml:space="preserve"> Oferirea de noi tehnologii autorităților de pe piața forței de munca</w:t>
            </w:r>
          </w:p>
          <w:p w:rsidR="00F84AF2" w:rsidRPr="00C24162" w:rsidRDefault="00F84AF2" w:rsidP="009655DE">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i/>
                <w:sz w:val="20"/>
                <w:szCs w:val="20"/>
                <w:u w:val="single"/>
                <w:lang w:val="ro-RO"/>
              </w:rPr>
              <w:t>Obiectiv 2:</w:t>
            </w:r>
            <w:r w:rsidRPr="00C24162">
              <w:rPr>
                <w:rFonts w:ascii="Times New Roman" w:eastAsia="Times New Roman" w:hAnsi="Times New Roman"/>
                <w:sz w:val="20"/>
                <w:szCs w:val="20"/>
                <w:lang w:val="ro-RO"/>
              </w:rPr>
              <w:t xml:space="preserve"> Promovarea angajării durabile în câmpul muncii a șomerilor calificați</w:t>
            </w:r>
          </w:p>
          <w:p w:rsidR="00F84AF2" w:rsidRPr="00C24162" w:rsidRDefault="00F84AF2" w:rsidP="009655DE">
            <w:pPr>
              <w:spacing w:after="0" w:line="240" w:lineRule="auto"/>
              <w:rPr>
                <w:rFonts w:ascii="Times New Roman" w:eastAsia="Times New Roman" w:hAnsi="Times New Roman"/>
                <w:i/>
                <w:sz w:val="20"/>
                <w:szCs w:val="20"/>
                <w:u w:val="single"/>
                <w:lang w:val="ro-RO"/>
              </w:rPr>
            </w:pPr>
          </w:p>
          <w:p w:rsidR="00F84AF2" w:rsidRPr="00C24162" w:rsidRDefault="00F84AF2" w:rsidP="009655DE">
            <w:pPr>
              <w:spacing w:after="0" w:line="240" w:lineRule="auto"/>
              <w:rPr>
                <w:rFonts w:ascii="Times New Roman" w:eastAsia="Times New Roman" w:hAnsi="Times New Roman"/>
                <w:i/>
                <w:sz w:val="20"/>
                <w:szCs w:val="20"/>
                <w:u w:val="single"/>
                <w:lang w:val="ro-RO"/>
              </w:rPr>
            </w:pPr>
            <w:r w:rsidRPr="00C24162">
              <w:rPr>
                <w:rFonts w:ascii="Times New Roman" w:eastAsia="Times New Roman" w:hAnsi="Times New Roman"/>
                <w:i/>
                <w:sz w:val="20"/>
                <w:szCs w:val="20"/>
                <w:u w:val="single"/>
                <w:lang w:val="ro-RO"/>
              </w:rPr>
              <w:t>Rezultatele:</w:t>
            </w:r>
          </w:p>
          <w:p w:rsidR="00F84AF2" w:rsidRPr="00C24162" w:rsidRDefault="00F84AF2" w:rsidP="007E6E87">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A)Rețeaua de centre SYSLAB creată și cuprinde 3 centre funcționale (Chișinău, Cahul și Rezina); alte 2 centre vor fi deschise la Bălți și Comrat în 2015</w:t>
            </w:r>
          </w:p>
          <w:p w:rsidR="00F84AF2" w:rsidRPr="00C24162" w:rsidRDefault="00F84AF2" w:rsidP="007E6E87">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B)Pe durata anului 2014, 173 persoane au beneficiat de suportul direct și serviciile centrelor existente, dintre care 139 s-au angajat în cîmpul muncii (80.3%).</w:t>
            </w:r>
          </w:p>
        </w:tc>
      </w:tr>
      <w:tr w:rsidR="00F84AF2" w:rsidRPr="00C24162" w:rsidTr="00B76A72">
        <w:trPr>
          <w:trHeight w:val="1683"/>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tcBorders>
              <w:left w:val="single" w:sz="4" w:space="0" w:color="auto"/>
              <w:right w:val="single" w:sz="4" w:space="0" w:color="auto"/>
            </w:tcBorders>
          </w:tcPr>
          <w:p w:rsidR="00F84AF2" w:rsidRPr="00C24162" w:rsidRDefault="00F84AF2" w:rsidP="001A263F">
            <w:pPr>
              <w:jc w:val="center"/>
              <w:rPr>
                <w:rFonts w:ascii="Times New Roman" w:eastAsia="Times New Roman" w:hAnsi="Times New Roman"/>
                <w:b/>
                <w:sz w:val="20"/>
                <w:szCs w:val="20"/>
                <w:lang w:val="ro-RO"/>
              </w:rPr>
            </w:pPr>
          </w:p>
        </w:tc>
        <w:tc>
          <w:tcPr>
            <w:tcW w:w="1001" w:type="dxa"/>
            <w:gridSpan w:val="4"/>
            <w:vMerge/>
            <w:tcBorders>
              <w:left w:val="single" w:sz="4" w:space="0" w:color="auto"/>
              <w:right w:val="single" w:sz="4" w:space="0" w:color="auto"/>
            </w:tcBorders>
          </w:tcPr>
          <w:p w:rsidR="00F84AF2" w:rsidRPr="00C24162" w:rsidRDefault="00F84AF2" w:rsidP="00075E8B">
            <w:pPr>
              <w:jc w:val="center"/>
              <w:rPr>
                <w:rFonts w:ascii="Times New Roman" w:eastAsia="Times New Roman" w:hAnsi="Times New Roman"/>
                <w:b/>
                <w:sz w:val="20"/>
                <w:szCs w:val="20"/>
                <w:lang w:val="ro-RO"/>
              </w:rPr>
            </w:pPr>
          </w:p>
        </w:tc>
        <w:tc>
          <w:tcPr>
            <w:tcW w:w="2409" w:type="dxa"/>
            <w:gridSpan w:val="4"/>
            <w:tcBorders>
              <w:left w:val="single" w:sz="4" w:space="0" w:color="auto"/>
              <w:bottom w:val="single" w:sz="4" w:space="0" w:color="auto"/>
              <w:right w:val="single" w:sz="4" w:space="0" w:color="auto"/>
            </w:tcBorders>
          </w:tcPr>
          <w:p w:rsidR="00F84AF2" w:rsidRPr="00C24162" w:rsidRDefault="00F84AF2" w:rsidP="00E51BF3">
            <w:pPr>
              <w:spacing w:after="0"/>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MAE Norvegiei</w:t>
            </w:r>
          </w:p>
          <w:p w:rsidR="00F84AF2" w:rsidRPr="00C24162" w:rsidRDefault="00F84AF2" w:rsidP="00B76A72">
            <w:pPr>
              <w:spacing w:after="0"/>
              <w:rPr>
                <w:rFonts w:ascii="Times New Roman" w:eastAsia="Times New Roman" w:hAnsi="Times New Roman"/>
                <w:b/>
                <w:sz w:val="20"/>
                <w:szCs w:val="20"/>
                <w:lang w:val="ro-RO"/>
              </w:rPr>
            </w:pPr>
          </w:p>
          <w:p w:rsidR="00F84AF2" w:rsidRPr="00C24162" w:rsidRDefault="00F84AF2" w:rsidP="00E51BF3">
            <w:pPr>
              <w:spacing w:after="0"/>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1 389 886,6 EUR</w:t>
            </w:r>
          </w:p>
          <w:p w:rsidR="00F84AF2" w:rsidRPr="00C24162" w:rsidRDefault="00F84AF2" w:rsidP="00F87268">
            <w:pPr>
              <w:spacing w:after="0" w:line="240" w:lineRule="auto"/>
              <w:jc w:val="center"/>
              <w:rPr>
                <w:rFonts w:ascii="Times New Roman" w:eastAsia="Times New Roman" w:hAnsi="Times New Roman"/>
                <w:b/>
                <w:sz w:val="20"/>
                <w:szCs w:val="20"/>
                <w:u w:val="single"/>
                <w:lang w:val="ro-RO"/>
              </w:rPr>
            </w:pPr>
          </w:p>
          <w:p w:rsidR="00F84AF2" w:rsidRPr="00C24162" w:rsidRDefault="00F84AF2" w:rsidP="00AA49E4">
            <w:pPr>
              <w:jc w:val="center"/>
              <w:rPr>
                <w:rFonts w:ascii="Times New Roman" w:eastAsia="Times New Roman" w:hAnsi="Times New Roman"/>
                <w:b/>
                <w:sz w:val="20"/>
                <w:szCs w:val="20"/>
                <w:u w:val="single"/>
                <w:lang w:val="ro-RO"/>
              </w:rPr>
            </w:pPr>
            <w:r w:rsidRPr="00C24162">
              <w:rPr>
                <w:rFonts w:ascii="Times New Roman" w:eastAsia="Times New Roman" w:hAnsi="Times New Roman"/>
                <w:sz w:val="20"/>
                <w:szCs w:val="20"/>
                <w:lang w:val="ro-RO"/>
              </w:rPr>
              <w:t xml:space="preserve">(dintre care pentru  2014  – </w:t>
            </w:r>
            <w:r w:rsidRPr="00C24162">
              <w:rPr>
                <w:rFonts w:ascii="Times New Roman" w:eastAsia="Times New Roman" w:hAnsi="Times New Roman"/>
                <w:sz w:val="20"/>
                <w:szCs w:val="20"/>
                <w:u w:val="single"/>
                <w:lang w:val="ro-RO"/>
              </w:rPr>
              <w:t>44 621,6 EUR)</w:t>
            </w: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F84AF2" w:rsidRPr="00C24162" w:rsidRDefault="00F84AF2" w:rsidP="005F0224">
            <w:p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„Dezvoltarea afacerilor inovatoare pentru o creștere economică durabilă la nivel local (LED)” (2014-2017)</w:t>
            </w:r>
          </w:p>
          <w:p w:rsidR="00F84AF2" w:rsidRPr="00C24162" w:rsidRDefault="00F84AF2" w:rsidP="00173A3D">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Proiectul are drept scop promovarea inovațiilor în domeniul inițierii și dezvoltării afacerilor pentru crearea de locuri de muncă durabile la nivel local.</w:t>
            </w:r>
          </w:p>
          <w:p w:rsidR="00F84AF2" w:rsidRPr="00C24162" w:rsidRDefault="00F84AF2" w:rsidP="00173A3D">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i/>
                <w:sz w:val="20"/>
                <w:szCs w:val="20"/>
                <w:u w:val="single"/>
                <w:lang w:val="ro-RO"/>
              </w:rPr>
              <w:t>Obiectivele specifice</w:t>
            </w:r>
            <w:r w:rsidRPr="00C24162">
              <w:rPr>
                <w:rFonts w:ascii="Times New Roman" w:eastAsia="Times New Roman" w:hAnsi="Times New Roman"/>
                <w:sz w:val="20"/>
                <w:szCs w:val="20"/>
                <w:lang w:val="ro-RO"/>
              </w:rPr>
              <w:t xml:space="preserve"> sunt:</w:t>
            </w:r>
          </w:p>
          <w:p w:rsidR="00F84AF2" w:rsidRPr="00C24162" w:rsidRDefault="00F84AF2" w:rsidP="00173A3D">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Transfer de cunoștințe și expertiză de promovare a inovațiilor</w:t>
            </w:r>
            <w:r w:rsidRPr="00C24162">
              <w:rPr>
                <w:rFonts w:ascii="Times New Roman" w:eastAsia="Times New Roman" w:hAnsi="Times New Roman"/>
                <w:sz w:val="20"/>
                <w:szCs w:val="20"/>
                <w:lang w:val="en-US"/>
              </w:rPr>
              <w:t xml:space="preserve">; </w:t>
            </w:r>
            <w:r w:rsidRPr="00C24162">
              <w:rPr>
                <w:rFonts w:ascii="Times New Roman" w:eastAsia="Times New Roman" w:hAnsi="Times New Roman"/>
                <w:sz w:val="20"/>
                <w:szCs w:val="20"/>
                <w:lang w:val="ro-RO"/>
              </w:rPr>
              <w:t>Facilitarea accesului la finanțare pentru promovarea inovațiilor în mediul de afaceri, în special pentru absolvenții incubatoarelor de afaceri și start-up-urile inovaționale; Sporirea capacităților APL-lor, în cadrul procesului de descentralizare, de a promova inovațiile la nivel local cu resurse proprii și parteneriate durabile.</w:t>
            </w:r>
          </w:p>
          <w:p w:rsidR="00F84AF2" w:rsidRPr="00C24162" w:rsidRDefault="00F84AF2" w:rsidP="00173A3D">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i/>
                <w:sz w:val="20"/>
                <w:szCs w:val="20"/>
                <w:u w:val="single"/>
                <w:lang w:val="ro-RO"/>
              </w:rPr>
              <w:t>Principalele componente</w:t>
            </w:r>
            <w:r w:rsidRPr="00C24162">
              <w:rPr>
                <w:rFonts w:ascii="Times New Roman" w:eastAsia="Times New Roman" w:hAnsi="Times New Roman"/>
                <w:sz w:val="20"/>
                <w:szCs w:val="20"/>
                <w:lang w:val="ro-RO"/>
              </w:rPr>
              <w:t>:</w:t>
            </w:r>
          </w:p>
          <w:p w:rsidR="00F84AF2" w:rsidRPr="00C24162" w:rsidRDefault="00F84AF2" w:rsidP="00173A3D">
            <w:pPr>
              <w:pStyle w:val="Listparagraf"/>
              <w:numPr>
                <w:ilvl w:val="0"/>
                <w:numId w:val="3"/>
              </w:numPr>
              <w:spacing w:after="0" w:line="240" w:lineRule="auto"/>
              <w:ind w:left="72" w:firstLine="288"/>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Instruire și consultantă (echipe mobile, instruiri locale, crearea unui Laborator de Inovații în afaceri conectat la bunele practici din țară și din regiune);</w:t>
            </w:r>
          </w:p>
          <w:p w:rsidR="00F84AF2" w:rsidRPr="00C24162" w:rsidRDefault="00F84AF2" w:rsidP="00173A3D">
            <w:pPr>
              <w:pStyle w:val="Listparagraf"/>
              <w:numPr>
                <w:ilvl w:val="0"/>
                <w:numId w:val="3"/>
              </w:numPr>
              <w:spacing w:after="0" w:line="240" w:lineRule="auto"/>
              <w:ind w:left="72" w:firstLine="288"/>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Suport financiar condiționat acordat în bază competitivă pentru promovarea inovațiilor în start-ups și la dezvoltarea afacerilor existente (inclusiv crearea unui Forum pentru conectarea ideilor inovaționale la potențiali investitori din țară și de peste hotare);</w:t>
            </w:r>
          </w:p>
          <w:p w:rsidR="00F84AF2" w:rsidRPr="00C24162" w:rsidRDefault="00F84AF2" w:rsidP="00173A3D">
            <w:pPr>
              <w:pStyle w:val="Listparagraf"/>
              <w:numPr>
                <w:ilvl w:val="0"/>
                <w:numId w:val="3"/>
              </w:numPr>
              <w:spacing w:after="0" w:line="240" w:lineRule="auto"/>
              <w:ind w:left="72" w:firstLine="288"/>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Suport la revizuirea planurilor de dezvoltare strategică în comunitățile selectate și încadrarea componentelor de inovare în afaceri prin contribuția APL-lor performante.</w:t>
            </w:r>
          </w:p>
          <w:p w:rsidR="00F84AF2" w:rsidRPr="00C24162" w:rsidRDefault="00F84AF2" w:rsidP="00400AC1">
            <w:pPr>
              <w:pStyle w:val="Listparagraf"/>
              <w:spacing w:after="0" w:line="240" w:lineRule="auto"/>
              <w:ind w:left="360"/>
              <w:jc w:val="both"/>
              <w:rPr>
                <w:rFonts w:ascii="Times New Roman" w:eastAsia="Times New Roman" w:hAnsi="Times New Roman"/>
                <w:b/>
                <w:sz w:val="20"/>
                <w:szCs w:val="20"/>
                <w:lang w:val="ro-RO"/>
              </w:rPr>
            </w:pPr>
          </w:p>
          <w:p w:rsidR="00F84AF2" w:rsidRPr="00C24162" w:rsidRDefault="00F84AF2" w:rsidP="00400AC1">
            <w:pPr>
              <w:spacing w:after="0" w:line="240" w:lineRule="auto"/>
              <w:jc w:val="both"/>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Indicatori cu rezultate atinse 2014 nu sunt.</w:t>
            </w:r>
          </w:p>
          <w:p w:rsidR="00F84AF2" w:rsidRPr="00C24162" w:rsidRDefault="00F84AF2" w:rsidP="00400AC1">
            <w:pPr>
              <w:spacing w:after="0" w:line="240" w:lineRule="auto"/>
              <w:jc w:val="both"/>
              <w:rPr>
                <w:rFonts w:ascii="Times New Roman" w:eastAsia="Times New Roman" w:hAnsi="Times New Roman"/>
                <w:sz w:val="20"/>
                <w:szCs w:val="20"/>
                <w:lang w:val="ro-RO"/>
              </w:rPr>
            </w:pPr>
          </w:p>
        </w:tc>
      </w:tr>
      <w:tr w:rsidR="00F84AF2" w:rsidRPr="00C24162" w:rsidTr="00B76A72">
        <w:trPr>
          <w:trHeight w:val="832"/>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tcBorders>
              <w:left w:val="single" w:sz="4" w:space="0" w:color="auto"/>
              <w:bottom w:val="single" w:sz="4" w:space="0" w:color="auto"/>
              <w:right w:val="single" w:sz="4" w:space="0" w:color="auto"/>
            </w:tcBorders>
          </w:tcPr>
          <w:p w:rsidR="00F84AF2" w:rsidRPr="00C24162" w:rsidRDefault="00F84AF2" w:rsidP="001A263F">
            <w:pPr>
              <w:jc w:val="center"/>
              <w:rPr>
                <w:rFonts w:ascii="Times New Roman" w:eastAsia="Times New Roman" w:hAnsi="Times New Roman"/>
                <w:b/>
                <w:sz w:val="20"/>
                <w:szCs w:val="20"/>
                <w:lang w:val="ro-RO"/>
              </w:rPr>
            </w:pPr>
          </w:p>
        </w:tc>
        <w:tc>
          <w:tcPr>
            <w:tcW w:w="1001" w:type="dxa"/>
            <w:gridSpan w:val="4"/>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2409" w:type="dxa"/>
            <w:gridSpan w:val="4"/>
            <w:tcBorders>
              <w:left w:val="single" w:sz="4" w:space="0" w:color="auto"/>
              <w:right w:val="single" w:sz="4" w:space="0" w:color="auto"/>
            </w:tcBorders>
          </w:tcPr>
          <w:p w:rsidR="00F84AF2" w:rsidRPr="00C24162" w:rsidRDefault="00F84AF2" w:rsidP="00814E0B">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UE </w:t>
            </w:r>
            <w:r w:rsidRPr="00C24162">
              <w:rPr>
                <w:rFonts w:ascii="Times New Roman" w:eastAsia="Times New Roman" w:hAnsi="Times New Roman"/>
                <w:b/>
                <w:sz w:val="20"/>
                <w:szCs w:val="20"/>
                <w:u w:val="single"/>
                <w:lang w:val="ro-RO"/>
              </w:rPr>
              <w:t>14 000 000 EUR</w:t>
            </w:r>
          </w:p>
          <w:p w:rsidR="00F84AF2" w:rsidRPr="00C24162" w:rsidRDefault="00F84AF2" w:rsidP="00814E0B">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 +</w:t>
            </w:r>
          </w:p>
          <w:p w:rsidR="00F84AF2" w:rsidRPr="00C24162" w:rsidRDefault="00F84AF2" w:rsidP="00814E0B">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 PNUD </w:t>
            </w:r>
            <w:r w:rsidRPr="00C24162">
              <w:rPr>
                <w:rFonts w:ascii="Times New Roman" w:eastAsia="Times New Roman" w:hAnsi="Times New Roman"/>
                <w:b/>
                <w:sz w:val="20"/>
                <w:szCs w:val="20"/>
                <w:u w:val="single"/>
                <w:lang w:val="ro-RO"/>
              </w:rPr>
              <w:t>560 000 EUR</w:t>
            </w:r>
          </w:p>
          <w:p w:rsidR="00F84AF2" w:rsidRPr="00C24162" w:rsidRDefault="00F84AF2" w:rsidP="00814E0B">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 – faza I</w:t>
            </w:r>
          </w:p>
          <w:p w:rsidR="00F84AF2" w:rsidRPr="00C24162" w:rsidRDefault="00F84AF2" w:rsidP="00814E0B">
            <w:pPr>
              <w:jc w:val="center"/>
              <w:rPr>
                <w:rFonts w:ascii="Times New Roman" w:eastAsia="Times New Roman" w:hAnsi="Times New Roman"/>
                <w:b/>
                <w:sz w:val="20"/>
                <w:szCs w:val="20"/>
                <w:lang w:val="ro-RO"/>
              </w:rPr>
            </w:pPr>
          </w:p>
          <w:p w:rsidR="00F84AF2" w:rsidRPr="00C24162" w:rsidRDefault="00F84AF2" w:rsidP="008E623B">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 UE </w:t>
            </w:r>
            <w:r w:rsidRPr="00C24162">
              <w:rPr>
                <w:rFonts w:ascii="Times New Roman" w:eastAsia="Times New Roman" w:hAnsi="Times New Roman"/>
                <w:b/>
                <w:sz w:val="20"/>
                <w:szCs w:val="20"/>
                <w:u w:val="single"/>
                <w:lang w:val="ro-RO"/>
              </w:rPr>
              <w:t>9 410 704 Euro</w:t>
            </w:r>
          </w:p>
          <w:p w:rsidR="00F84AF2" w:rsidRPr="00C24162" w:rsidRDefault="00F84AF2" w:rsidP="008E623B">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 – faza II</w:t>
            </w:r>
          </w:p>
          <w:p w:rsidR="00F84AF2" w:rsidRPr="00C24162" w:rsidRDefault="00F84AF2" w:rsidP="008E623B">
            <w:pPr>
              <w:jc w:val="center"/>
              <w:rPr>
                <w:rFonts w:ascii="Times New Roman" w:eastAsia="Times New Roman" w:hAnsi="Times New Roman"/>
                <w:b/>
                <w:sz w:val="20"/>
                <w:szCs w:val="20"/>
                <w:lang w:val="ro-RO"/>
              </w:rPr>
            </w:pPr>
          </w:p>
          <w:p w:rsidR="00F84AF2" w:rsidRPr="00C24162" w:rsidRDefault="00F84AF2" w:rsidP="00D20CE4">
            <w:pPr>
              <w:jc w:val="center"/>
              <w:rPr>
                <w:rFonts w:ascii="Times New Roman" w:eastAsia="Times New Roman" w:hAnsi="Times New Roman"/>
                <w:b/>
                <w:sz w:val="20"/>
                <w:szCs w:val="20"/>
                <w:lang w:val="ro-RO"/>
              </w:rPr>
            </w:pPr>
            <w:r w:rsidRPr="00C24162">
              <w:rPr>
                <w:rFonts w:ascii="Times New Roman" w:eastAsia="Times New Roman" w:hAnsi="Times New Roman"/>
                <w:sz w:val="20"/>
                <w:szCs w:val="20"/>
                <w:lang w:val="ro-RO"/>
              </w:rPr>
              <w:lastRenderedPageBreak/>
              <w:t>(dintre care pentru  2014 –</w:t>
            </w:r>
            <w:r w:rsidRPr="00C24162">
              <w:rPr>
                <w:rFonts w:ascii="Times New Roman" w:eastAsia="Times New Roman" w:hAnsi="Times New Roman"/>
                <w:sz w:val="20"/>
                <w:szCs w:val="20"/>
                <w:u w:val="single"/>
                <w:lang w:val="ro-RO"/>
              </w:rPr>
              <w:t xml:space="preserve">2 </w:t>
            </w:r>
            <w:r w:rsidR="00D20CE4">
              <w:rPr>
                <w:rFonts w:ascii="Times New Roman" w:eastAsia="Times New Roman" w:hAnsi="Times New Roman"/>
                <w:sz w:val="20"/>
                <w:szCs w:val="20"/>
                <w:u w:val="single"/>
                <w:lang w:val="ro-RO"/>
              </w:rPr>
              <w:t>916 666,6</w:t>
            </w:r>
            <w:r w:rsidRPr="00C24162">
              <w:rPr>
                <w:rFonts w:ascii="Times New Roman" w:eastAsia="Times New Roman" w:hAnsi="Times New Roman"/>
                <w:sz w:val="20"/>
                <w:szCs w:val="20"/>
                <w:u w:val="single"/>
                <w:lang w:val="ro-RO"/>
              </w:rPr>
              <w:t xml:space="preserve"> EUR )</w:t>
            </w: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F84AF2" w:rsidRPr="00C24162" w:rsidRDefault="00F84AF2" w:rsidP="005F0224">
            <w:p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Proiectul Energie şi Biomasă în Moldova (2011-2014) și (2015-2017)</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În rezultatul implementării proiectului PEBM etapa I, pînă la finele anului 2014, au fost obținute următoarele rezultate:</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•144 de şcoli, grădiniţe, centre comunitare au sisteme moderne de încălzire pe biomasă </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•Peste 90 de mii de persoane beneficiază de confort termic sporit și ecologic</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•Peste 350 de noi locuri de muncă au fost create în comunitățile rurale țintă</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•182 milioane lei investiți în sisteme de încălzire pe combustibil din biomasă solidă</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•28 milioane lei a constituit contribuția comunităților locale pentru trecerea la încălzire pe biomasă</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•Capacitatea totală instalată a sistemelor de încălzire a atins nivelul de aproximativ 49 MW</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lastRenderedPageBreak/>
              <w:t>•Cca 300 de TJ de energie termică pot fi produse de cele 144 de sisteme de încălzire pe bază de biomasă în localitățile rurale</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•45 mii tone de emisii de bioxid de carbon s-au redus anual</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•35 de afaceri lansate şi dezvoltate în sectorul de producere a biocombustibilului solid</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•620 de familii şi-au instalat cazane pe biomasă cu 1.300 Euro rambursare din fonduri europene</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•30 de companii asamblează local cazane pe biomasă și le oferă consumatorilor</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•21 instituții publice din raionul Leova sunt conectate la încălzire pe biomasă şi beneficiază de energie livrată de un agent economic prin Parteneriat Public Privat</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•1.765 de reprezentanți APL au însuşit tehnici de colectare a fondurilor locale, acumulând peste 28 mln. lei contribuţie locală </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•2.819 de primari şi manageri de instituţii publice ştiu cum să utilizeze şi multiplice tehnologiile eco </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•376 de operatori din 127 de comunităţi au învăţat cum să opereze sistemul de încălzire pe bază de biomasă</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•413 antreprenori agricoli cunosc cum să transforme deşeurile în produs economic </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•352 de școli au devenit parte a inițiativei educaționale în sursele de energie regenerabilă și eficiență energetică</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•19 000 de elevi au participat la cursurile de regenerabile și eficiență energetică</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•272 de copii au participat  între anii 2011 – 2014 la Tabăra de vară ENERGEL</w:t>
            </w:r>
          </w:p>
          <w:p w:rsidR="00F84AF2" w:rsidRPr="00C24162" w:rsidRDefault="00F84AF2" w:rsidP="004574CC">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•1 mln. de oameni acoperiţi de comunicarea Proiectului Energie şi Biomasă</w:t>
            </w:r>
          </w:p>
        </w:tc>
      </w:tr>
      <w:tr w:rsidR="00F84AF2" w:rsidRPr="00C24162" w:rsidTr="00B76A72">
        <w:trPr>
          <w:trHeight w:val="1115"/>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val="restart"/>
            <w:tcBorders>
              <w:left w:val="single" w:sz="4" w:space="0" w:color="auto"/>
              <w:right w:val="single" w:sz="4" w:space="0" w:color="auto"/>
            </w:tcBorders>
          </w:tcPr>
          <w:p w:rsidR="00F84AF2" w:rsidRPr="00C24162" w:rsidRDefault="00F84AF2" w:rsidP="009135F6">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USAID</w:t>
            </w:r>
          </w:p>
        </w:tc>
        <w:tc>
          <w:tcPr>
            <w:tcW w:w="1001" w:type="dxa"/>
            <w:gridSpan w:val="4"/>
            <w:vMerge w:val="restart"/>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w:t>
            </w:r>
          </w:p>
        </w:tc>
        <w:tc>
          <w:tcPr>
            <w:tcW w:w="2409" w:type="dxa"/>
            <w:gridSpan w:val="4"/>
            <w:tcBorders>
              <w:left w:val="single" w:sz="4" w:space="0" w:color="auto"/>
              <w:right w:val="single" w:sz="4" w:space="0" w:color="auto"/>
            </w:tcBorders>
          </w:tcPr>
          <w:p w:rsidR="00F84AF2" w:rsidRPr="00C24162" w:rsidRDefault="00F84AF2" w:rsidP="00814E0B">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7 500 000 EUR</w:t>
            </w:r>
          </w:p>
          <w:p w:rsidR="00F84AF2" w:rsidRPr="00C24162" w:rsidRDefault="00F84AF2" w:rsidP="00254E52">
            <w:pPr>
              <w:jc w:val="center"/>
              <w:rPr>
                <w:rFonts w:ascii="Times New Roman" w:eastAsia="Times New Roman" w:hAnsi="Times New Roman"/>
                <w:b/>
                <w:sz w:val="20"/>
                <w:szCs w:val="20"/>
                <w:u w:val="single"/>
                <w:lang w:val="ro-RO"/>
              </w:rPr>
            </w:pPr>
            <w:r w:rsidRPr="00C24162">
              <w:rPr>
                <w:rFonts w:ascii="Times New Roman" w:eastAsia="Times New Roman" w:hAnsi="Times New Roman"/>
                <w:sz w:val="20"/>
                <w:szCs w:val="20"/>
                <w:lang w:val="ro-RO"/>
              </w:rPr>
              <w:t xml:space="preserve">(dintre care pentru  2014 </w:t>
            </w:r>
            <w:r w:rsidRPr="00C46568">
              <w:rPr>
                <w:rFonts w:ascii="Times New Roman" w:eastAsia="Times New Roman" w:hAnsi="Times New Roman"/>
                <w:color w:val="000000" w:themeColor="text1"/>
                <w:sz w:val="20"/>
                <w:szCs w:val="20"/>
                <w:u w:val="single"/>
                <w:lang w:val="ro-RO"/>
              </w:rPr>
              <w:t xml:space="preserve">312 500 </w:t>
            </w:r>
            <w:r w:rsidRPr="00C46568">
              <w:rPr>
                <w:rFonts w:ascii="Times New Roman" w:eastAsia="Times New Roman" w:hAnsi="Times New Roman"/>
                <w:sz w:val="20"/>
                <w:szCs w:val="20"/>
                <w:u w:val="single"/>
                <w:lang w:val="ro-RO"/>
              </w:rPr>
              <w:t>–EUR</w:t>
            </w:r>
            <w:r w:rsidRPr="00C24162">
              <w:rPr>
                <w:rFonts w:ascii="Times New Roman" w:eastAsia="Times New Roman" w:hAnsi="Times New Roman"/>
                <w:sz w:val="20"/>
                <w:szCs w:val="20"/>
                <w:u w:val="single"/>
                <w:lang w:val="ro-RO"/>
              </w:rPr>
              <w:t>)</w:t>
            </w: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F84AF2" w:rsidRPr="00C24162" w:rsidRDefault="00F84AF2" w:rsidP="005F0224">
            <w:p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Comerţ, investiţii şi reglementarea activităţii de întreprinzător (BRITE) (2012-2016)</w:t>
            </w:r>
          </w:p>
          <w:p w:rsidR="00F84AF2" w:rsidRPr="00C24162" w:rsidRDefault="00F84AF2" w:rsidP="005F0224">
            <w:pPr>
              <w:spacing w:after="0" w:line="240" w:lineRule="auto"/>
              <w:jc w:val="both"/>
              <w:rPr>
                <w:rFonts w:ascii="Times New Roman" w:eastAsia="Times New Roman" w:hAnsi="Times New Roman"/>
                <w:b/>
                <w:i/>
                <w:sz w:val="20"/>
                <w:szCs w:val="20"/>
                <w:u w:val="single"/>
                <w:lang w:val="ro-RO"/>
              </w:rPr>
            </w:pPr>
            <w:r w:rsidRPr="00C24162">
              <w:rPr>
                <w:rFonts w:ascii="Times New Roman" w:eastAsia="Times New Roman" w:hAnsi="Times New Roman"/>
                <w:b/>
                <w:i/>
                <w:sz w:val="20"/>
                <w:szCs w:val="20"/>
                <w:u w:val="single"/>
                <w:lang w:val="ro-RO"/>
              </w:rPr>
              <w:t>Rezultate 2014:</w:t>
            </w:r>
          </w:p>
          <w:p w:rsidR="00F84AF2" w:rsidRPr="00C24162" w:rsidRDefault="00F84AF2" w:rsidP="00E25A98">
            <w:pPr>
              <w:pStyle w:val="Listparagraf"/>
              <w:numPr>
                <w:ilvl w:val="0"/>
                <w:numId w:val="8"/>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Elaborarea și promovarea amendamentelor la Legea nr.1134/1997 privind societățile pe acțiuni (în vederea ridicării nivelului de protecție a investitorilor, conform indicatorului Doing Business)</w:t>
            </w:r>
            <w:r w:rsidRPr="00C24162">
              <w:rPr>
                <w:rFonts w:ascii="Times New Roman" w:eastAsia="Times New Roman" w:hAnsi="Times New Roman"/>
                <w:sz w:val="20"/>
                <w:szCs w:val="20"/>
                <w:lang w:val="en-US"/>
              </w:rPr>
              <w:t>;</w:t>
            </w:r>
          </w:p>
          <w:p w:rsidR="00F84AF2" w:rsidRPr="00C24162" w:rsidRDefault="00F84AF2" w:rsidP="00E25A98">
            <w:pPr>
              <w:pStyle w:val="Listparagraf"/>
              <w:numPr>
                <w:ilvl w:val="0"/>
                <w:numId w:val="8"/>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Efectuarea unui studiu privind procedurile și legislația ce ține de operațiunile de import/export pentru care sunt necesare acte permisive emise de ANSA;</w:t>
            </w:r>
          </w:p>
          <w:p w:rsidR="00F84AF2" w:rsidRPr="00C24162" w:rsidRDefault="00F84AF2" w:rsidP="00E25A98">
            <w:pPr>
              <w:pStyle w:val="Listparagraf"/>
              <w:numPr>
                <w:ilvl w:val="0"/>
                <w:numId w:val="8"/>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Evaluarea procedurilor ce țin de autorizarea lucrărilor în construcție (AS) și elaborarea legislației relevante privind ghișeul unic la autorizarea lucrărilor de construcție (OU);</w:t>
            </w:r>
          </w:p>
          <w:p w:rsidR="00F84AF2" w:rsidRPr="00C24162" w:rsidRDefault="00F84AF2" w:rsidP="00E25A98">
            <w:pPr>
              <w:pStyle w:val="Listparagraf"/>
              <w:numPr>
                <w:ilvl w:val="0"/>
                <w:numId w:val="8"/>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lastRenderedPageBreak/>
              <w:t>Elaborarea proiectului amendamentelor la legislație în vederea reducerii numărului actelor permisive și perfecționarea mecanismului de eliberare a actelor permisive;</w:t>
            </w:r>
          </w:p>
          <w:p w:rsidR="00F84AF2" w:rsidRPr="00C24162" w:rsidRDefault="00F84AF2" w:rsidP="00E25A98">
            <w:pPr>
              <w:pStyle w:val="Listparagraf"/>
              <w:numPr>
                <w:ilvl w:val="0"/>
                <w:numId w:val="8"/>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Efectuarea unui studiu privind procedurile și legislația ce ține autorizarea comerțului interior; elaborarea modificărilor la legislație ce ține de crearea GU al autorizației de funcționare;</w:t>
            </w:r>
          </w:p>
          <w:p w:rsidR="00F84AF2" w:rsidRPr="00C24162" w:rsidRDefault="00F84AF2" w:rsidP="00E25A98">
            <w:pPr>
              <w:pStyle w:val="Listparagraf"/>
              <w:numPr>
                <w:ilvl w:val="0"/>
                <w:numId w:val="8"/>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Perfecționarea mecanismului AIR:</w:t>
            </w:r>
          </w:p>
          <w:p w:rsidR="00F84AF2" w:rsidRPr="00C24162" w:rsidRDefault="00F84AF2" w:rsidP="00E25A98">
            <w:pPr>
              <w:pStyle w:val="Listparagraf"/>
              <w:numPr>
                <w:ilvl w:val="0"/>
                <w:numId w:val="9"/>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Efectuare Studiu privind mecanismului actual AIR (BRC)</w:t>
            </w:r>
          </w:p>
          <w:p w:rsidR="00F84AF2" w:rsidRPr="00C24162" w:rsidRDefault="00F84AF2" w:rsidP="00E25A98">
            <w:pPr>
              <w:pStyle w:val="Listparagraf"/>
              <w:numPr>
                <w:ilvl w:val="0"/>
                <w:numId w:val="9"/>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Workshop privind AIR</w:t>
            </w:r>
          </w:p>
          <w:p w:rsidR="00F84AF2" w:rsidRPr="00C24162" w:rsidRDefault="00F84AF2" w:rsidP="00E25A98">
            <w:pPr>
              <w:pStyle w:val="Listparagraf"/>
              <w:numPr>
                <w:ilvl w:val="0"/>
                <w:numId w:val="9"/>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Elaborarea modificărilor la Metodologia AIR (AS), Ghidul de elaborare a AIR</w:t>
            </w:r>
          </w:p>
          <w:p w:rsidR="00F84AF2" w:rsidRPr="00C24162" w:rsidRDefault="00F84AF2" w:rsidP="00E25A98">
            <w:pPr>
              <w:pStyle w:val="Listparagraf"/>
              <w:numPr>
                <w:ilvl w:val="0"/>
                <w:numId w:val="9"/>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Suport pentru Secretariatul EIR - 3 consultanți</w:t>
            </w:r>
          </w:p>
          <w:p w:rsidR="00F84AF2" w:rsidRPr="00C24162" w:rsidRDefault="00F84AF2" w:rsidP="00904819">
            <w:pPr>
              <w:pStyle w:val="Listparagraf"/>
              <w:numPr>
                <w:ilvl w:val="0"/>
                <w:numId w:val="8"/>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Training “Comunicare strategica pentru Reforma Cadrului de Reglementare” (13-14 februarie, 2014);</w:t>
            </w:r>
          </w:p>
          <w:p w:rsidR="00F84AF2" w:rsidRPr="00C24162" w:rsidRDefault="00F84AF2" w:rsidP="00904819">
            <w:pPr>
              <w:pStyle w:val="Listparagraf"/>
              <w:numPr>
                <w:ilvl w:val="0"/>
                <w:numId w:val="8"/>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Asistență în organizarea și petrecerea celui de al doilea For al Exportatorilor (5-12 iunie 2014);</w:t>
            </w:r>
          </w:p>
          <w:p w:rsidR="00F84AF2" w:rsidRPr="00C24162" w:rsidRDefault="00F84AF2" w:rsidP="00443518">
            <w:pPr>
              <w:pStyle w:val="Listparagraf"/>
              <w:numPr>
                <w:ilvl w:val="0"/>
                <w:numId w:val="8"/>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Asistență în evaluarea necesităților de implementare a noului Acord de facilitare a comerțului (Bali, 2013), 23 iunie – 5 iulie 2014;</w:t>
            </w:r>
          </w:p>
          <w:p w:rsidR="00F84AF2" w:rsidRPr="00C24162" w:rsidRDefault="00F84AF2" w:rsidP="00443518">
            <w:pPr>
              <w:pStyle w:val="Listparagraf"/>
              <w:numPr>
                <w:ilvl w:val="0"/>
                <w:numId w:val="8"/>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Hotărârea Guvernului 146 din 26.02.2014 pentru aprobarea Regulamentului cu privire la modul de prelungire a termenului de plată a taxei pe valoarea adăugată şi a taxei vamale, pentru perioada ciclului de producere, dar nu mai mult de 180 de zile, la materia primă, materialele, accesoriile, ambalajul primar şi articolele de completare importate nr. 146  din  26.02.2014;</w:t>
            </w:r>
          </w:p>
          <w:p w:rsidR="00F84AF2" w:rsidRPr="00C24162" w:rsidRDefault="00F84AF2" w:rsidP="00360444">
            <w:pPr>
              <w:pStyle w:val="Listparagraf"/>
              <w:numPr>
                <w:ilvl w:val="0"/>
                <w:numId w:val="8"/>
              </w:num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Hotărârea Guvernului nr. 145 din 26.02.2014 pentru aprobarea Regulamentului cu privire la modul de aplicare a facilităţilor fiscale stabilite în art.103 alin.(1) pct.29) din Codul fiscal nr.1163-XIII din 24 aprilie 1997 şi art.28 lit.q2) din Legea nr.1380-XIII din 20 noiembrie 1997 cu privire la tariful vamal nr. 145  din  26.02.2014;</w:t>
            </w:r>
          </w:p>
        </w:tc>
      </w:tr>
      <w:tr w:rsidR="00F84AF2" w:rsidRPr="00C24162" w:rsidTr="00B76A72">
        <w:trPr>
          <w:trHeight w:val="5022"/>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tcBorders>
              <w:left w:val="single" w:sz="4" w:space="0" w:color="auto"/>
              <w:bottom w:val="single" w:sz="4" w:space="0" w:color="auto"/>
              <w:right w:val="single" w:sz="4" w:space="0" w:color="auto"/>
            </w:tcBorders>
          </w:tcPr>
          <w:p w:rsidR="00F84AF2" w:rsidRPr="00C24162" w:rsidRDefault="00F84AF2" w:rsidP="009135F6">
            <w:pPr>
              <w:jc w:val="center"/>
              <w:rPr>
                <w:rFonts w:ascii="Times New Roman" w:eastAsia="Times New Roman" w:hAnsi="Times New Roman"/>
                <w:b/>
                <w:sz w:val="20"/>
                <w:szCs w:val="20"/>
                <w:lang w:val="ro-RO"/>
              </w:rPr>
            </w:pPr>
          </w:p>
        </w:tc>
        <w:tc>
          <w:tcPr>
            <w:tcW w:w="1001" w:type="dxa"/>
            <w:gridSpan w:val="4"/>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2409" w:type="dxa"/>
            <w:gridSpan w:val="4"/>
            <w:tcBorders>
              <w:left w:val="single" w:sz="4" w:space="0" w:color="auto"/>
              <w:right w:val="single" w:sz="4" w:space="0" w:color="auto"/>
            </w:tcBorders>
          </w:tcPr>
          <w:p w:rsidR="00F84AF2" w:rsidRPr="00C24162" w:rsidRDefault="00F84AF2" w:rsidP="004B0D32">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8 874 670 EUR</w:t>
            </w:r>
          </w:p>
          <w:p w:rsidR="00F84AF2" w:rsidRPr="00C24162" w:rsidRDefault="00F84AF2" w:rsidP="00C46568">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(dintre care pentru  2014</w:t>
            </w:r>
            <w:r w:rsidR="00C46568">
              <w:rPr>
                <w:rFonts w:ascii="Times New Roman" w:eastAsia="Times New Roman" w:hAnsi="Times New Roman"/>
                <w:sz w:val="20"/>
                <w:szCs w:val="20"/>
                <w:lang w:val="ro-RO"/>
              </w:rPr>
              <w:t>-</w:t>
            </w:r>
            <w:r w:rsidRPr="00C24162">
              <w:rPr>
                <w:rFonts w:ascii="Times New Roman" w:eastAsia="Times New Roman" w:hAnsi="Times New Roman"/>
                <w:sz w:val="20"/>
                <w:szCs w:val="20"/>
                <w:lang w:val="ro-RO"/>
              </w:rPr>
              <w:t xml:space="preserve"> </w:t>
            </w:r>
            <w:r w:rsidRPr="00C24162">
              <w:rPr>
                <w:rFonts w:ascii="Times New Roman" w:eastAsia="Times New Roman" w:hAnsi="Times New Roman"/>
                <w:sz w:val="20"/>
                <w:szCs w:val="20"/>
                <w:u w:val="single"/>
                <w:lang w:val="ro-RO"/>
              </w:rPr>
              <w:t>1 673 337,5–EUR)</w:t>
            </w:r>
          </w:p>
          <w:p w:rsidR="00F84AF2" w:rsidRPr="00C24162" w:rsidRDefault="00F84AF2" w:rsidP="004B0D32">
            <w:pPr>
              <w:jc w:val="center"/>
              <w:rPr>
                <w:rFonts w:ascii="Times New Roman" w:eastAsia="Times New Roman" w:hAnsi="Times New Roman"/>
                <w:b/>
                <w:sz w:val="20"/>
                <w:szCs w:val="20"/>
                <w:u w:val="single"/>
                <w:lang w:val="ro-RO"/>
              </w:rPr>
            </w:pP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F84AF2" w:rsidRPr="00C24162" w:rsidRDefault="00F84AF2" w:rsidP="005F0224">
            <w:p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Creşterea competitivităţii şi dezvoltarea întreprinderilor II (CEED II) (2010 – 2015)</w:t>
            </w:r>
          </w:p>
          <w:p w:rsidR="00F84AF2" w:rsidRPr="00C24162" w:rsidRDefault="00F84AF2" w:rsidP="005F0224">
            <w:pPr>
              <w:spacing w:after="0" w:line="240" w:lineRule="auto"/>
              <w:jc w:val="both"/>
              <w:rPr>
                <w:rFonts w:ascii="Times New Roman" w:eastAsia="Times New Roman" w:hAnsi="Times New Roman"/>
                <w:b/>
                <w:i/>
                <w:color w:val="000000" w:themeColor="text1"/>
                <w:sz w:val="20"/>
                <w:szCs w:val="20"/>
                <w:u w:val="single"/>
                <w:lang w:val="ro-RO"/>
              </w:rPr>
            </w:pPr>
            <w:r w:rsidRPr="00C24162">
              <w:rPr>
                <w:rFonts w:ascii="Times New Roman" w:eastAsia="Times New Roman" w:hAnsi="Times New Roman"/>
                <w:b/>
                <w:i/>
                <w:color w:val="000000" w:themeColor="text1"/>
                <w:sz w:val="20"/>
                <w:szCs w:val="20"/>
                <w:u w:val="single"/>
                <w:lang w:val="ro-RO"/>
              </w:rPr>
              <w:t>Rezultate:</w:t>
            </w:r>
          </w:p>
          <w:p w:rsidR="00F84AF2" w:rsidRPr="00C24162" w:rsidRDefault="00F84AF2" w:rsidP="004B0D32">
            <w:pPr>
              <w:spacing w:after="0" w:line="240" w:lineRule="auto"/>
              <w:jc w:val="both"/>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Sectorul aferent exporturilor</w:t>
            </w:r>
          </w:p>
          <w:p w:rsidR="00F84AF2" w:rsidRPr="00C24162" w:rsidRDefault="00F84AF2" w:rsidP="004B0D32">
            <w:pPr>
              <w:spacing w:after="0" w:line="240" w:lineRule="auto"/>
              <w:jc w:val="both"/>
              <w:rPr>
                <w:rFonts w:ascii="Times New Roman" w:eastAsia="Times New Roman" w:hAnsi="Times New Roman"/>
                <w:sz w:val="20"/>
                <w:szCs w:val="20"/>
                <w:lang w:val="en-US"/>
              </w:rPr>
            </w:pPr>
            <w:r w:rsidRPr="00C24162">
              <w:rPr>
                <w:rFonts w:ascii="Times New Roman" w:eastAsia="Times New Roman" w:hAnsi="Times New Roman"/>
                <w:sz w:val="20"/>
                <w:szCs w:val="20"/>
                <w:lang w:val="ro-RO"/>
              </w:rPr>
              <w:t>• au fost sprijinite 24 companii la 9 târguri internaționale, creșterea exportului cu cca 20% a acestor companii</w:t>
            </w:r>
            <w:r w:rsidRPr="00C24162">
              <w:rPr>
                <w:rFonts w:ascii="Times New Roman" w:eastAsia="Times New Roman" w:hAnsi="Times New Roman"/>
                <w:sz w:val="20"/>
                <w:szCs w:val="20"/>
                <w:lang w:val="en-US"/>
              </w:rPr>
              <w:t>;</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creștere imediată a vânzărilor brandurilor moldovenești cu cca 43%</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Industria textila și a încălțămintei;</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a fost îmbunătățit designului a 29 de produse de îmbrăcăminte, încălțăminte și accesorii de modă;</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a fost îmbunătățită calitatea de țesături a 18 companii, vizitând cele mai mari materii prime expoziții (Premier Vision și Texworld) și depozite în Torino, Italia.;</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 dezvoltarea brandurilor noi up-to-date a 6 companii; </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 implementarea unui Sistem Informatic de Management (SIM) la o companie de îmbrăcăminte; </w:t>
            </w:r>
          </w:p>
          <w:p w:rsidR="00F84AF2" w:rsidRPr="00C24162" w:rsidRDefault="00F84AF2" w:rsidP="004B0D32">
            <w:pPr>
              <w:spacing w:after="0" w:line="240" w:lineRule="auto"/>
              <w:jc w:val="both"/>
              <w:rPr>
                <w:rFonts w:ascii="Times New Roman" w:eastAsia="Times New Roman" w:hAnsi="Times New Roman"/>
                <w:sz w:val="20"/>
                <w:szCs w:val="20"/>
                <w:lang w:val="ro-RO"/>
              </w:rPr>
            </w:pPr>
          </w:p>
          <w:p w:rsidR="00F84AF2" w:rsidRPr="00C24162" w:rsidRDefault="00F84AF2" w:rsidP="004B0D32">
            <w:pPr>
              <w:spacing w:after="0" w:line="240" w:lineRule="auto"/>
              <w:jc w:val="both"/>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IT tehnologii</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CEED II a continuat să se dezvolte competențe TIC în conformitate cu nevoile industriei.</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Adăugarea cursului IT opțional în 62 licee, 75 - profesori instruiți, cca 2.600 - elevi înscriși.</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crearea a  6 cluburi Robotica bazat pe programul de Lego Educație, 170 de copii înscriși.</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sprijinirea Ministerul Educației pentru a actualiza curriculum-ul național de Informatică pentru învățământul secundar inferior și superior: 60 de școli pilotează curriculumului din Septembrie 2014;</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Comunitatea tehnologie de antreprenoriat a fost consolidată.</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 5-a ediție a Startup Weekend Moldova (SWM) pe 15-17 noiembrie, în timpul Entrepreneurship Week Global, s-au adunat 80 de participanți, 9 antrenori și 7 judecători din 8 țări. </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susținerea următoarelor evenimente: (i) vizită de studiu în Armenia, (ii) prezentarea Moldova la un eveniment B2B specializat în Suedia, (iii) participarea la expoziție CeBIT de la Hanovra, Germania.</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Summit-ul ICT Moldova 2014 au participat aproximativ 1000 de persoane și 70 de vorbitori din 20 de țări.</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CEED II a sprijinit Ministerul TIC pentru a finaliza pachetul legislativ și de reglementare pentru sporirea competitivității industriei TIC.</w:t>
            </w:r>
          </w:p>
          <w:p w:rsidR="00F84AF2" w:rsidRPr="00C24162" w:rsidRDefault="00F84AF2" w:rsidP="004B0D32">
            <w:pPr>
              <w:spacing w:after="0" w:line="240" w:lineRule="auto"/>
              <w:jc w:val="both"/>
              <w:rPr>
                <w:rFonts w:ascii="Times New Roman" w:eastAsia="Times New Roman" w:hAnsi="Times New Roman"/>
                <w:sz w:val="20"/>
                <w:szCs w:val="20"/>
                <w:lang w:val="ro-RO"/>
              </w:rPr>
            </w:pP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b/>
                <w:sz w:val="20"/>
                <w:szCs w:val="20"/>
                <w:u w:val="single"/>
                <w:lang w:val="ro-RO"/>
              </w:rPr>
              <w:t>TURISM</w:t>
            </w:r>
            <w:r w:rsidRPr="00C24162">
              <w:rPr>
                <w:rFonts w:ascii="Times New Roman" w:eastAsia="Times New Roman" w:hAnsi="Times New Roman"/>
                <w:sz w:val="20"/>
                <w:szCs w:val="20"/>
                <w:lang w:val="ro-RO"/>
              </w:rPr>
              <w:t xml:space="preserve"> - Consolidarea capacității Asociației de Turism.</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lastRenderedPageBreak/>
              <w:t>• Înființarea Asociației Națională de Turism din Moldova – ANTRIM (relații de turism și de conștientizare cu piețele din Germania, Marea Britanie, Polonia, Suedia, precum și pe plan intern).</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Conferința de presă dedicată la ITB Berlin 2014 a avut loc în premieră: au participat peste 30 de jurnalisti.</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susținerea a trei concerte de muzică din Republica Moldova pe piețele europene țintă - Marea Britanie, Germania și Suedia. Peste 700 făcut cunoștință cu Republica Moldova ca destinație turistică.</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sprijinirea companiilor de turism și crearea a noi parteneriate cu 7 operatori turistici străini de pe piețele-țintă, prin excursii de familiarizare.</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dezvoltarea și promovarea produselor turistice noi</w:t>
            </w:r>
          </w:p>
          <w:p w:rsidR="00F84AF2" w:rsidRPr="00C24162" w:rsidRDefault="00F84AF2" w:rsidP="004B0D32">
            <w:pPr>
              <w:spacing w:after="0" w:line="240" w:lineRule="auto"/>
              <w:jc w:val="both"/>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Industria vinicolă</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Stabilirea Oficiului Național al Viei și Vinului, noul model de administrație publică-privată a industriei vinului a fost testată în practică și a demonstrat viabilitatea. Durabilitatea reformelor instituționale și operaționale, sunt asigurate de noua lege cu privire la vița de vie și vin.</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Lansarea internațională și națională a programului marca vinului "Vinul din RM „A Legend Alive”</w:t>
            </w:r>
          </w:p>
          <w:p w:rsidR="00F84AF2" w:rsidRPr="00C24162" w:rsidRDefault="00F84AF2" w:rsidP="004B0D32">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 Organizarea Zilei Naționale a Vinului. </w:t>
            </w:r>
          </w:p>
          <w:p w:rsidR="00F84AF2" w:rsidRPr="00C24162" w:rsidRDefault="00F84AF2" w:rsidP="00623790">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Dezvoltarea activităților eficiente de cultură a vinului precum: vernisajul bi-anual de vin; două ediții ale Școlii Vinului; etc.</w:t>
            </w:r>
          </w:p>
        </w:tc>
      </w:tr>
      <w:tr w:rsidR="00F84AF2" w:rsidRPr="00C24162" w:rsidTr="00B76A72">
        <w:trPr>
          <w:trHeight w:val="784"/>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val="restart"/>
            <w:tcBorders>
              <w:left w:val="single" w:sz="4" w:space="0" w:color="auto"/>
              <w:right w:val="single" w:sz="4" w:space="0" w:color="auto"/>
            </w:tcBorders>
          </w:tcPr>
          <w:p w:rsidR="00F84AF2" w:rsidRPr="00C24162" w:rsidRDefault="00F84AF2" w:rsidP="009135F6">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Banca Mondială</w:t>
            </w:r>
          </w:p>
        </w:tc>
        <w:tc>
          <w:tcPr>
            <w:tcW w:w="1001" w:type="dxa"/>
            <w:gridSpan w:val="4"/>
            <w:vMerge w:val="restart"/>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3</w:t>
            </w:r>
          </w:p>
        </w:tc>
        <w:tc>
          <w:tcPr>
            <w:tcW w:w="2409" w:type="dxa"/>
            <w:gridSpan w:val="4"/>
            <w:tcBorders>
              <w:left w:val="single" w:sz="4" w:space="0" w:color="auto"/>
              <w:bottom w:val="single" w:sz="4" w:space="0" w:color="auto"/>
              <w:right w:val="single" w:sz="4" w:space="0" w:color="auto"/>
            </w:tcBorders>
          </w:tcPr>
          <w:p w:rsidR="00F84AF2" w:rsidRPr="00C24162" w:rsidRDefault="00F84AF2" w:rsidP="00814E0B">
            <w:pPr>
              <w:jc w:val="center"/>
              <w:rPr>
                <w:rFonts w:ascii="Times New Roman" w:eastAsia="Times New Roman" w:hAnsi="Times New Roman"/>
                <w:b/>
                <w:sz w:val="20"/>
                <w:szCs w:val="20"/>
                <w:u w:val="single"/>
                <w:lang w:val="ro-RO"/>
              </w:rPr>
            </w:pP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37 500 000 EUR</w:t>
            </w:r>
          </w:p>
          <w:p w:rsidR="00F84AF2" w:rsidRPr="00C24162" w:rsidRDefault="00F84AF2" w:rsidP="008C58EB">
            <w:pPr>
              <w:jc w:val="center"/>
              <w:rPr>
                <w:rFonts w:ascii="Times New Roman" w:eastAsia="Times New Roman" w:hAnsi="Times New Roman"/>
                <w:b/>
                <w:sz w:val="20"/>
                <w:szCs w:val="20"/>
                <w:u w:val="single"/>
                <w:lang w:val="ro-RO"/>
              </w:rPr>
            </w:pPr>
            <w:r w:rsidRPr="00C24162">
              <w:rPr>
                <w:rFonts w:ascii="Times New Roman" w:eastAsia="Times New Roman" w:hAnsi="Times New Roman"/>
                <w:sz w:val="20"/>
                <w:szCs w:val="20"/>
                <w:lang w:val="ro-RO"/>
              </w:rPr>
              <w:t>(dintre care pentru  2014 -</w:t>
            </w:r>
            <w:r w:rsidRPr="00C24162">
              <w:rPr>
                <w:rFonts w:ascii="Times New Roman" w:eastAsia="Times New Roman" w:hAnsi="Times New Roman"/>
                <w:sz w:val="20"/>
                <w:szCs w:val="20"/>
                <w:u w:val="single"/>
                <w:lang w:val="ro-RO"/>
              </w:rPr>
              <w:t>21 030 EUR)</w:t>
            </w:r>
          </w:p>
        </w:tc>
        <w:tc>
          <w:tcPr>
            <w:tcW w:w="6236" w:type="dxa"/>
            <w:gridSpan w:val="4"/>
            <w:tcBorders>
              <w:left w:val="single" w:sz="4" w:space="0" w:color="auto"/>
              <w:right w:val="single" w:sz="4" w:space="0" w:color="auto"/>
            </w:tcBorders>
          </w:tcPr>
          <w:p w:rsidR="00F84AF2" w:rsidRPr="00C24162" w:rsidRDefault="00F84AF2" w:rsidP="005F0224">
            <w:p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Proiectul ameliorarea competitivităţii II (PAC II)</w:t>
            </w:r>
          </w:p>
          <w:p w:rsidR="00F84AF2" w:rsidRPr="00C24162" w:rsidRDefault="00F84AF2" w:rsidP="00400AC1">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Obiectivul de dezvoltare al proiectului este întărirea competitivităţii la export a întreprinderilor private autohtone şi reducerea constrîngerilor şi a poverii cadrului de reglementare.</w:t>
            </w:r>
          </w:p>
          <w:p w:rsidR="00F84AF2" w:rsidRPr="00C24162" w:rsidRDefault="00F84AF2" w:rsidP="00400AC1">
            <w:pPr>
              <w:spacing w:after="0" w:line="240" w:lineRule="auto"/>
              <w:jc w:val="both"/>
              <w:rPr>
                <w:rFonts w:ascii="Times New Roman" w:eastAsia="Times New Roman" w:hAnsi="Times New Roman"/>
                <w:sz w:val="20"/>
                <w:szCs w:val="20"/>
                <w:lang w:val="ro-RO"/>
              </w:rPr>
            </w:pPr>
          </w:p>
          <w:p w:rsidR="00F84AF2" w:rsidRPr="00C24162" w:rsidRDefault="00F84AF2" w:rsidP="00400AC1">
            <w:pPr>
              <w:spacing w:after="0" w:line="240" w:lineRule="auto"/>
              <w:jc w:val="both"/>
              <w:rPr>
                <w:rFonts w:ascii="Times New Roman" w:eastAsia="Times New Roman" w:hAnsi="Times New Roman"/>
                <w:i/>
                <w:sz w:val="20"/>
                <w:szCs w:val="20"/>
                <w:u w:val="single"/>
                <w:lang w:val="ro-RO"/>
              </w:rPr>
            </w:pPr>
            <w:r w:rsidRPr="00C24162">
              <w:rPr>
                <w:rFonts w:ascii="Times New Roman" w:eastAsia="Times New Roman" w:hAnsi="Times New Roman"/>
                <w:i/>
                <w:sz w:val="20"/>
                <w:szCs w:val="20"/>
                <w:u w:val="single"/>
                <w:lang w:val="ro-RO"/>
              </w:rPr>
              <w:t>Componentele:</w:t>
            </w:r>
          </w:p>
          <w:p w:rsidR="00F84AF2" w:rsidRPr="00C24162" w:rsidRDefault="00F84AF2" w:rsidP="00400AC1">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Reforma Regulatorie</w:t>
            </w:r>
          </w:p>
          <w:p w:rsidR="00F84AF2" w:rsidRPr="00C24162" w:rsidRDefault="00F84AF2" w:rsidP="00400AC1">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Dezvoltarea IMM-urilor</w:t>
            </w:r>
          </w:p>
          <w:p w:rsidR="00F84AF2" w:rsidRPr="00C24162" w:rsidRDefault="00F84AF2" w:rsidP="00400AC1">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Acces la finanțare</w:t>
            </w:r>
          </w:p>
          <w:p w:rsidR="00F84AF2" w:rsidRPr="00C24162" w:rsidRDefault="00F84AF2" w:rsidP="00400AC1">
            <w:pPr>
              <w:spacing w:after="0" w:line="240" w:lineRule="auto"/>
              <w:jc w:val="both"/>
              <w:rPr>
                <w:rFonts w:ascii="Times New Roman" w:eastAsia="Times New Roman" w:hAnsi="Times New Roman"/>
                <w:sz w:val="20"/>
                <w:szCs w:val="20"/>
                <w:lang w:val="ro-RO"/>
              </w:rPr>
            </w:pPr>
          </w:p>
          <w:p w:rsidR="00F84AF2" w:rsidRPr="00C24162" w:rsidRDefault="00F84AF2" w:rsidP="005F0224">
            <w:pPr>
              <w:spacing w:after="0" w:line="240" w:lineRule="auto"/>
              <w:jc w:val="both"/>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Lansat în  noiembrie 2014 și indicatori cu rezultate atinse nu sunt.</w:t>
            </w:r>
          </w:p>
        </w:tc>
      </w:tr>
      <w:tr w:rsidR="00F84AF2" w:rsidRPr="00C24162" w:rsidTr="000D5794">
        <w:trPr>
          <w:trHeight w:val="3667"/>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tcBorders>
              <w:left w:val="single" w:sz="4" w:space="0" w:color="auto"/>
              <w:right w:val="single" w:sz="4" w:space="0" w:color="auto"/>
            </w:tcBorders>
          </w:tcPr>
          <w:p w:rsidR="00F84AF2" w:rsidRPr="00C24162" w:rsidRDefault="00F84AF2" w:rsidP="009135F6">
            <w:pPr>
              <w:jc w:val="center"/>
              <w:rPr>
                <w:rFonts w:ascii="Times New Roman" w:eastAsia="Times New Roman" w:hAnsi="Times New Roman"/>
                <w:b/>
                <w:sz w:val="20"/>
                <w:szCs w:val="20"/>
                <w:lang w:val="ro-RO"/>
              </w:rPr>
            </w:pPr>
          </w:p>
        </w:tc>
        <w:tc>
          <w:tcPr>
            <w:tcW w:w="1001" w:type="dxa"/>
            <w:gridSpan w:val="4"/>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2409" w:type="dxa"/>
            <w:gridSpan w:val="4"/>
            <w:tcBorders>
              <w:left w:val="single" w:sz="4" w:space="0" w:color="auto"/>
              <w:right w:val="single" w:sz="4" w:space="0" w:color="auto"/>
            </w:tcBorders>
          </w:tcPr>
          <w:p w:rsidR="00F84AF2" w:rsidRPr="00C24162" w:rsidRDefault="00F84AF2" w:rsidP="00814E0B">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413 000 EUR</w:t>
            </w:r>
          </w:p>
          <w:p w:rsidR="00F84AF2" w:rsidRPr="00C24162" w:rsidRDefault="00F84AF2" w:rsidP="008C58EB">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(dintre care pentru  2014 </w:t>
            </w:r>
            <w:r w:rsidRPr="00C24162">
              <w:rPr>
                <w:rFonts w:ascii="Times New Roman" w:eastAsia="Times New Roman" w:hAnsi="Times New Roman"/>
                <w:sz w:val="20"/>
                <w:szCs w:val="20"/>
                <w:u w:val="single"/>
                <w:lang w:val="ro-RO"/>
              </w:rPr>
              <w:t>-267 455 EUR)</w:t>
            </w: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F84AF2" w:rsidRPr="00C24162" w:rsidRDefault="00F84AF2" w:rsidP="00B50668">
            <w:p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Acord de grant dintre Republica Moldova şi Banca Internaţională pentru Reconstrucţie şi Dezvoltare şi Asociaţia Internaţională pentru</w:t>
            </w:r>
            <w:r w:rsidRPr="00C24162">
              <w:rPr>
                <w:rFonts w:ascii="Times New Roman" w:hAnsi="Times New Roman"/>
                <w:sz w:val="20"/>
                <w:szCs w:val="20"/>
                <w:lang w:val="en-US"/>
              </w:rPr>
              <w:t xml:space="preserve"> </w:t>
            </w:r>
            <w:r w:rsidRPr="00C24162">
              <w:rPr>
                <w:rFonts w:ascii="Times New Roman" w:eastAsia="Times New Roman" w:hAnsi="Times New Roman"/>
                <w:b/>
                <w:i/>
                <w:sz w:val="20"/>
                <w:szCs w:val="20"/>
                <w:lang w:val="ro-RO"/>
              </w:rPr>
              <w:t>Dezvoltare în vederea realizării Proiectului de ameliorare a competitivităţii II (PAC II)</w:t>
            </w:r>
          </w:p>
          <w:p w:rsidR="00F84AF2" w:rsidRPr="00C24162" w:rsidRDefault="00F84AF2" w:rsidP="00B50668">
            <w:pPr>
              <w:spacing w:after="0" w:line="240" w:lineRule="auto"/>
              <w:jc w:val="both"/>
              <w:rPr>
                <w:rFonts w:ascii="Times New Roman" w:eastAsia="Times New Roman" w:hAnsi="Times New Roman"/>
                <w:b/>
                <w:i/>
                <w:color w:val="000000" w:themeColor="text1"/>
                <w:sz w:val="20"/>
                <w:szCs w:val="20"/>
                <w:u w:val="single"/>
                <w:lang w:val="ro-RO"/>
              </w:rPr>
            </w:pPr>
            <w:r w:rsidRPr="00C24162">
              <w:rPr>
                <w:rFonts w:ascii="Times New Roman" w:eastAsia="Times New Roman" w:hAnsi="Times New Roman"/>
                <w:b/>
                <w:i/>
                <w:color w:val="000000" w:themeColor="text1"/>
                <w:sz w:val="20"/>
                <w:szCs w:val="20"/>
                <w:u w:val="single"/>
                <w:lang w:val="ro-RO"/>
              </w:rPr>
              <w:t>Rezultate 2014:</w:t>
            </w:r>
          </w:p>
          <w:p w:rsidR="00F84AF2" w:rsidRPr="00C24162" w:rsidRDefault="00F84AF2" w:rsidP="00B50668">
            <w:p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sz w:val="20"/>
                <w:szCs w:val="20"/>
                <w:lang w:val="ro-RO"/>
              </w:rPr>
              <w:t>Asistenta tehnică a fost acordată pentru efectuarea diferitor analize, studii de fezabilitate și instruiri în scopul pregătirii proiectul II de ameliorare a competitivității (PAC II), care nu sunt încă finisate şi anume (i) analiza piețelor prioritare, dezvoltarea instrumentelor de promovare a exporturilor către UE cu elaborarea planului de acțiuni a MIEPO; (ii) studiu sectorial, suport Consiliului Concurenței, pentru identificarea obstacolelor în domeniul concurenței; (iii) asistență ODIMM la relansarea mecanismului de garantare a împrumuturilor; (iv) studiu de segmentare a sectorului IMM cu identificarea necesităților segmentelor cu potențial de creștere în termen de valoare adăugată, crearea a noi locuri de muncă, potențial de export.</w:t>
            </w:r>
          </w:p>
        </w:tc>
      </w:tr>
      <w:tr w:rsidR="00F84AF2" w:rsidRPr="00C24162" w:rsidTr="00B76A72">
        <w:trPr>
          <w:trHeight w:val="2816"/>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tcBorders>
              <w:left w:val="single" w:sz="4" w:space="0" w:color="auto"/>
              <w:right w:val="single" w:sz="4" w:space="0" w:color="auto"/>
            </w:tcBorders>
          </w:tcPr>
          <w:p w:rsidR="00F84AF2" w:rsidRPr="00C24162" w:rsidRDefault="00F84AF2" w:rsidP="009135F6">
            <w:pPr>
              <w:jc w:val="center"/>
              <w:rPr>
                <w:rFonts w:ascii="Times New Roman" w:eastAsia="Times New Roman" w:hAnsi="Times New Roman"/>
                <w:b/>
                <w:sz w:val="20"/>
                <w:szCs w:val="20"/>
                <w:lang w:val="ro-RO"/>
              </w:rPr>
            </w:pPr>
          </w:p>
        </w:tc>
        <w:tc>
          <w:tcPr>
            <w:tcW w:w="1001" w:type="dxa"/>
            <w:gridSpan w:val="4"/>
            <w:vMerge/>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2409" w:type="dxa"/>
            <w:gridSpan w:val="4"/>
            <w:tcBorders>
              <w:left w:val="single" w:sz="4" w:space="0" w:color="auto"/>
              <w:right w:val="single" w:sz="4" w:space="0" w:color="auto"/>
            </w:tcBorders>
          </w:tcPr>
          <w:p w:rsidR="00F84AF2" w:rsidRPr="00C24162" w:rsidRDefault="00F84AF2" w:rsidP="00B1670D">
            <w:pPr>
              <w:spacing w:after="0"/>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2 291 078 EUR</w:t>
            </w:r>
          </w:p>
          <w:p w:rsidR="00F84AF2" w:rsidRPr="00C24162" w:rsidRDefault="00F84AF2" w:rsidP="00B1670D">
            <w:pPr>
              <w:spacing w:after="0"/>
              <w:jc w:val="center"/>
              <w:rPr>
                <w:rFonts w:ascii="Times New Roman" w:eastAsia="Times New Roman" w:hAnsi="Times New Roman"/>
                <w:b/>
                <w:sz w:val="20"/>
                <w:szCs w:val="20"/>
                <w:u w:val="single"/>
                <w:lang w:val="ro-RO"/>
              </w:rPr>
            </w:pPr>
          </w:p>
          <w:p w:rsidR="00F84AF2" w:rsidRPr="00C24162" w:rsidRDefault="00F84AF2" w:rsidP="00C46568">
            <w:pPr>
              <w:jc w:val="center"/>
              <w:rPr>
                <w:rFonts w:ascii="Times New Roman" w:eastAsia="Times New Roman" w:hAnsi="Times New Roman"/>
                <w:b/>
                <w:sz w:val="20"/>
                <w:szCs w:val="20"/>
                <w:u w:val="single"/>
                <w:lang w:val="ro-RO"/>
              </w:rPr>
            </w:pPr>
            <w:r w:rsidRPr="00C24162">
              <w:rPr>
                <w:rFonts w:ascii="Times New Roman" w:eastAsia="Times New Roman" w:hAnsi="Times New Roman"/>
                <w:sz w:val="20"/>
                <w:szCs w:val="20"/>
                <w:lang w:val="ro-RO"/>
              </w:rPr>
              <w:t>(dintre care pentru  2014 –</w:t>
            </w:r>
            <w:r w:rsidRPr="00C24162">
              <w:rPr>
                <w:rFonts w:ascii="Times New Roman" w:eastAsia="Times New Roman" w:hAnsi="Times New Roman"/>
                <w:sz w:val="20"/>
                <w:szCs w:val="20"/>
                <w:u w:val="single"/>
                <w:lang w:val="ro-RO"/>
              </w:rPr>
              <w:t xml:space="preserve"> </w:t>
            </w:r>
            <w:r w:rsidR="00C46568">
              <w:rPr>
                <w:rFonts w:ascii="Times New Roman" w:eastAsia="Times New Roman" w:hAnsi="Times New Roman"/>
                <w:sz w:val="20"/>
                <w:szCs w:val="20"/>
                <w:u w:val="single"/>
                <w:lang w:val="ro-RO"/>
              </w:rPr>
              <w:t>297 079,9</w:t>
            </w:r>
            <w:r w:rsidRPr="00C24162">
              <w:rPr>
                <w:rFonts w:ascii="Times New Roman" w:eastAsia="Times New Roman" w:hAnsi="Times New Roman"/>
                <w:sz w:val="20"/>
                <w:szCs w:val="20"/>
                <w:u w:val="single"/>
                <w:lang w:val="ro-RO"/>
              </w:rPr>
              <w:t xml:space="preserve"> EUR)</w:t>
            </w: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F84AF2" w:rsidRPr="00C24162" w:rsidRDefault="00F84AF2" w:rsidP="00B1670D">
            <w:p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 xml:space="preserve">Proiectul pentru promovarea reformelor şi sporirea eficienţei în sectorul energetic (ESREI)(2010-2014) </w:t>
            </w:r>
          </w:p>
          <w:p w:rsidR="00F84AF2" w:rsidRPr="00C24162" w:rsidRDefault="00F84AF2" w:rsidP="00B1670D">
            <w:p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Rezultate 2014:</w:t>
            </w:r>
          </w:p>
          <w:p w:rsidR="00F84AF2" w:rsidRPr="00C24162" w:rsidRDefault="00F84AF2" w:rsidP="00B1670D">
            <w:pPr>
              <w:spacing w:after="0" w:line="240" w:lineRule="auto"/>
              <w:jc w:val="both"/>
              <w:rPr>
                <w:rFonts w:ascii="Times New Roman" w:eastAsia="Times New Roman" w:hAnsi="Times New Roman"/>
                <w:sz w:val="20"/>
                <w:szCs w:val="20"/>
                <w:lang w:val="ro-RO"/>
              </w:rPr>
            </w:pPr>
            <w:r w:rsidRPr="00C24162">
              <w:rPr>
                <w:rFonts w:ascii="Times New Roman" w:eastAsia="Times New Roman" w:hAnsi="Times New Roman"/>
                <w:b/>
                <w:i/>
                <w:sz w:val="20"/>
                <w:szCs w:val="20"/>
                <w:lang w:val="ro-RO"/>
              </w:rPr>
              <w:t>•</w:t>
            </w:r>
            <w:r w:rsidRPr="00C24162">
              <w:rPr>
                <w:rFonts w:ascii="Times New Roman" w:eastAsia="Times New Roman" w:hAnsi="Times New Roman"/>
                <w:sz w:val="20"/>
                <w:szCs w:val="20"/>
                <w:lang w:val="ro-RO"/>
              </w:rPr>
              <w:t>Obiectivele renovate/modernizate la întreprinderile termoenergetice  (9 blocuri, Spitalul Republican Centrul Mamii si Copilului );</w:t>
            </w:r>
          </w:p>
          <w:p w:rsidR="00F84AF2" w:rsidRPr="00C24162" w:rsidRDefault="00F84AF2" w:rsidP="00B1670D">
            <w:pPr>
              <w:spacing w:after="0" w:line="240" w:lineRule="auto"/>
              <w:jc w:val="both"/>
              <w:rPr>
                <w:rFonts w:ascii="Times New Roman" w:eastAsia="Times New Roman" w:hAnsi="Times New Roman"/>
                <w:b/>
                <w:i/>
                <w:sz w:val="20"/>
                <w:szCs w:val="20"/>
                <w:lang w:val="ro-RO"/>
              </w:rPr>
            </w:pPr>
            <w:r w:rsidRPr="00C24162">
              <w:rPr>
                <w:rFonts w:ascii="Times New Roman" w:eastAsia="Times New Roman" w:hAnsi="Times New Roman"/>
                <w:sz w:val="20"/>
                <w:szCs w:val="20"/>
                <w:lang w:val="ro-RO"/>
              </w:rPr>
              <w:t xml:space="preserve">•În baza </w:t>
            </w:r>
            <w:proofErr w:type="spellStart"/>
            <w:r w:rsidRPr="00C24162">
              <w:rPr>
                <w:rFonts w:ascii="Times New Roman" w:eastAsia="Times New Roman" w:hAnsi="Times New Roman"/>
                <w:sz w:val="20"/>
                <w:szCs w:val="20"/>
                <w:lang w:val="ro-RO"/>
              </w:rPr>
              <w:t>Hotărîrii</w:t>
            </w:r>
            <w:proofErr w:type="spellEnd"/>
            <w:r w:rsidRPr="00C24162">
              <w:rPr>
                <w:rFonts w:ascii="Times New Roman" w:eastAsia="Times New Roman" w:hAnsi="Times New Roman"/>
                <w:sz w:val="20"/>
                <w:szCs w:val="20"/>
                <w:lang w:val="ro-RO"/>
              </w:rPr>
              <w:t xml:space="preserve"> Guvernului nr. 318 din 07.05.2014 cu privire la reorganizarea unor întreprinderi din sectorul termoenergetic, a fost finalizată procedura de fuziune prin absorbţie a S.A.„CET-1” de către S.A.„CET-2” (15.10.2014). Procesul de preluare de către S.A. „CET-2” a activelor S.A. „</w:t>
            </w:r>
            <w:proofErr w:type="spellStart"/>
            <w:r w:rsidRPr="00C24162">
              <w:rPr>
                <w:rFonts w:ascii="Times New Roman" w:eastAsia="Times New Roman" w:hAnsi="Times New Roman"/>
                <w:sz w:val="20"/>
                <w:szCs w:val="20"/>
                <w:lang w:val="ro-RO"/>
              </w:rPr>
              <w:t>Termocom</w:t>
            </w:r>
            <w:proofErr w:type="spellEnd"/>
            <w:r w:rsidRPr="00C24162">
              <w:rPr>
                <w:rFonts w:ascii="Times New Roman" w:eastAsia="Times New Roman" w:hAnsi="Times New Roman"/>
                <w:sz w:val="20"/>
                <w:szCs w:val="20"/>
                <w:lang w:val="ro-RO"/>
              </w:rPr>
              <w:t>” (circuit tehnologic). Setul documentelor de fuziune elaborat – 3;  Întreprinderea termoenergetică creată – 1</w:t>
            </w:r>
          </w:p>
        </w:tc>
      </w:tr>
      <w:tr w:rsidR="00F84AF2" w:rsidRPr="00C24162" w:rsidTr="00B76A72">
        <w:trPr>
          <w:trHeight w:val="5238"/>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val="restart"/>
            <w:tcBorders>
              <w:left w:val="single" w:sz="4" w:space="0" w:color="auto"/>
              <w:right w:val="single" w:sz="4" w:space="0" w:color="auto"/>
            </w:tcBorders>
          </w:tcPr>
          <w:p w:rsidR="00F84AF2" w:rsidRPr="00C24162" w:rsidRDefault="00F84AF2" w:rsidP="00B1670D">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Guvernul Suediei </w:t>
            </w:r>
          </w:p>
          <w:p w:rsidR="00F84AF2" w:rsidRPr="00C24162" w:rsidRDefault="00F84AF2" w:rsidP="00EE3D86">
            <w:pPr>
              <w:jc w:val="center"/>
              <w:rPr>
                <w:rFonts w:ascii="Times New Roman" w:eastAsia="Times New Roman" w:hAnsi="Times New Roman"/>
                <w:b/>
                <w:sz w:val="20"/>
                <w:szCs w:val="20"/>
                <w:lang w:val="ro-RO"/>
              </w:rPr>
            </w:pPr>
          </w:p>
        </w:tc>
        <w:tc>
          <w:tcPr>
            <w:tcW w:w="1001" w:type="dxa"/>
            <w:gridSpan w:val="4"/>
            <w:vMerge w:val="restart"/>
            <w:tcBorders>
              <w:left w:val="single" w:sz="4" w:space="0" w:color="auto"/>
              <w:right w:val="single" w:sz="4" w:space="0" w:color="auto"/>
            </w:tcBorders>
          </w:tcPr>
          <w:p w:rsidR="00F84AF2" w:rsidRPr="00C24162" w:rsidRDefault="00F84AF2" w:rsidP="00075E8B">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2</w:t>
            </w:r>
          </w:p>
        </w:tc>
        <w:tc>
          <w:tcPr>
            <w:tcW w:w="2409" w:type="dxa"/>
            <w:gridSpan w:val="4"/>
            <w:tcBorders>
              <w:left w:val="single" w:sz="4" w:space="0" w:color="auto"/>
              <w:right w:val="single" w:sz="4" w:space="0" w:color="auto"/>
            </w:tcBorders>
          </w:tcPr>
          <w:p w:rsidR="00F84AF2" w:rsidRPr="00C24162" w:rsidRDefault="00F84AF2" w:rsidP="00814E0B">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2 480 000 EUR</w:t>
            </w:r>
          </w:p>
          <w:p w:rsidR="00F84AF2" w:rsidRPr="00C24162" w:rsidRDefault="00F84AF2" w:rsidP="000A0FFE">
            <w:pPr>
              <w:jc w:val="center"/>
              <w:rPr>
                <w:rFonts w:ascii="Times New Roman" w:eastAsia="Times New Roman" w:hAnsi="Times New Roman"/>
                <w:b/>
                <w:sz w:val="20"/>
                <w:szCs w:val="20"/>
                <w:u w:val="single"/>
                <w:lang w:val="ro-RO"/>
              </w:rPr>
            </w:pPr>
            <w:r w:rsidRPr="00C24162">
              <w:rPr>
                <w:rFonts w:ascii="Times New Roman" w:eastAsia="Times New Roman" w:hAnsi="Times New Roman"/>
                <w:sz w:val="20"/>
                <w:szCs w:val="20"/>
                <w:lang w:val="ro-RO"/>
              </w:rPr>
              <w:t xml:space="preserve">(dintre care pentru  2014 – </w:t>
            </w:r>
            <w:r w:rsidR="00B25D06">
              <w:rPr>
                <w:rFonts w:ascii="Times New Roman" w:eastAsia="Times New Roman" w:hAnsi="Times New Roman"/>
                <w:sz w:val="20"/>
                <w:szCs w:val="20"/>
                <w:u w:val="single"/>
                <w:lang w:val="ro-RO"/>
              </w:rPr>
              <w:t>644 122,38</w:t>
            </w:r>
            <w:r w:rsidRPr="00C24162">
              <w:rPr>
                <w:rFonts w:ascii="Times New Roman" w:eastAsia="Times New Roman" w:hAnsi="Times New Roman"/>
                <w:sz w:val="20"/>
                <w:szCs w:val="20"/>
                <w:u w:val="single"/>
                <w:lang w:val="ro-RO"/>
              </w:rPr>
              <w:t xml:space="preserve"> EUR)</w:t>
            </w:r>
          </w:p>
          <w:p w:rsidR="00F84AF2" w:rsidRPr="00C24162" w:rsidRDefault="00F84AF2" w:rsidP="000A0FFE">
            <w:pPr>
              <w:jc w:val="center"/>
              <w:rPr>
                <w:rFonts w:ascii="Times New Roman" w:eastAsia="Times New Roman" w:hAnsi="Times New Roman"/>
                <w:b/>
                <w:sz w:val="20"/>
                <w:szCs w:val="20"/>
                <w:u w:val="single"/>
                <w:lang w:val="ro-RO"/>
              </w:rPr>
            </w:pPr>
          </w:p>
        </w:tc>
        <w:tc>
          <w:tcPr>
            <w:tcW w:w="1277" w:type="dxa"/>
            <w:gridSpan w:val="4"/>
            <w:tcBorders>
              <w:left w:val="single" w:sz="4" w:space="0" w:color="auto"/>
              <w:right w:val="single" w:sz="4" w:space="0" w:color="auto"/>
            </w:tcBorders>
          </w:tcPr>
          <w:p w:rsidR="00F84AF2" w:rsidRPr="00C24162" w:rsidRDefault="00F84AF2" w:rsidP="005D4435">
            <w:pP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F84AF2" w:rsidRPr="00C24162" w:rsidRDefault="00F84AF2" w:rsidP="00B50668">
            <w:pPr>
              <w:spacing w:after="0" w:line="240" w:lineRule="auto"/>
              <w:jc w:val="both"/>
              <w:rPr>
                <w:rFonts w:ascii="Times New Roman" w:eastAsia="Times New Roman" w:hAnsi="Times New Roman"/>
                <w:b/>
                <w:i/>
                <w:color w:val="000000" w:themeColor="text1"/>
                <w:sz w:val="20"/>
                <w:szCs w:val="20"/>
                <w:lang w:val="ro-RO"/>
              </w:rPr>
            </w:pPr>
            <w:r w:rsidRPr="00C24162">
              <w:rPr>
                <w:rFonts w:ascii="Times New Roman" w:eastAsia="Times New Roman" w:hAnsi="Times New Roman"/>
                <w:b/>
                <w:i/>
                <w:color w:val="000000" w:themeColor="text1"/>
                <w:sz w:val="20"/>
                <w:szCs w:val="20"/>
                <w:lang w:val="ro-RO"/>
              </w:rPr>
              <w:t>Consolidarea capacităţilor Ministerului Economiei în domeniul eficienţei energetice şi energiei regenerabile (2011-2015)</w:t>
            </w:r>
          </w:p>
          <w:p w:rsidR="00F84AF2" w:rsidRPr="00C24162" w:rsidRDefault="00F84AF2" w:rsidP="00B50668">
            <w:pPr>
              <w:spacing w:after="0" w:line="240" w:lineRule="auto"/>
              <w:jc w:val="both"/>
              <w:rPr>
                <w:rFonts w:ascii="Times New Roman" w:eastAsia="Times New Roman" w:hAnsi="Times New Roman"/>
                <w:b/>
                <w:i/>
                <w:color w:val="000000" w:themeColor="text1"/>
                <w:sz w:val="20"/>
                <w:szCs w:val="20"/>
                <w:u w:val="single"/>
                <w:lang w:val="ro-RO"/>
              </w:rPr>
            </w:pPr>
            <w:r w:rsidRPr="00C24162">
              <w:rPr>
                <w:rFonts w:ascii="Times New Roman" w:eastAsia="Times New Roman" w:hAnsi="Times New Roman"/>
                <w:b/>
                <w:i/>
                <w:color w:val="000000" w:themeColor="text1"/>
                <w:sz w:val="20"/>
                <w:szCs w:val="20"/>
                <w:u w:val="single"/>
                <w:lang w:val="ro-RO"/>
              </w:rPr>
              <w:t>Rezultate 2014:</w:t>
            </w:r>
          </w:p>
          <w:p w:rsidR="00F84AF2" w:rsidRPr="00C24162" w:rsidRDefault="00F84AF2" w:rsidP="00E56045">
            <w:pPr>
              <w:pStyle w:val="Listparagraf"/>
              <w:numPr>
                <w:ilvl w:val="0"/>
                <w:numId w:val="19"/>
              </w:numPr>
              <w:spacing w:after="0" w:line="276"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Implementarea modulelor de instruire:</w:t>
            </w:r>
          </w:p>
          <w:p w:rsidR="00F84AF2" w:rsidRPr="00C24162" w:rsidRDefault="00F84AF2" w:rsidP="00E56045">
            <w:pPr>
              <w:pStyle w:val="Listparagraf"/>
              <w:numPr>
                <w:ilvl w:val="0"/>
                <w:numId w:val="20"/>
              </w:numPr>
              <w:spacing w:after="0" w:line="276" w:lineRule="auto"/>
              <w:ind w:left="878" w:hanging="283"/>
              <w:jc w:val="both"/>
              <w:rPr>
                <w:rFonts w:ascii="Times New Roman" w:eastAsia="Times New Roman" w:hAnsi="Times New Roman"/>
                <w:sz w:val="20"/>
                <w:szCs w:val="20"/>
                <w:lang w:val="en-US"/>
              </w:rPr>
            </w:pPr>
            <w:r w:rsidRPr="00C24162">
              <w:rPr>
                <w:rFonts w:ascii="Times New Roman" w:eastAsia="Times New Roman" w:hAnsi="Times New Roman"/>
                <w:sz w:val="20"/>
                <w:szCs w:val="20"/>
                <w:lang w:val="ro-RO"/>
              </w:rPr>
              <w:t>Modulul 6 Managementul resurselor Public aprilie 2014</w:t>
            </w:r>
            <w:r w:rsidRPr="00C24162">
              <w:rPr>
                <w:rFonts w:ascii="Times New Roman" w:eastAsia="Times New Roman" w:hAnsi="Times New Roman"/>
                <w:sz w:val="20"/>
                <w:szCs w:val="20"/>
                <w:lang w:val="en-US"/>
              </w:rPr>
              <w:t>;</w:t>
            </w:r>
          </w:p>
          <w:p w:rsidR="00F84AF2" w:rsidRPr="00C24162" w:rsidRDefault="00F84AF2" w:rsidP="00E56045">
            <w:pPr>
              <w:pStyle w:val="Listparagraf"/>
              <w:numPr>
                <w:ilvl w:val="0"/>
                <w:numId w:val="20"/>
              </w:numPr>
              <w:spacing w:after="0" w:line="276" w:lineRule="auto"/>
              <w:ind w:left="878" w:hanging="283"/>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Modulul 7 Cele mai bune practici - pentru eficiență energetică și energie regenerabilă iunie 2014;</w:t>
            </w:r>
          </w:p>
          <w:p w:rsidR="00F84AF2" w:rsidRPr="00C24162" w:rsidRDefault="00F84AF2" w:rsidP="00E56045">
            <w:pPr>
              <w:pStyle w:val="Listparagraf"/>
              <w:numPr>
                <w:ilvl w:val="0"/>
                <w:numId w:val="20"/>
              </w:numPr>
              <w:spacing w:after="0" w:line="276" w:lineRule="auto"/>
              <w:ind w:left="878" w:hanging="283"/>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Modulul 8 Cele mai bune practici - Planificare Strategică septembrie 2014.</w:t>
            </w:r>
          </w:p>
          <w:p w:rsidR="00F84AF2" w:rsidRPr="00C24162" w:rsidRDefault="00F84AF2" w:rsidP="00E56045">
            <w:pPr>
              <w:pStyle w:val="Listparagraf"/>
              <w:numPr>
                <w:ilvl w:val="0"/>
                <w:numId w:val="19"/>
              </w:numPr>
              <w:spacing w:after="0" w:line="276"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Actualizarea Strategiei de comunicare și a Planului de acțiuni</w:t>
            </w:r>
          </w:p>
          <w:p w:rsidR="00F84AF2" w:rsidRPr="00C24162" w:rsidRDefault="00F84AF2" w:rsidP="00E56045">
            <w:pPr>
              <w:pStyle w:val="Listparagraf"/>
              <w:numPr>
                <w:ilvl w:val="0"/>
                <w:numId w:val="19"/>
              </w:numPr>
              <w:spacing w:after="0" w:line="276"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Seminar privind auditul în energetică</w:t>
            </w:r>
          </w:p>
          <w:p w:rsidR="00F84AF2" w:rsidRPr="00C24162" w:rsidRDefault="00F84AF2" w:rsidP="00E56045">
            <w:pPr>
              <w:pStyle w:val="Listparagraf"/>
              <w:numPr>
                <w:ilvl w:val="0"/>
                <w:numId w:val="19"/>
              </w:numPr>
              <w:spacing w:after="0" w:line="276"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Vizită de studiu Italia privind principalele componente de promovare a eficienței energetice, cum ar mod de reglementare, precum și realizarea unor construcții ecologice și eco-eficiente în Italia.</w:t>
            </w:r>
          </w:p>
          <w:p w:rsidR="00F84AF2" w:rsidRPr="00C24162" w:rsidRDefault="00F84AF2" w:rsidP="00E56045">
            <w:pPr>
              <w:pStyle w:val="Listparagraf"/>
              <w:numPr>
                <w:ilvl w:val="0"/>
                <w:numId w:val="19"/>
              </w:numPr>
              <w:spacing w:after="0" w:line="276"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Suport acordat pentru participarea la expozițiile  MOLDAGROTEH, MOLDCONSTRUCT, MOLDENERGY, Construct-home.</w:t>
            </w:r>
          </w:p>
          <w:p w:rsidR="00F84AF2" w:rsidRPr="00C24162" w:rsidRDefault="00F84AF2" w:rsidP="001776ED">
            <w:pPr>
              <w:pStyle w:val="Listparagraf"/>
              <w:numPr>
                <w:ilvl w:val="0"/>
                <w:numId w:val="19"/>
              </w:numPr>
              <w:spacing w:after="0" w:line="276" w:lineRule="auto"/>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Asistență pentru elaborarea Raportului anual al AEE.</w:t>
            </w:r>
          </w:p>
          <w:p w:rsidR="00F84AF2" w:rsidRPr="00C24162" w:rsidRDefault="00F84AF2" w:rsidP="00B1670D">
            <w:pPr>
              <w:spacing w:after="0" w:line="240" w:lineRule="auto"/>
              <w:jc w:val="both"/>
              <w:rPr>
                <w:rFonts w:ascii="Times New Roman" w:eastAsia="Times New Roman" w:hAnsi="Times New Roman"/>
                <w:sz w:val="20"/>
                <w:szCs w:val="20"/>
                <w:lang w:val="ro-RO"/>
              </w:rPr>
            </w:pPr>
          </w:p>
        </w:tc>
      </w:tr>
      <w:tr w:rsidR="00F84AF2" w:rsidRPr="00C24162" w:rsidTr="00B76A72">
        <w:trPr>
          <w:trHeight w:val="1118"/>
        </w:trPr>
        <w:tc>
          <w:tcPr>
            <w:tcW w:w="2510" w:type="dxa"/>
            <w:gridSpan w:val="2"/>
            <w:vMerge/>
            <w:tcBorders>
              <w:left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vMerge/>
            <w:tcBorders>
              <w:left w:val="single" w:sz="4" w:space="0" w:color="auto"/>
              <w:right w:val="single" w:sz="4" w:space="0" w:color="auto"/>
            </w:tcBorders>
          </w:tcPr>
          <w:p w:rsidR="00F84AF2" w:rsidRPr="00C24162" w:rsidRDefault="00F84AF2" w:rsidP="00EE3D86">
            <w:pPr>
              <w:jc w:val="center"/>
              <w:rPr>
                <w:rFonts w:ascii="Times New Roman" w:eastAsia="Times New Roman" w:hAnsi="Times New Roman"/>
                <w:b/>
                <w:sz w:val="20"/>
                <w:szCs w:val="20"/>
                <w:lang w:val="ro-RO"/>
              </w:rPr>
            </w:pPr>
          </w:p>
        </w:tc>
        <w:tc>
          <w:tcPr>
            <w:tcW w:w="1001" w:type="dxa"/>
            <w:gridSpan w:val="4"/>
            <w:vMerge/>
            <w:tcBorders>
              <w:left w:val="single" w:sz="4" w:space="0" w:color="auto"/>
              <w:right w:val="single" w:sz="4" w:space="0" w:color="auto"/>
            </w:tcBorders>
          </w:tcPr>
          <w:p w:rsidR="00F84AF2" w:rsidRPr="00C24162" w:rsidRDefault="00F84AF2" w:rsidP="00075E8B">
            <w:pPr>
              <w:jc w:val="center"/>
              <w:rPr>
                <w:rFonts w:ascii="Times New Roman" w:eastAsia="Times New Roman" w:hAnsi="Times New Roman"/>
                <w:b/>
                <w:sz w:val="20"/>
                <w:szCs w:val="20"/>
                <w:lang w:val="ro-RO"/>
              </w:rPr>
            </w:pPr>
          </w:p>
        </w:tc>
        <w:tc>
          <w:tcPr>
            <w:tcW w:w="2409" w:type="dxa"/>
            <w:gridSpan w:val="4"/>
            <w:tcBorders>
              <w:left w:val="single" w:sz="4" w:space="0" w:color="auto"/>
              <w:bottom w:val="single" w:sz="4" w:space="0" w:color="auto"/>
              <w:right w:val="single" w:sz="4" w:space="0" w:color="auto"/>
            </w:tcBorders>
          </w:tcPr>
          <w:p w:rsidR="00F84AF2" w:rsidRPr="00C24162" w:rsidRDefault="00E303BF" w:rsidP="00AF42AB">
            <w:pPr>
              <w:spacing w:after="0"/>
              <w:jc w:val="center"/>
              <w:rPr>
                <w:rFonts w:ascii="Times New Roman" w:eastAsia="Times New Roman" w:hAnsi="Times New Roman"/>
                <w:b/>
                <w:sz w:val="20"/>
                <w:szCs w:val="20"/>
                <w:u w:val="single"/>
                <w:lang w:val="ro-RO"/>
              </w:rPr>
            </w:pPr>
            <w:r>
              <w:rPr>
                <w:rFonts w:ascii="Times New Roman" w:eastAsia="Times New Roman" w:hAnsi="Times New Roman"/>
                <w:b/>
                <w:sz w:val="20"/>
                <w:szCs w:val="20"/>
                <w:u w:val="single"/>
                <w:lang w:val="ro-RO"/>
              </w:rPr>
              <w:t>2 668 333,3</w:t>
            </w:r>
            <w:r w:rsidR="00F84AF2" w:rsidRPr="00C24162">
              <w:rPr>
                <w:rFonts w:ascii="Times New Roman" w:eastAsia="Times New Roman" w:hAnsi="Times New Roman"/>
                <w:b/>
                <w:sz w:val="20"/>
                <w:szCs w:val="20"/>
                <w:u w:val="single"/>
                <w:lang w:val="ro-RO"/>
              </w:rPr>
              <w:t xml:space="preserve"> EUR</w:t>
            </w:r>
          </w:p>
          <w:p w:rsidR="00F84AF2" w:rsidRPr="00C24162" w:rsidRDefault="00F84AF2" w:rsidP="00083A39">
            <w:pPr>
              <w:spacing w:after="0"/>
              <w:jc w:val="center"/>
              <w:rPr>
                <w:rFonts w:ascii="Times New Roman" w:eastAsia="Times New Roman" w:hAnsi="Times New Roman"/>
                <w:b/>
                <w:sz w:val="20"/>
                <w:szCs w:val="20"/>
                <w:u w:val="single"/>
                <w:lang w:val="ro-RO"/>
              </w:rPr>
            </w:pPr>
            <w:r w:rsidRPr="00C24162">
              <w:rPr>
                <w:rFonts w:ascii="Times New Roman" w:eastAsia="Times New Roman" w:hAnsi="Times New Roman"/>
                <w:sz w:val="20"/>
                <w:szCs w:val="20"/>
                <w:lang w:val="ro-RO"/>
              </w:rPr>
              <w:t xml:space="preserve">(dintre care pentru  2014 – </w:t>
            </w:r>
            <w:r w:rsidRPr="00C24162">
              <w:rPr>
                <w:rFonts w:ascii="Times New Roman" w:eastAsia="Times New Roman" w:hAnsi="Times New Roman"/>
                <w:sz w:val="20"/>
                <w:szCs w:val="20"/>
                <w:u w:val="single"/>
                <w:lang w:val="ro-RO"/>
              </w:rPr>
              <w:t>313 466 EUR)</w:t>
            </w:r>
          </w:p>
        </w:tc>
        <w:tc>
          <w:tcPr>
            <w:tcW w:w="1277" w:type="dxa"/>
            <w:gridSpan w:val="4"/>
            <w:tcBorders>
              <w:left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right w:val="single" w:sz="4" w:space="0" w:color="auto"/>
            </w:tcBorders>
          </w:tcPr>
          <w:p w:rsidR="00F84AF2" w:rsidRDefault="00F84AF2" w:rsidP="00EE3D86">
            <w:pPr>
              <w:spacing w:after="0" w:line="240" w:lineRule="auto"/>
              <w:jc w:val="both"/>
              <w:rPr>
                <w:rFonts w:ascii="Times New Roman" w:eastAsia="Times New Roman" w:hAnsi="Times New Roman"/>
                <w:b/>
                <w:i/>
                <w:color w:val="000000" w:themeColor="text1"/>
                <w:sz w:val="20"/>
                <w:szCs w:val="20"/>
                <w:lang w:val="ro-RO"/>
              </w:rPr>
            </w:pPr>
            <w:r w:rsidRPr="00075E8B">
              <w:rPr>
                <w:rFonts w:ascii="Times New Roman" w:eastAsia="Times New Roman" w:hAnsi="Times New Roman"/>
                <w:b/>
                <w:i/>
                <w:color w:val="000000" w:themeColor="text1"/>
                <w:sz w:val="20"/>
                <w:szCs w:val="20"/>
                <w:lang w:val="ro-RO"/>
              </w:rPr>
              <w:t>Reforma în domeniul climatului investiţional</w:t>
            </w:r>
            <w:r w:rsidR="00075E8B">
              <w:rPr>
                <w:rFonts w:ascii="Times New Roman" w:eastAsia="Times New Roman" w:hAnsi="Times New Roman"/>
                <w:b/>
                <w:i/>
                <w:color w:val="000000" w:themeColor="text1"/>
                <w:sz w:val="20"/>
                <w:szCs w:val="20"/>
                <w:lang w:val="ro-RO"/>
              </w:rPr>
              <w:t xml:space="preserve"> (2012-2015)</w:t>
            </w:r>
          </w:p>
          <w:p w:rsidR="00B3556A" w:rsidRDefault="00B3556A" w:rsidP="00B3556A">
            <w:pPr>
              <w:pStyle w:val="Listparagraf"/>
              <w:numPr>
                <w:ilvl w:val="0"/>
                <w:numId w:val="26"/>
              </w:numPr>
              <w:spacing w:after="0" w:line="240" w:lineRule="auto"/>
              <w:jc w:val="both"/>
              <w:rPr>
                <w:rFonts w:ascii="Times New Roman" w:eastAsia="Times New Roman" w:hAnsi="Times New Roman"/>
                <w:color w:val="000000" w:themeColor="text1"/>
                <w:sz w:val="20"/>
                <w:szCs w:val="20"/>
                <w:lang w:val="ro-RO"/>
              </w:rPr>
            </w:pPr>
            <w:r w:rsidRPr="00B3556A">
              <w:rPr>
                <w:rFonts w:ascii="Times New Roman" w:eastAsia="Times New Roman" w:hAnsi="Times New Roman"/>
                <w:color w:val="000000" w:themeColor="text1"/>
                <w:sz w:val="20"/>
                <w:szCs w:val="20"/>
                <w:lang w:val="ro-RO"/>
              </w:rPr>
              <w:t xml:space="preserve">S-a acordat asistenţă pentru elaborarea a mai mult de 20 de acte legislative în conformitate cu Legea cu privirea la controlul de stat asupra activităţii de întreprinzător. Suport pentru ministerele de resort la elaborarea şi promovarea a două metodologii de planificare a controlului de stat asupra activităţii de întreprinzător în baza criteriilor de risc, precum şi contribuţia/verificarea calităţii a altor 17 metodologii. Rezultatul major al acestor activităţi este trecerea evidentă spre o conformare voluntare şi planificare în baza criteriilor de risc. Aceste rezultate sunt de asemenea atinse urmare implementării </w:t>
            </w:r>
            <w:proofErr w:type="spellStart"/>
            <w:r w:rsidRPr="00B3556A">
              <w:rPr>
                <w:rFonts w:ascii="Times New Roman" w:eastAsia="Times New Roman" w:hAnsi="Times New Roman"/>
                <w:color w:val="000000" w:themeColor="text1"/>
                <w:sz w:val="20"/>
                <w:szCs w:val="20"/>
                <w:lang w:val="ro-RO"/>
              </w:rPr>
              <w:t>e-Registrului</w:t>
            </w:r>
            <w:proofErr w:type="spellEnd"/>
            <w:r w:rsidRPr="00B3556A">
              <w:rPr>
                <w:rFonts w:ascii="Times New Roman" w:eastAsia="Times New Roman" w:hAnsi="Times New Roman"/>
                <w:color w:val="000000" w:themeColor="text1"/>
                <w:sz w:val="20"/>
                <w:szCs w:val="20"/>
                <w:lang w:val="ro-RO"/>
              </w:rPr>
              <w:t xml:space="preserve"> de Stat al Controalelor, creat cu implicarea esenţială a IFC.</w:t>
            </w:r>
          </w:p>
          <w:p w:rsidR="00B3556A" w:rsidRDefault="00B3556A" w:rsidP="00B3556A">
            <w:pPr>
              <w:pStyle w:val="Listparagraf"/>
              <w:numPr>
                <w:ilvl w:val="0"/>
                <w:numId w:val="26"/>
              </w:numPr>
              <w:spacing w:after="0" w:line="240" w:lineRule="auto"/>
              <w:jc w:val="both"/>
              <w:rPr>
                <w:rFonts w:ascii="Times New Roman" w:eastAsia="Times New Roman" w:hAnsi="Times New Roman"/>
                <w:color w:val="000000" w:themeColor="text1"/>
                <w:sz w:val="20"/>
                <w:szCs w:val="20"/>
                <w:lang w:val="ro-RO"/>
              </w:rPr>
            </w:pPr>
            <w:r>
              <w:rPr>
                <w:rFonts w:ascii="Times New Roman" w:eastAsia="Times New Roman" w:hAnsi="Times New Roman"/>
                <w:color w:val="000000" w:themeColor="text1"/>
                <w:sz w:val="20"/>
                <w:szCs w:val="20"/>
                <w:lang w:val="ro-RO"/>
              </w:rPr>
              <w:t>Împreună cu Ministerul J</w:t>
            </w:r>
            <w:r w:rsidRPr="00B3556A">
              <w:rPr>
                <w:rFonts w:ascii="Times New Roman" w:eastAsia="Times New Roman" w:hAnsi="Times New Roman"/>
                <w:color w:val="000000" w:themeColor="text1"/>
                <w:sz w:val="20"/>
                <w:szCs w:val="20"/>
                <w:lang w:val="ro-RO"/>
              </w:rPr>
              <w:t>ustiţiei, s-a oferit asistenţă Parlamentului privind finalizarea Legii cu privire la practicienii autorizaţi în insolvenţă, care completează Legea insolvenţei. Proiectul a fost adoptat de către Parlament în iulie 2014.</w:t>
            </w:r>
          </w:p>
          <w:p w:rsidR="00B3556A" w:rsidRDefault="00B3556A" w:rsidP="00B3556A">
            <w:pPr>
              <w:pStyle w:val="Listparagraf"/>
              <w:numPr>
                <w:ilvl w:val="0"/>
                <w:numId w:val="26"/>
              </w:numPr>
              <w:spacing w:after="0" w:line="240" w:lineRule="auto"/>
              <w:jc w:val="both"/>
              <w:rPr>
                <w:rFonts w:ascii="Times New Roman" w:eastAsia="Times New Roman" w:hAnsi="Times New Roman"/>
                <w:color w:val="000000" w:themeColor="text1"/>
                <w:sz w:val="20"/>
                <w:szCs w:val="20"/>
                <w:lang w:val="ro-RO"/>
              </w:rPr>
            </w:pPr>
            <w:r w:rsidRPr="00B3556A">
              <w:rPr>
                <w:rFonts w:ascii="Times New Roman" w:eastAsia="Times New Roman" w:hAnsi="Times New Roman"/>
                <w:color w:val="000000" w:themeColor="text1"/>
                <w:sz w:val="20"/>
                <w:szCs w:val="20"/>
                <w:lang w:val="ro-RO"/>
              </w:rPr>
              <w:t xml:space="preserve">Continuarea alinierii legislaţiei conexe siguranţei alimentare, ceea ce </w:t>
            </w:r>
            <w:r w:rsidRPr="00B3556A">
              <w:rPr>
                <w:rFonts w:ascii="Times New Roman" w:eastAsia="Times New Roman" w:hAnsi="Times New Roman"/>
                <w:color w:val="000000" w:themeColor="text1"/>
                <w:sz w:val="20"/>
                <w:szCs w:val="20"/>
                <w:lang w:val="ro-RO"/>
              </w:rPr>
              <w:lastRenderedPageBreak/>
              <w:t xml:space="preserve">duce la conformarea voluntară şi evaluarea riscurilor în cadrul controalelor. De comun cu alţi parteneri de dezvoltare a Guvernului, în special BM şi UE, IFC a continuat promovarea şi aplicarea alternativelor reglementărilor clasice, privind siguranţa alimentelor. </w:t>
            </w:r>
          </w:p>
          <w:p w:rsidR="00B3556A" w:rsidRDefault="00B3556A" w:rsidP="00B3556A">
            <w:pPr>
              <w:pStyle w:val="Listparagraf"/>
              <w:numPr>
                <w:ilvl w:val="0"/>
                <w:numId w:val="26"/>
              </w:numPr>
              <w:spacing w:after="0" w:line="240" w:lineRule="auto"/>
              <w:jc w:val="both"/>
              <w:rPr>
                <w:rFonts w:ascii="Times New Roman" w:eastAsia="Times New Roman" w:hAnsi="Times New Roman"/>
                <w:color w:val="000000" w:themeColor="text1"/>
                <w:sz w:val="20"/>
                <w:szCs w:val="20"/>
                <w:lang w:val="ro-RO"/>
              </w:rPr>
            </w:pPr>
            <w:r w:rsidRPr="00B3556A">
              <w:rPr>
                <w:rFonts w:ascii="Times New Roman" w:eastAsia="Times New Roman" w:hAnsi="Times New Roman"/>
                <w:color w:val="000000" w:themeColor="text1"/>
                <w:sz w:val="20"/>
                <w:szCs w:val="20"/>
                <w:lang w:val="ro-RO"/>
              </w:rPr>
              <w:t xml:space="preserve">A fost finalizată evaluarea necesităţilor  (legale, instituţionale şi TIC) a Agenţiei Naţionale pentru Siguranţa Alimentelor, </w:t>
            </w:r>
            <w:proofErr w:type="spellStart"/>
            <w:r w:rsidRPr="00B3556A">
              <w:rPr>
                <w:rFonts w:ascii="Times New Roman" w:eastAsia="Times New Roman" w:hAnsi="Times New Roman"/>
                <w:color w:val="000000" w:themeColor="text1"/>
                <w:sz w:val="20"/>
                <w:szCs w:val="20"/>
                <w:lang w:val="ro-RO"/>
              </w:rPr>
              <w:t>avînd</w:t>
            </w:r>
            <w:proofErr w:type="spellEnd"/>
            <w:r w:rsidRPr="00B3556A">
              <w:rPr>
                <w:rFonts w:ascii="Times New Roman" w:eastAsia="Times New Roman" w:hAnsi="Times New Roman"/>
                <w:color w:val="000000" w:themeColor="text1"/>
                <w:sz w:val="20"/>
                <w:szCs w:val="20"/>
                <w:lang w:val="ro-RO"/>
              </w:rPr>
              <w:t xml:space="preserve"> următoarele rezultate: proiectul modificărilor actelor legislative şi Termenii de Referinţă pentru sistemul de management al informaţiilor privind siguranţa alimentelor, care urmează să fie elaborat de către Centrul de Guvernarea Electronică cu finanţarea BM. În baza acestora au fost propuse 60 de modificări la acte legislative şi 67 de modificări la </w:t>
            </w:r>
            <w:proofErr w:type="spellStart"/>
            <w:r w:rsidRPr="00B3556A">
              <w:rPr>
                <w:rFonts w:ascii="Times New Roman" w:eastAsia="Times New Roman" w:hAnsi="Times New Roman"/>
                <w:color w:val="000000" w:themeColor="text1"/>
                <w:sz w:val="20"/>
                <w:szCs w:val="20"/>
                <w:lang w:val="ro-RO"/>
              </w:rPr>
              <w:t>hotărîrile</w:t>
            </w:r>
            <w:proofErr w:type="spellEnd"/>
            <w:r w:rsidRPr="00B3556A">
              <w:rPr>
                <w:rFonts w:ascii="Times New Roman" w:eastAsia="Times New Roman" w:hAnsi="Times New Roman"/>
                <w:color w:val="000000" w:themeColor="text1"/>
                <w:sz w:val="20"/>
                <w:szCs w:val="20"/>
                <w:lang w:val="ro-RO"/>
              </w:rPr>
              <w:t xml:space="preserve"> Guvernului.</w:t>
            </w:r>
          </w:p>
          <w:p w:rsidR="00B3556A" w:rsidRDefault="00B3556A" w:rsidP="00B3556A">
            <w:pPr>
              <w:pStyle w:val="Listparagraf"/>
              <w:numPr>
                <w:ilvl w:val="0"/>
                <w:numId w:val="26"/>
              </w:numPr>
              <w:spacing w:after="0" w:line="240" w:lineRule="auto"/>
              <w:jc w:val="both"/>
              <w:rPr>
                <w:rFonts w:ascii="Times New Roman" w:eastAsia="Times New Roman" w:hAnsi="Times New Roman"/>
                <w:color w:val="000000" w:themeColor="text1"/>
                <w:sz w:val="20"/>
                <w:szCs w:val="20"/>
                <w:lang w:val="ro-RO"/>
              </w:rPr>
            </w:pPr>
            <w:r w:rsidRPr="00B3556A">
              <w:rPr>
                <w:rFonts w:ascii="Times New Roman" w:eastAsia="Times New Roman" w:hAnsi="Times New Roman"/>
                <w:color w:val="000000" w:themeColor="text1"/>
                <w:sz w:val="20"/>
                <w:szCs w:val="20"/>
                <w:lang w:val="ro-RO"/>
              </w:rPr>
              <w:t xml:space="preserve">Sub egida campaniei generale de informare publică a DCFTA, au fost organizate 27 de instruiri privind aspectele tehnice legate de ZLSAC pe întreg teritoriul ţării, inclusiv Transnistria, </w:t>
            </w:r>
            <w:proofErr w:type="spellStart"/>
            <w:r w:rsidRPr="00B3556A">
              <w:rPr>
                <w:rFonts w:ascii="Times New Roman" w:eastAsia="Times New Roman" w:hAnsi="Times New Roman"/>
                <w:color w:val="000000" w:themeColor="text1"/>
                <w:sz w:val="20"/>
                <w:szCs w:val="20"/>
                <w:lang w:val="ro-RO"/>
              </w:rPr>
              <w:t>avînd</w:t>
            </w:r>
            <w:proofErr w:type="spellEnd"/>
            <w:r w:rsidRPr="00B3556A">
              <w:rPr>
                <w:rFonts w:ascii="Times New Roman" w:eastAsia="Times New Roman" w:hAnsi="Times New Roman"/>
                <w:color w:val="000000" w:themeColor="text1"/>
                <w:sz w:val="20"/>
                <w:szCs w:val="20"/>
                <w:lang w:val="ro-RO"/>
              </w:rPr>
              <w:t xml:space="preserve"> 679 de participanţi.</w:t>
            </w:r>
          </w:p>
          <w:p w:rsidR="00B3556A" w:rsidRDefault="00B3556A" w:rsidP="00B3556A">
            <w:pPr>
              <w:pStyle w:val="Listparagraf"/>
              <w:numPr>
                <w:ilvl w:val="0"/>
                <w:numId w:val="26"/>
              </w:numPr>
              <w:spacing w:after="0" w:line="240" w:lineRule="auto"/>
              <w:jc w:val="both"/>
              <w:rPr>
                <w:rFonts w:ascii="Times New Roman" w:eastAsia="Times New Roman" w:hAnsi="Times New Roman"/>
                <w:color w:val="000000" w:themeColor="text1"/>
                <w:sz w:val="20"/>
                <w:szCs w:val="20"/>
                <w:lang w:val="ro-RO"/>
              </w:rPr>
            </w:pPr>
            <w:r w:rsidRPr="00B3556A">
              <w:rPr>
                <w:rFonts w:ascii="Times New Roman" w:eastAsia="Times New Roman" w:hAnsi="Times New Roman"/>
                <w:color w:val="000000" w:themeColor="text1"/>
                <w:sz w:val="20"/>
                <w:szCs w:val="20"/>
                <w:lang w:val="ro-RO"/>
              </w:rPr>
              <w:t>Au fost depuse eforturi comunice cu Banca Mondială (cu contribuția UE) în dezvoltarea Strategiei de Agricultură şi Dezvoltare Rurală 2014-2020.</w:t>
            </w:r>
          </w:p>
          <w:p w:rsidR="00B3556A" w:rsidRPr="00B3556A" w:rsidRDefault="00B3556A" w:rsidP="00B3556A">
            <w:pPr>
              <w:pStyle w:val="Listparagraf"/>
              <w:numPr>
                <w:ilvl w:val="0"/>
                <w:numId w:val="26"/>
              </w:numPr>
              <w:spacing w:after="0" w:line="240" w:lineRule="auto"/>
              <w:jc w:val="both"/>
              <w:rPr>
                <w:rFonts w:ascii="Times New Roman" w:eastAsia="Times New Roman" w:hAnsi="Times New Roman"/>
                <w:color w:val="000000" w:themeColor="text1"/>
                <w:sz w:val="20"/>
                <w:szCs w:val="20"/>
                <w:lang w:val="ro-RO"/>
              </w:rPr>
            </w:pPr>
            <w:r w:rsidRPr="00B3556A">
              <w:rPr>
                <w:rFonts w:ascii="Times New Roman" w:eastAsia="Times New Roman" w:hAnsi="Times New Roman"/>
                <w:color w:val="000000" w:themeColor="text1"/>
                <w:sz w:val="20"/>
                <w:szCs w:val="20"/>
                <w:lang w:val="ro-RO"/>
              </w:rPr>
              <w:t>Împreună cu UNIDO s-a oferit asistenţa MIEPO în materie de parcuri industriale şi s-a contribuit la modificarea actelor legislative în vederea facilitării Investiţiilor Directe Străine. Proiectul a furnizat către UNIDO informaţiile locale în vederea dezvoltării unui proiecte de Asistenţă tehnică, şi oportunităţile potențiale pentru implicarea mai largă a IFC în cadrul activităţilor, de exemplu posibila oportunitate a investiţiilor directe străine în cogenerarea de energie.</w:t>
            </w:r>
          </w:p>
          <w:p w:rsidR="00B3556A" w:rsidRPr="00B3556A" w:rsidRDefault="00B3556A" w:rsidP="00B3556A">
            <w:pPr>
              <w:spacing w:after="0" w:line="240" w:lineRule="auto"/>
              <w:jc w:val="both"/>
              <w:rPr>
                <w:rFonts w:ascii="Times New Roman" w:eastAsia="Times New Roman" w:hAnsi="Times New Roman"/>
                <w:color w:val="000000" w:themeColor="text1"/>
                <w:sz w:val="20"/>
                <w:szCs w:val="20"/>
                <w:lang w:val="ro-RO"/>
              </w:rPr>
            </w:pPr>
          </w:p>
          <w:p w:rsidR="00B3556A" w:rsidRPr="00B3556A" w:rsidRDefault="00B3556A" w:rsidP="00B3556A">
            <w:pPr>
              <w:spacing w:after="0" w:line="240" w:lineRule="auto"/>
              <w:jc w:val="both"/>
              <w:rPr>
                <w:rFonts w:ascii="Times New Roman" w:eastAsia="Times New Roman" w:hAnsi="Times New Roman"/>
                <w:color w:val="000000" w:themeColor="text1"/>
                <w:sz w:val="20"/>
                <w:szCs w:val="20"/>
                <w:lang w:val="ro-RO"/>
              </w:rPr>
            </w:pPr>
            <w:r>
              <w:rPr>
                <w:rFonts w:ascii="Times New Roman" w:eastAsia="Times New Roman" w:hAnsi="Times New Roman"/>
                <w:i/>
                <w:color w:val="000000" w:themeColor="text1"/>
                <w:sz w:val="20"/>
                <w:szCs w:val="20"/>
                <w:u w:val="single"/>
                <w:lang w:val="ro-RO"/>
              </w:rPr>
              <w:t xml:space="preserve">Obiectivul </w:t>
            </w:r>
            <w:r w:rsidR="002957E5">
              <w:rPr>
                <w:rFonts w:ascii="Times New Roman" w:eastAsia="Times New Roman" w:hAnsi="Times New Roman"/>
                <w:i/>
                <w:color w:val="000000" w:themeColor="text1"/>
                <w:sz w:val="20"/>
                <w:szCs w:val="20"/>
                <w:u w:val="single"/>
                <w:lang w:val="ro-RO"/>
              </w:rPr>
              <w:t>1</w:t>
            </w:r>
            <w:r>
              <w:rPr>
                <w:rFonts w:ascii="Times New Roman" w:eastAsia="Times New Roman" w:hAnsi="Times New Roman"/>
                <w:color w:val="000000" w:themeColor="text1"/>
                <w:sz w:val="20"/>
                <w:szCs w:val="20"/>
                <w:lang w:val="ro-RO"/>
              </w:rPr>
              <w:t xml:space="preserve"> Optimizarea desfășurării afacerilor și lichidarea afacerii</w:t>
            </w:r>
          </w:p>
          <w:p w:rsidR="00B3556A" w:rsidRPr="00B3556A" w:rsidRDefault="00B3556A" w:rsidP="00B3556A">
            <w:pPr>
              <w:spacing w:after="0" w:line="240" w:lineRule="auto"/>
              <w:jc w:val="both"/>
              <w:rPr>
                <w:rFonts w:ascii="Times New Roman" w:eastAsia="Times New Roman" w:hAnsi="Times New Roman"/>
                <w:color w:val="000000" w:themeColor="text1"/>
                <w:sz w:val="20"/>
                <w:szCs w:val="20"/>
                <w:lang w:val="ro-RO"/>
              </w:rPr>
            </w:pPr>
            <w:r>
              <w:rPr>
                <w:rFonts w:ascii="Times New Roman" w:eastAsia="Times New Roman" w:hAnsi="Times New Roman"/>
                <w:color w:val="000000" w:themeColor="text1"/>
                <w:sz w:val="20"/>
                <w:szCs w:val="20"/>
                <w:lang w:val="ro-RO"/>
              </w:rPr>
              <w:t>-</w:t>
            </w:r>
            <w:r w:rsidRPr="00B3556A">
              <w:rPr>
                <w:rFonts w:ascii="Times New Roman" w:eastAsia="Times New Roman" w:hAnsi="Times New Roman"/>
                <w:color w:val="000000" w:themeColor="text1"/>
                <w:sz w:val="20"/>
                <w:szCs w:val="20"/>
                <w:lang w:val="ro-RO"/>
              </w:rPr>
              <w:t>A contribuit la procesul de elaborarea şi/sau s-a oferit comentarii pe marginea a 29 de acte legislative.</w:t>
            </w:r>
          </w:p>
          <w:p w:rsidR="00B3556A" w:rsidRPr="00B3556A" w:rsidRDefault="00B3556A" w:rsidP="00B3556A">
            <w:pPr>
              <w:spacing w:after="0" w:line="240" w:lineRule="auto"/>
              <w:jc w:val="both"/>
              <w:rPr>
                <w:rFonts w:ascii="Times New Roman" w:eastAsia="Times New Roman" w:hAnsi="Times New Roman"/>
                <w:color w:val="000000" w:themeColor="text1"/>
                <w:sz w:val="20"/>
                <w:szCs w:val="20"/>
                <w:lang w:val="ro-RO"/>
              </w:rPr>
            </w:pPr>
            <w:r>
              <w:rPr>
                <w:rFonts w:ascii="Times New Roman" w:eastAsia="Times New Roman" w:hAnsi="Times New Roman"/>
                <w:color w:val="000000" w:themeColor="text1"/>
                <w:sz w:val="20"/>
                <w:szCs w:val="20"/>
                <w:lang w:val="ro-RO"/>
              </w:rPr>
              <w:t>-</w:t>
            </w:r>
            <w:r w:rsidRPr="00B3556A">
              <w:rPr>
                <w:rFonts w:ascii="Times New Roman" w:eastAsia="Times New Roman" w:hAnsi="Times New Roman"/>
                <w:color w:val="000000" w:themeColor="text1"/>
                <w:sz w:val="20"/>
                <w:szCs w:val="20"/>
                <w:lang w:val="ro-RO"/>
              </w:rPr>
              <w:t xml:space="preserve">25 de acte </w:t>
            </w:r>
            <w:r>
              <w:rPr>
                <w:rFonts w:ascii="Times New Roman" w:eastAsia="Times New Roman" w:hAnsi="Times New Roman"/>
                <w:color w:val="000000" w:themeColor="text1"/>
                <w:sz w:val="20"/>
                <w:szCs w:val="20"/>
                <w:lang w:val="ro-RO"/>
              </w:rPr>
              <w:t>normative</w:t>
            </w:r>
            <w:r w:rsidRPr="00B3556A">
              <w:rPr>
                <w:rFonts w:ascii="Times New Roman" w:eastAsia="Times New Roman" w:hAnsi="Times New Roman"/>
                <w:color w:val="000000" w:themeColor="text1"/>
                <w:sz w:val="20"/>
                <w:szCs w:val="20"/>
                <w:lang w:val="ro-RO"/>
              </w:rPr>
              <w:t xml:space="preserve"> adoptate</w:t>
            </w:r>
          </w:p>
          <w:p w:rsidR="00B3556A" w:rsidRPr="00B3556A" w:rsidRDefault="00B3556A" w:rsidP="00B3556A">
            <w:pPr>
              <w:spacing w:after="0" w:line="240" w:lineRule="auto"/>
              <w:jc w:val="both"/>
              <w:rPr>
                <w:rFonts w:ascii="Times New Roman" w:eastAsia="Times New Roman" w:hAnsi="Times New Roman"/>
                <w:color w:val="000000" w:themeColor="text1"/>
                <w:sz w:val="20"/>
                <w:szCs w:val="20"/>
                <w:lang w:val="ro-RO"/>
              </w:rPr>
            </w:pPr>
            <w:proofErr w:type="spellStart"/>
            <w:r>
              <w:rPr>
                <w:rFonts w:ascii="Times New Roman" w:eastAsia="Times New Roman" w:hAnsi="Times New Roman"/>
                <w:color w:val="000000" w:themeColor="text1"/>
                <w:sz w:val="20"/>
                <w:szCs w:val="20"/>
                <w:lang w:val="ro-RO"/>
              </w:rPr>
              <w:t>-</w:t>
            </w:r>
            <w:r w:rsidRPr="00B3556A">
              <w:rPr>
                <w:rFonts w:ascii="Times New Roman" w:eastAsia="Times New Roman" w:hAnsi="Times New Roman"/>
                <w:color w:val="000000" w:themeColor="text1"/>
                <w:sz w:val="20"/>
                <w:szCs w:val="20"/>
                <w:lang w:val="ro-RO"/>
              </w:rPr>
              <w:t>Organizate</w:t>
            </w:r>
            <w:proofErr w:type="spellEnd"/>
            <w:r w:rsidRPr="00B3556A">
              <w:rPr>
                <w:rFonts w:ascii="Times New Roman" w:eastAsia="Times New Roman" w:hAnsi="Times New Roman"/>
                <w:color w:val="000000" w:themeColor="text1"/>
                <w:sz w:val="20"/>
                <w:szCs w:val="20"/>
                <w:lang w:val="ro-RO"/>
              </w:rPr>
              <w:t xml:space="preserve"> 16 </w:t>
            </w:r>
            <w:r>
              <w:rPr>
                <w:rFonts w:ascii="Times New Roman" w:eastAsia="Times New Roman" w:hAnsi="Times New Roman"/>
                <w:color w:val="000000" w:themeColor="text1"/>
                <w:sz w:val="20"/>
                <w:szCs w:val="20"/>
                <w:lang w:val="ro-RO"/>
              </w:rPr>
              <w:t>evenimente/instruiri/seminare (1278 de persoane, 562 de femei)</w:t>
            </w:r>
          </w:p>
          <w:p w:rsidR="00B3556A" w:rsidRPr="00B3556A" w:rsidRDefault="00B3556A" w:rsidP="008C74CA">
            <w:pPr>
              <w:spacing w:after="0" w:line="240" w:lineRule="auto"/>
              <w:jc w:val="both"/>
              <w:rPr>
                <w:rFonts w:ascii="Times New Roman" w:eastAsia="Times New Roman" w:hAnsi="Times New Roman"/>
                <w:color w:val="000000" w:themeColor="text1"/>
                <w:sz w:val="20"/>
                <w:szCs w:val="20"/>
                <w:lang w:val="ro-RO"/>
              </w:rPr>
            </w:pPr>
          </w:p>
          <w:p w:rsidR="008C74CA" w:rsidRPr="008C74CA" w:rsidRDefault="008C74CA" w:rsidP="008C74CA">
            <w:pPr>
              <w:spacing w:after="0" w:line="240" w:lineRule="auto"/>
              <w:jc w:val="both"/>
              <w:rPr>
                <w:rFonts w:ascii="Times New Roman" w:eastAsia="Times New Roman" w:hAnsi="Times New Roman"/>
                <w:color w:val="000000" w:themeColor="text1"/>
                <w:sz w:val="20"/>
                <w:szCs w:val="20"/>
                <w:lang w:val="ro-RO"/>
              </w:rPr>
            </w:pPr>
            <w:r>
              <w:rPr>
                <w:rFonts w:ascii="Times New Roman" w:eastAsia="Times New Roman" w:hAnsi="Times New Roman"/>
                <w:i/>
                <w:color w:val="000000" w:themeColor="text1"/>
                <w:sz w:val="20"/>
                <w:szCs w:val="20"/>
                <w:u w:val="single"/>
                <w:lang w:val="ro-RO"/>
              </w:rPr>
              <w:t>Obiectivul 2</w:t>
            </w:r>
            <w:r>
              <w:rPr>
                <w:rFonts w:ascii="Times New Roman" w:eastAsia="Times New Roman" w:hAnsi="Times New Roman"/>
                <w:color w:val="000000" w:themeColor="text1"/>
                <w:sz w:val="20"/>
                <w:szCs w:val="20"/>
                <w:lang w:val="ro-RO"/>
              </w:rPr>
              <w:t xml:space="preserve"> Optimizarea Reglementării </w:t>
            </w:r>
            <w:proofErr w:type="spellStart"/>
            <w:r>
              <w:rPr>
                <w:rFonts w:ascii="Times New Roman" w:eastAsia="Times New Roman" w:hAnsi="Times New Roman"/>
                <w:color w:val="000000" w:themeColor="text1"/>
                <w:sz w:val="20"/>
                <w:szCs w:val="20"/>
                <w:lang w:val="ro-RO"/>
              </w:rPr>
              <w:t>Agribusiness</w:t>
            </w:r>
            <w:proofErr w:type="spellEnd"/>
          </w:p>
          <w:p w:rsidR="008C74CA" w:rsidRPr="009B4C94" w:rsidRDefault="008C74CA" w:rsidP="008C74CA">
            <w:pPr>
              <w:spacing w:after="0" w:line="240" w:lineRule="auto"/>
              <w:jc w:val="both"/>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ro-RO"/>
              </w:rPr>
              <w:t>-</w:t>
            </w:r>
            <w:r w:rsidRPr="008C74CA">
              <w:rPr>
                <w:rFonts w:ascii="Times New Roman" w:eastAsia="Times New Roman" w:hAnsi="Times New Roman"/>
                <w:color w:val="000000" w:themeColor="text1"/>
                <w:sz w:val="20"/>
                <w:szCs w:val="20"/>
                <w:lang w:val="ro-RO"/>
              </w:rPr>
              <w:t xml:space="preserve">A contribuit la procesul de elaborare și / sau a oferit comentarii la 142 de acte </w:t>
            </w:r>
            <w:r>
              <w:rPr>
                <w:rFonts w:ascii="Times New Roman" w:eastAsia="Times New Roman" w:hAnsi="Times New Roman"/>
                <w:color w:val="000000" w:themeColor="text1"/>
                <w:sz w:val="20"/>
                <w:szCs w:val="20"/>
                <w:lang w:val="ro-RO"/>
              </w:rPr>
              <w:t>normative</w:t>
            </w:r>
            <w:r w:rsidR="009B4C94">
              <w:rPr>
                <w:rFonts w:ascii="Times New Roman" w:eastAsia="Times New Roman" w:hAnsi="Times New Roman"/>
                <w:color w:val="000000" w:themeColor="text1"/>
                <w:sz w:val="20"/>
                <w:szCs w:val="20"/>
                <w:lang w:val="en-US"/>
              </w:rPr>
              <w:t>;</w:t>
            </w:r>
          </w:p>
          <w:p w:rsidR="008C74CA" w:rsidRPr="008C74CA" w:rsidRDefault="008C74CA" w:rsidP="008C74CA">
            <w:pPr>
              <w:spacing w:after="0" w:line="240" w:lineRule="auto"/>
              <w:jc w:val="both"/>
              <w:rPr>
                <w:rFonts w:ascii="Times New Roman" w:eastAsia="Times New Roman" w:hAnsi="Times New Roman"/>
                <w:color w:val="000000" w:themeColor="text1"/>
                <w:sz w:val="20"/>
                <w:szCs w:val="20"/>
                <w:lang w:val="ro-RO"/>
              </w:rPr>
            </w:pPr>
            <w:r>
              <w:rPr>
                <w:rFonts w:ascii="Times New Roman" w:eastAsia="Times New Roman" w:hAnsi="Times New Roman"/>
                <w:color w:val="000000" w:themeColor="text1"/>
                <w:sz w:val="20"/>
                <w:szCs w:val="20"/>
                <w:lang w:val="ro-RO"/>
              </w:rPr>
              <w:t xml:space="preserve">- </w:t>
            </w:r>
            <w:r w:rsidRPr="008C74CA">
              <w:rPr>
                <w:rFonts w:ascii="Times New Roman" w:eastAsia="Times New Roman" w:hAnsi="Times New Roman"/>
                <w:color w:val="000000" w:themeColor="text1"/>
                <w:sz w:val="20"/>
                <w:szCs w:val="20"/>
                <w:lang w:val="ro-RO"/>
              </w:rPr>
              <w:t xml:space="preserve">15 </w:t>
            </w:r>
            <w:r>
              <w:rPr>
                <w:rFonts w:ascii="Times New Roman" w:eastAsia="Times New Roman" w:hAnsi="Times New Roman"/>
                <w:color w:val="000000" w:themeColor="text1"/>
                <w:sz w:val="20"/>
                <w:szCs w:val="20"/>
                <w:lang w:val="ro-RO"/>
              </w:rPr>
              <w:t>acte normative adoptate</w:t>
            </w:r>
            <w:r w:rsidR="009B4C94">
              <w:rPr>
                <w:rFonts w:ascii="Times New Roman" w:eastAsia="Times New Roman" w:hAnsi="Times New Roman"/>
                <w:color w:val="000000" w:themeColor="text1"/>
                <w:sz w:val="20"/>
                <w:szCs w:val="20"/>
                <w:lang w:val="ro-RO"/>
              </w:rPr>
              <w:t>;</w:t>
            </w:r>
          </w:p>
          <w:p w:rsidR="008C74CA" w:rsidRPr="008C74CA" w:rsidRDefault="008C74CA" w:rsidP="008C74CA">
            <w:pPr>
              <w:spacing w:after="0" w:line="240" w:lineRule="auto"/>
              <w:jc w:val="both"/>
              <w:rPr>
                <w:rFonts w:ascii="Times New Roman" w:eastAsia="Times New Roman" w:hAnsi="Times New Roman"/>
                <w:color w:val="000000" w:themeColor="text1"/>
                <w:sz w:val="20"/>
                <w:szCs w:val="20"/>
                <w:lang w:val="ro-RO"/>
              </w:rPr>
            </w:pPr>
            <w:r>
              <w:rPr>
                <w:rFonts w:ascii="Times New Roman" w:eastAsia="Times New Roman" w:hAnsi="Times New Roman"/>
                <w:color w:val="000000" w:themeColor="text1"/>
                <w:sz w:val="20"/>
                <w:szCs w:val="20"/>
                <w:lang w:val="ro-RO"/>
              </w:rPr>
              <w:t xml:space="preserve">- </w:t>
            </w:r>
            <w:r w:rsidRPr="008C74CA">
              <w:rPr>
                <w:rFonts w:ascii="Times New Roman" w:eastAsia="Times New Roman" w:hAnsi="Times New Roman"/>
                <w:color w:val="000000" w:themeColor="text1"/>
                <w:sz w:val="20"/>
                <w:szCs w:val="20"/>
                <w:lang w:val="ro-RO"/>
              </w:rPr>
              <w:t xml:space="preserve">29 de evenimente / </w:t>
            </w:r>
            <w:proofErr w:type="spellStart"/>
            <w:r w:rsidRPr="008C74CA">
              <w:rPr>
                <w:rFonts w:ascii="Times New Roman" w:eastAsia="Times New Roman" w:hAnsi="Times New Roman"/>
                <w:color w:val="000000" w:themeColor="text1"/>
                <w:sz w:val="20"/>
                <w:szCs w:val="20"/>
                <w:lang w:val="ro-RO"/>
              </w:rPr>
              <w:t>tra</w:t>
            </w:r>
            <w:r>
              <w:rPr>
                <w:rFonts w:ascii="Times New Roman" w:eastAsia="Times New Roman" w:hAnsi="Times New Roman"/>
                <w:color w:val="000000" w:themeColor="text1"/>
                <w:sz w:val="20"/>
                <w:szCs w:val="20"/>
                <w:lang w:val="ro-RO"/>
              </w:rPr>
              <w:t>ininguri</w:t>
            </w:r>
            <w:proofErr w:type="spellEnd"/>
            <w:r>
              <w:rPr>
                <w:rFonts w:ascii="Times New Roman" w:eastAsia="Times New Roman" w:hAnsi="Times New Roman"/>
                <w:color w:val="000000" w:themeColor="text1"/>
                <w:sz w:val="20"/>
                <w:szCs w:val="20"/>
                <w:lang w:val="ro-RO"/>
              </w:rPr>
              <w:t xml:space="preserve"> / seminarii organizate (</w:t>
            </w:r>
            <w:r w:rsidRPr="008C74CA">
              <w:rPr>
                <w:rFonts w:ascii="Times New Roman" w:eastAsia="Times New Roman" w:hAnsi="Times New Roman"/>
                <w:color w:val="000000" w:themeColor="text1"/>
                <w:sz w:val="20"/>
                <w:szCs w:val="20"/>
                <w:lang w:val="ro-RO"/>
              </w:rPr>
              <w:t>699 de participanți</w:t>
            </w:r>
            <w:r>
              <w:rPr>
                <w:rFonts w:ascii="Times New Roman" w:eastAsia="Times New Roman" w:hAnsi="Times New Roman"/>
                <w:color w:val="000000" w:themeColor="text1"/>
                <w:sz w:val="20"/>
                <w:szCs w:val="20"/>
                <w:lang w:val="ro-RO"/>
              </w:rPr>
              <w:t>, dintre care</w:t>
            </w:r>
            <w:r w:rsidRPr="008C74CA">
              <w:rPr>
                <w:rFonts w:ascii="Times New Roman" w:eastAsia="Times New Roman" w:hAnsi="Times New Roman"/>
                <w:color w:val="000000" w:themeColor="text1"/>
                <w:sz w:val="20"/>
                <w:szCs w:val="20"/>
                <w:lang w:val="ro-RO"/>
              </w:rPr>
              <w:t xml:space="preserve"> 239 de femei participanți</w:t>
            </w:r>
            <w:r>
              <w:rPr>
                <w:rFonts w:ascii="Times New Roman" w:eastAsia="Times New Roman" w:hAnsi="Times New Roman"/>
                <w:color w:val="000000" w:themeColor="text1"/>
                <w:sz w:val="20"/>
                <w:szCs w:val="20"/>
                <w:lang w:val="ro-RO"/>
              </w:rPr>
              <w:t>)</w:t>
            </w:r>
            <w:r w:rsidR="009B4C94">
              <w:rPr>
                <w:rFonts w:ascii="Times New Roman" w:eastAsia="Times New Roman" w:hAnsi="Times New Roman"/>
                <w:color w:val="000000" w:themeColor="text1"/>
                <w:sz w:val="20"/>
                <w:szCs w:val="20"/>
                <w:lang w:val="ro-RO"/>
              </w:rPr>
              <w:t>;</w:t>
            </w:r>
          </w:p>
          <w:p w:rsidR="008C74CA" w:rsidRDefault="008C74CA" w:rsidP="008C74CA">
            <w:pPr>
              <w:spacing w:after="0" w:line="240" w:lineRule="auto"/>
              <w:jc w:val="both"/>
              <w:rPr>
                <w:rFonts w:ascii="Times New Roman" w:eastAsia="Times New Roman" w:hAnsi="Times New Roman"/>
                <w:color w:val="000000" w:themeColor="text1"/>
                <w:sz w:val="20"/>
                <w:szCs w:val="20"/>
                <w:lang w:val="ro-RO"/>
              </w:rPr>
            </w:pPr>
            <w:r w:rsidRPr="008C74CA">
              <w:rPr>
                <w:rFonts w:ascii="Times New Roman" w:eastAsia="Times New Roman" w:hAnsi="Times New Roman"/>
                <w:i/>
                <w:color w:val="000000" w:themeColor="text1"/>
                <w:sz w:val="20"/>
                <w:szCs w:val="20"/>
                <w:u w:val="single"/>
                <w:lang w:val="ro-RO"/>
              </w:rPr>
              <w:lastRenderedPageBreak/>
              <w:t>Obiectivul 3</w:t>
            </w:r>
            <w:r w:rsidRPr="008C74CA">
              <w:rPr>
                <w:rFonts w:ascii="Times New Roman" w:eastAsia="Times New Roman" w:hAnsi="Times New Roman"/>
                <w:color w:val="000000" w:themeColor="text1"/>
                <w:sz w:val="20"/>
                <w:szCs w:val="20"/>
                <w:lang w:val="ro-RO"/>
              </w:rPr>
              <w:t xml:space="preserve"> </w:t>
            </w:r>
            <w:r>
              <w:rPr>
                <w:rFonts w:ascii="Times New Roman" w:eastAsia="Times New Roman" w:hAnsi="Times New Roman"/>
                <w:color w:val="000000" w:themeColor="text1"/>
                <w:sz w:val="20"/>
                <w:szCs w:val="20"/>
                <w:lang w:val="ro-RO"/>
              </w:rPr>
              <w:t>Promovare</w:t>
            </w:r>
            <w:r w:rsidRPr="008C74CA">
              <w:rPr>
                <w:rFonts w:ascii="Times New Roman" w:eastAsia="Times New Roman" w:hAnsi="Times New Roman"/>
                <w:color w:val="000000" w:themeColor="text1"/>
                <w:sz w:val="20"/>
                <w:szCs w:val="20"/>
                <w:lang w:val="ro-RO"/>
              </w:rPr>
              <w:t>a Investițiilor</w:t>
            </w:r>
            <w:r>
              <w:rPr>
                <w:rFonts w:ascii="Times New Roman" w:eastAsia="Times New Roman" w:hAnsi="Times New Roman"/>
                <w:color w:val="000000" w:themeColor="text1"/>
                <w:sz w:val="20"/>
                <w:szCs w:val="20"/>
                <w:lang w:val="ro-RO"/>
              </w:rPr>
              <w:t xml:space="preserve"> în </w:t>
            </w:r>
            <w:proofErr w:type="spellStart"/>
            <w:r>
              <w:rPr>
                <w:rFonts w:ascii="Times New Roman" w:eastAsia="Times New Roman" w:hAnsi="Times New Roman"/>
                <w:color w:val="000000" w:themeColor="text1"/>
                <w:sz w:val="20"/>
                <w:szCs w:val="20"/>
                <w:lang w:val="ro-RO"/>
              </w:rPr>
              <w:t>Agribusiness</w:t>
            </w:r>
            <w:proofErr w:type="spellEnd"/>
            <w:r>
              <w:rPr>
                <w:rFonts w:ascii="Times New Roman" w:eastAsia="Times New Roman" w:hAnsi="Times New Roman"/>
                <w:color w:val="000000" w:themeColor="text1"/>
                <w:sz w:val="20"/>
                <w:szCs w:val="20"/>
                <w:lang w:val="ro-RO"/>
              </w:rPr>
              <w:t>:</w:t>
            </w:r>
          </w:p>
          <w:p w:rsidR="008C74CA" w:rsidRPr="008C74CA" w:rsidRDefault="008C74CA" w:rsidP="008C74CA">
            <w:pPr>
              <w:spacing w:after="0" w:line="240" w:lineRule="auto"/>
              <w:jc w:val="both"/>
              <w:rPr>
                <w:rFonts w:ascii="Times New Roman" w:eastAsia="Times New Roman" w:hAnsi="Times New Roman"/>
                <w:color w:val="000000" w:themeColor="text1"/>
                <w:sz w:val="20"/>
                <w:szCs w:val="20"/>
                <w:lang w:val="ro-RO"/>
              </w:rPr>
            </w:pPr>
            <w:proofErr w:type="spellStart"/>
            <w:r>
              <w:rPr>
                <w:rFonts w:ascii="Times New Roman" w:eastAsia="Times New Roman" w:hAnsi="Times New Roman"/>
                <w:color w:val="000000" w:themeColor="text1"/>
                <w:sz w:val="20"/>
                <w:szCs w:val="20"/>
                <w:lang w:val="ro-RO"/>
              </w:rPr>
              <w:t>-</w:t>
            </w:r>
            <w:r w:rsidRPr="008C74CA">
              <w:rPr>
                <w:rFonts w:ascii="Times New Roman" w:eastAsia="Times New Roman" w:hAnsi="Times New Roman"/>
                <w:color w:val="000000" w:themeColor="text1"/>
                <w:sz w:val="20"/>
                <w:szCs w:val="20"/>
                <w:lang w:val="ro-RO"/>
              </w:rPr>
              <w:t>Au</w:t>
            </w:r>
            <w:proofErr w:type="spellEnd"/>
            <w:r w:rsidRPr="008C74CA">
              <w:rPr>
                <w:rFonts w:ascii="Times New Roman" w:eastAsia="Times New Roman" w:hAnsi="Times New Roman"/>
                <w:color w:val="000000" w:themeColor="text1"/>
                <w:sz w:val="20"/>
                <w:szCs w:val="20"/>
                <w:lang w:val="ro-RO"/>
              </w:rPr>
              <w:t xml:space="preserve"> fost adoptate 3 </w:t>
            </w:r>
            <w:r>
              <w:rPr>
                <w:rFonts w:ascii="Times New Roman" w:eastAsia="Times New Roman" w:hAnsi="Times New Roman"/>
                <w:color w:val="000000" w:themeColor="text1"/>
                <w:sz w:val="20"/>
                <w:szCs w:val="20"/>
                <w:lang w:val="ro-RO"/>
              </w:rPr>
              <w:t>acte normative</w:t>
            </w:r>
            <w:r w:rsidR="009B4C94">
              <w:rPr>
                <w:rFonts w:ascii="Times New Roman" w:eastAsia="Times New Roman" w:hAnsi="Times New Roman"/>
                <w:color w:val="000000" w:themeColor="text1"/>
                <w:sz w:val="20"/>
                <w:szCs w:val="20"/>
                <w:lang w:val="ro-RO"/>
              </w:rPr>
              <w:t>;</w:t>
            </w:r>
          </w:p>
          <w:p w:rsidR="008C74CA" w:rsidRPr="008C74CA" w:rsidRDefault="008C74CA" w:rsidP="008C74CA">
            <w:pPr>
              <w:spacing w:after="0" w:line="240" w:lineRule="auto"/>
              <w:jc w:val="both"/>
              <w:rPr>
                <w:rFonts w:ascii="Times New Roman" w:eastAsia="Times New Roman" w:hAnsi="Times New Roman"/>
                <w:color w:val="000000" w:themeColor="text1"/>
                <w:sz w:val="20"/>
                <w:szCs w:val="20"/>
                <w:lang w:val="ro-RO"/>
              </w:rPr>
            </w:pPr>
            <w:proofErr w:type="spellStart"/>
            <w:r>
              <w:rPr>
                <w:rFonts w:ascii="Times New Roman" w:eastAsia="Times New Roman" w:hAnsi="Times New Roman"/>
                <w:color w:val="000000" w:themeColor="text1"/>
                <w:sz w:val="20"/>
                <w:szCs w:val="20"/>
                <w:lang w:val="ro-RO"/>
              </w:rPr>
              <w:t>-Au</w:t>
            </w:r>
            <w:proofErr w:type="spellEnd"/>
            <w:r>
              <w:rPr>
                <w:rFonts w:ascii="Times New Roman" w:eastAsia="Times New Roman" w:hAnsi="Times New Roman"/>
                <w:color w:val="000000" w:themeColor="text1"/>
                <w:sz w:val="20"/>
                <w:szCs w:val="20"/>
                <w:lang w:val="ro-RO"/>
              </w:rPr>
              <w:t xml:space="preserve"> fost organizate </w:t>
            </w:r>
            <w:r w:rsidR="00B3556A">
              <w:rPr>
                <w:rFonts w:ascii="Times New Roman" w:eastAsia="Times New Roman" w:hAnsi="Times New Roman"/>
                <w:color w:val="000000" w:themeColor="text1"/>
                <w:sz w:val="20"/>
                <w:szCs w:val="20"/>
                <w:lang w:val="ro-RO"/>
              </w:rPr>
              <w:t>3 evenimente/</w:t>
            </w:r>
            <w:proofErr w:type="spellStart"/>
            <w:r w:rsidRPr="008C74CA">
              <w:rPr>
                <w:rFonts w:ascii="Times New Roman" w:eastAsia="Times New Roman" w:hAnsi="Times New Roman"/>
                <w:color w:val="000000" w:themeColor="text1"/>
                <w:sz w:val="20"/>
                <w:szCs w:val="20"/>
                <w:lang w:val="ro-RO"/>
              </w:rPr>
              <w:t>traini</w:t>
            </w:r>
            <w:r w:rsidR="00B3556A">
              <w:rPr>
                <w:rFonts w:ascii="Times New Roman" w:eastAsia="Times New Roman" w:hAnsi="Times New Roman"/>
                <w:color w:val="000000" w:themeColor="text1"/>
                <w:sz w:val="20"/>
                <w:szCs w:val="20"/>
                <w:lang w:val="ro-RO"/>
              </w:rPr>
              <w:t>nguri</w:t>
            </w:r>
            <w:proofErr w:type="spellEnd"/>
            <w:r w:rsidR="00B3556A">
              <w:rPr>
                <w:rFonts w:ascii="Times New Roman" w:eastAsia="Times New Roman" w:hAnsi="Times New Roman"/>
                <w:color w:val="000000" w:themeColor="text1"/>
                <w:sz w:val="20"/>
                <w:szCs w:val="20"/>
                <w:lang w:val="ro-RO"/>
              </w:rPr>
              <w:t>/</w:t>
            </w:r>
            <w:r w:rsidRPr="008C74CA">
              <w:rPr>
                <w:rFonts w:ascii="Times New Roman" w:eastAsia="Times New Roman" w:hAnsi="Times New Roman"/>
                <w:color w:val="000000" w:themeColor="text1"/>
                <w:sz w:val="20"/>
                <w:szCs w:val="20"/>
                <w:lang w:val="ro-RO"/>
              </w:rPr>
              <w:t xml:space="preserve">seminarii </w:t>
            </w:r>
            <w:r>
              <w:rPr>
                <w:rFonts w:ascii="Times New Roman" w:eastAsia="Times New Roman" w:hAnsi="Times New Roman"/>
                <w:color w:val="000000" w:themeColor="text1"/>
                <w:sz w:val="20"/>
                <w:szCs w:val="20"/>
                <w:lang w:val="ro-RO"/>
              </w:rPr>
              <w:t xml:space="preserve">(69 de participanți, </w:t>
            </w:r>
            <w:r w:rsidRPr="008C74CA">
              <w:rPr>
                <w:rFonts w:ascii="Times New Roman" w:eastAsia="Times New Roman" w:hAnsi="Times New Roman"/>
                <w:color w:val="000000" w:themeColor="text1"/>
                <w:sz w:val="20"/>
                <w:szCs w:val="20"/>
                <w:lang w:val="ro-RO"/>
              </w:rPr>
              <w:t>30 de femei de participanți</w:t>
            </w:r>
            <w:r>
              <w:rPr>
                <w:rFonts w:ascii="Times New Roman" w:eastAsia="Times New Roman" w:hAnsi="Times New Roman"/>
                <w:color w:val="000000" w:themeColor="text1"/>
                <w:sz w:val="20"/>
                <w:szCs w:val="20"/>
                <w:lang w:val="ro-RO"/>
              </w:rPr>
              <w:t>)</w:t>
            </w:r>
            <w:r w:rsidR="009B4C94">
              <w:rPr>
                <w:rFonts w:ascii="Times New Roman" w:eastAsia="Times New Roman" w:hAnsi="Times New Roman"/>
                <w:color w:val="000000" w:themeColor="text1"/>
                <w:sz w:val="20"/>
                <w:szCs w:val="20"/>
                <w:lang w:val="ro-RO"/>
              </w:rPr>
              <w:t>;</w:t>
            </w:r>
          </w:p>
        </w:tc>
      </w:tr>
      <w:tr w:rsidR="00F84AF2" w:rsidRPr="00C24162" w:rsidTr="00B76A72">
        <w:trPr>
          <w:trHeight w:val="3383"/>
        </w:trPr>
        <w:tc>
          <w:tcPr>
            <w:tcW w:w="2510" w:type="dxa"/>
            <w:gridSpan w:val="2"/>
            <w:vMerge/>
            <w:tcBorders>
              <w:left w:val="single" w:sz="4" w:space="0" w:color="auto"/>
              <w:bottom w:val="single" w:sz="4" w:space="0" w:color="auto"/>
              <w:right w:val="single" w:sz="4" w:space="0" w:color="auto"/>
            </w:tcBorders>
          </w:tcPr>
          <w:p w:rsidR="00F84AF2" w:rsidRPr="00C24162" w:rsidRDefault="00F84AF2">
            <w:pPr>
              <w:jc w:val="both"/>
              <w:rPr>
                <w:rFonts w:ascii="Times New Roman" w:eastAsia="Times New Roman" w:hAnsi="Times New Roman"/>
                <w:b/>
                <w:sz w:val="20"/>
                <w:szCs w:val="20"/>
                <w:lang w:val="ro-RO"/>
              </w:rPr>
            </w:pPr>
          </w:p>
        </w:tc>
        <w:tc>
          <w:tcPr>
            <w:tcW w:w="1559" w:type="dxa"/>
            <w:gridSpan w:val="5"/>
            <w:tcBorders>
              <w:left w:val="single" w:sz="4" w:space="0" w:color="auto"/>
              <w:bottom w:val="single" w:sz="4" w:space="0" w:color="auto"/>
              <w:right w:val="single" w:sz="4" w:space="0" w:color="auto"/>
            </w:tcBorders>
          </w:tcPr>
          <w:p w:rsidR="00F84AF2" w:rsidRPr="00C24162" w:rsidRDefault="00F84AF2" w:rsidP="00EE3D86">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Guvernul Japoniei</w:t>
            </w:r>
          </w:p>
        </w:tc>
        <w:tc>
          <w:tcPr>
            <w:tcW w:w="1001" w:type="dxa"/>
            <w:gridSpan w:val="4"/>
            <w:tcBorders>
              <w:left w:val="single" w:sz="4" w:space="0" w:color="auto"/>
              <w:bottom w:val="single" w:sz="4" w:space="0" w:color="auto"/>
              <w:right w:val="single" w:sz="4" w:space="0" w:color="auto"/>
            </w:tcBorders>
          </w:tcPr>
          <w:p w:rsidR="00F84AF2" w:rsidRPr="00C24162" w:rsidRDefault="00F84AF2" w:rsidP="00075E8B">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1</w:t>
            </w:r>
          </w:p>
        </w:tc>
        <w:tc>
          <w:tcPr>
            <w:tcW w:w="2409" w:type="dxa"/>
            <w:gridSpan w:val="4"/>
            <w:tcBorders>
              <w:left w:val="single" w:sz="4" w:space="0" w:color="auto"/>
              <w:bottom w:val="single" w:sz="4" w:space="0" w:color="auto"/>
              <w:right w:val="single" w:sz="4" w:space="0" w:color="auto"/>
            </w:tcBorders>
          </w:tcPr>
          <w:p w:rsidR="00F84AF2" w:rsidRPr="00C24162" w:rsidRDefault="00F84AF2" w:rsidP="00F84AF2">
            <w:pPr>
              <w:spacing w:after="0"/>
              <w:jc w:val="center"/>
              <w:rPr>
                <w:rFonts w:ascii="Times New Roman" w:eastAsia="Times New Roman" w:hAnsi="Times New Roman"/>
                <w:b/>
                <w:color w:val="000000" w:themeColor="text1"/>
                <w:sz w:val="20"/>
                <w:szCs w:val="20"/>
                <w:u w:val="single"/>
                <w:lang w:val="ro-RO"/>
              </w:rPr>
            </w:pPr>
            <w:r w:rsidRPr="00C24162">
              <w:rPr>
                <w:rFonts w:ascii="Times New Roman" w:eastAsia="Times New Roman" w:hAnsi="Times New Roman"/>
                <w:b/>
                <w:color w:val="000000" w:themeColor="text1"/>
                <w:sz w:val="20"/>
                <w:szCs w:val="20"/>
                <w:u w:val="single"/>
                <w:lang w:val="ro-RO"/>
              </w:rPr>
              <w:t>633 387 EUR</w:t>
            </w:r>
          </w:p>
          <w:p w:rsidR="00F84AF2" w:rsidRPr="00C24162" w:rsidRDefault="00F84AF2" w:rsidP="00D20CE4">
            <w:pPr>
              <w:spacing w:after="0"/>
              <w:jc w:val="center"/>
              <w:rPr>
                <w:rFonts w:ascii="Times New Roman" w:eastAsia="Times New Roman" w:hAnsi="Times New Roman"/>
                <w:b/>
                <w:sz w:val="20"/>
                <w:szCs w:val="20"/>
                <w:u w:val="single"/>
                <w:lang w:val="ro-RO"/>
              </w:rPr>
            </w:pPr>
            <w:r w:rsidRPr="00C24162">
              <w:rPr>
                <w:rFonts w:ascii="Times New Roman" w:eastAsia="Times New Roman" w:hAnsi="Times New Roman"/>
                <w:sz w:val="20"/>
                <w:szCs w:val="20"/>
                <w:lang w:val="ro-RO"/>
              </w:rPr>
              <w:t xml:space="preserve">(dintre care pentru  2014 – </w:t>
            </w:r>
            <w:r w:rsidR="00D20CE4">
              <w:rPr>
                <w:rFonts w:ascii="Times New Roman" w:eastAsia="Times New Roman" w:hAnsi="Times New Roman"/>
                <w:sz w:val="20"/>
                <w:szCs w:val="20"/>
                <w:u w:val="single"/>
                <w:lang w:val="ro-RO"/>
              </w:rPr>
              <w:t>75 281</w:t>
            </w:r>
            <w:r w:rsidRPr="00C24162">
              <w:rPr>
                <w:rFonts w:ascii="Times New Roman" w:eastAsia="Times New Roman" w:hAnsi="Times New Roman"/>
                <w:sz w:val="20"/>
                <w:szCs w:val="20"/>
                <w:u w:val="single"/>
                <w:lang w:val="ro-RO"/>
              </w:rPr>
              <w:t>,</w:t>
            </w:r>
            <w:r w:rsidR="00D20CE4">
              <w:rPr>
                <w:rFonts w:ascii="Times New Roman" w:eastAsia="Times New Roman" w:hAnsi="Times New Roman"/>
                <w:sz w:val="20"/>
                <w:szCs w:val="20"/>
                <w:u w:val="single"/>
                <w:lang w:val="ro-RO"/>
              </w:rPr>
              <w:t>8</w:t>
            </w:r>
            <w:r w:rsidRPr="00C24162">
              <w:rPr>
                <w:rFonts w:ascii="Times New Roman" w:eastAsia="Times New Roman" w:hAnsi="Times New Roman"/>
                <w:sz w:val="20"/>
                <w:szCs w:val="20"/>
                <w:u w:val="single"/>
                <w:lang w:val="ro-RO"/>
              </w:rPr>
              <w:t>0 EUR)</w:t>
            </w:r>
            <w:r w:rsidRPr="00C24162">
              <w:rPr>
                <w:rFonts w:ascii="Times New Roman" w:eastAsia="Times New Roman" w:hAnsi="Times New Roman"/>
                <w:b/>
                <w:sz w:val="20"/>
                <w:szCs w:val="20"/>
                <w:u w:val="single"/>
                <w:lang w:val="ro-RO"/>
              </w:rPr>
              <w:t xml:space="preserve">    </w:t>
            </w:r>
          </w:p>
        </w:tc>
        <w:tc>
          <w:tcPr>
            <w:tcW w:w="1277" w:type="dxa"/>
            <w:gridSpan w:val="4"/>
            <w:tcBorders>
              <w:left w:val="single" w:sz="4" w:space="0" w:color="auto"/>
              <w:bottom w:val="single" w:sz="4" w:space="0" w:color="auto"/>
              <w:right w:val="single" w:sz="4" w:space="0" w:color="auto"/>
            </w:tcBorders>
          </w:tcPr>
          <w:p w:rsidR="00F84AF2" w:rsidRPr="00C24162" w:rsidRDefault="00F84AF2">
            <w:pPr>
              <w:jc w:val="center"/>
              <w:rPr>
                <w:rFonts w:ascii="Times New Roman" w:eastAsia="Times New Roman" w:hAnsi="Times New Roman"/>
                <w:b/>
                <w:sz w:val="20"/>
                <w:szCs w:val="20"/>
                <w:lang w:val="ro-RO"/>
              </w:rPr>
            </w:pPr>
          </w:p>
        </w:tc>
        <w:tc>
          <w:tcPr>
            <w:tcW w:w="6236" w:type="dxa"/>
            <w:gridSpan w:val="4"/>
            <w:tcBorders>
              <w:left w:val="single" w:sz="4" w:space="0" w:color="auto"/>
              <w:bottom w:val="single" w:sz="4" w:space="0" w:color="auto"/>
              <w:right w:val="single" w:sz="4" w:space="0" w:color="auto"/>
            </w:tcBorders>
          </w:tcPr>
          <w:p w:rsidR="00F84AF2" w:rsidRPr="00C24162" w:rsidRDefault="00F84AF2" w:rsidP="00EE3D86">
            <w:pPr>
              <w:spacing w:after="0" w:line="240" w:lineRule="auto"/>
              <w:jc w:val="both"/>
              <w:rPr>
                <w:rFonts w:ascii="Times New Roman" w:eastAsia="Times New Roman" w:hAnsi="Times New Roman"/>
                <w:b/>
                <w:i/>
                <w:color w:val="000000" w:themeColor="text1"/>
                <w:sz w:val="20"/>
                <w:szCs w:val="20"/>
                <w:lang w:val="ro-RO"/>
              </w:rPr>
            </w:pPr>
            <w:r w:rsidRPr="00C24162">
              <w:rPr>
                <w:rFonts w:ascii="Times New Roman" w:eastAsia="Times New Roman" w:hAnsi="Times New Roman"/>
                <w:b/>
                <w:i/>
                <w:color w:val="000000" w:themeColor="text1"/>
                <w:sz w:val="20"/>
                <w:szCs w:val="20"/>
                <w:lang w:val="ro-RO"/>
              </w:rPr>
              <w:t xml:space="preserve">Grant pentru susţinerea şi dezvoltarea sectorului întreprinderilor mici şi mijlocii în Moldova (Non Project Grant </w:t>
            </w:r>
            <w:proofErr w:type="spellStart"/>
            <w:r w:rsidRPr="00C24162">
              <w:rPr>
                <w:rFonts w:ascii="Times New Roman" w:eastAsia="Times New Roman" w:hAnsi="Times New Roman"/>
                <w:b/>
                <w:i/>
                <w:color w:val="000000" w:themeColor="text1"/>
                <w:sz w:val="20"/>
                <w:szCs w:val="20"/>
                <w:lang w:val="ro-RO"/>
              </w:rPr>
              <w:t>Aid</w:t>
            </w:r>
            <w:proofErr w:type="spellEnd"/>
            <w:r w:rsidRPr="00C24162">
              <w:rPr>
                <w:rFonts w:ascii="Times New Roman" w:eastAsia="Times New Roman" w:hAnsi="Times New Roman"/>
                <w:b/>
                <w:i/>
                <w:color w:val="000000" w:themeColor="text1"/>
                <w:sz w:val="20"/>
                <w:szCs w:val="20"/>
                <w:lang w:val="ro-RO"/>
              </w:rPr>
              <w:t xml:space="preserve"> - NPGA)</w:t>
            </w:r>
          </w:p>
          <w:p w:rsidR="00D83551" w:rsidRPr="00C24162" w:rsidRDefault="00D83551" w:rsidP="00D83551">
            <w:p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La data de 31 decembrie 2014 implementarea proiectelor selectate pentru finanţare  este următoarea:</w:t>
            </w:r>
          </w:p>
          <w:p w:rsidR="00D83551" w:rsidRPr="00C24162" w:rsidRDefault="00D83551" w:rsidP="00D83551">
            <w:p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7 proiecte - s-au finalizat, utilajul solicitat fiind procurat / importat şi transmis în leasing;</w:t>
            </w:r>
          </w:p>
          <w:p w:rsidR="00D83551" w:rsidRPr="00C24162" w:rsidRDefault="00D83551" w:rsidP="00D83551">
            <w:p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1 proiect – este în proces de executare, procedura de achiziţie fiind finalizată, contractul de livrare cu producătorul este semnat;</w:t>
            </w:r>
          </w:p>
          <w:p w:rsidR="00D83551" w:rsidRPr="00C24162" w:rsidRDefault="00D83551" w:rsidP="00D83551">
            <w:p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1 proiect - este în derulare procedura de achiziţie;</w:t>
            </w:r>
          </w:p>
          <w:p w:rsidR="00D83551" w:rsidRPr="00C24162" w:rsidRDefault="00D83551" w:rsidP="00D83551">
            <w:pPr>
              <w:spacing w:after="0" w:line="240" w:lineRule="auto"/>
              <w:jc w:val="both"/>
              <w:rPr>
                <w:rFonts w:ascii="Times New Roman" w:eastAsia="Times New Roman" w:hAnsi="Times New Roman"/>
                <w:color w:val="000000" w:themeColor="text1"/>
                <w:sz w:val="20"/>
                <w:szCs w:val="20"/>
                <w:lang w:val="ro-RO"/>
              </w:rPr>
            </w:pPr>
          </w:p>
          <w:p w:rsidR="00D83551" w:rsidRPr="00C24162" w:rsidRDefault="00D83551" w:rsidP="00D83551">
            <w:pPr>
              <w:spacing w:after="0" w:line="240"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 xml:space="preserve">În perioada anului 2014 s-a transmis utilaj în leasing  la 11 beneficiari ai Programului în valoare de 9,4 </w:t>
            </w:r>
            <w:proofErr w:type="spellStart"/>
            <w:r w:rsidRPr="00C24162">
              <w:rPr>
                <w:rFonts w:ascii="Times New Roman" w:eastAsia="Times New Roman" w:hAnsi="Times New Roman"/>
                <w:color w:val="000000" w:themeColor="text1"/>
                <w:sz w:val="20"/>
                <w:szCs w:val="20"/>
                <w:lang w:val="ro-RO"/>
              </w:rPr>
              <w:t>mln</w:t>
            </w:r>
            <w:proofErr w:type="spellEnd"/>
            <w:r w:rsidRPr="00C24162">
              <w:rPr>
                <w:rFonts w:ascii="Times New Roman" w:eastAsia="Times New Roman" w:hAnsi="Times New Roman"/>
                <w:color w:val="000000" w:themeColor="text1"/>
                <w:sz w:val="20"/>
                <w:szCs w:val="20"/>
                <w:lang w:val="ro-RO"/>
              </w:rPr>
              <w:t xml:space="preserve">. lei, echivalentul a 0,5 </w:t>
            </w:r>
            <w:proofErr w:type="spellStart"/>
            <w:r w:rsidRPr="00C24162">
              <w:rPr>
                <w:rFonts w:ascii="Times New Roman" w:eastAsia="Times New Roman" w:hAnsi="Times New Roman"/>
                <w:color w:val="000000" w:themeColor="text1"/>
                <w:sz w:val="20"/>
                <w:szCs w:val="20"/>
                <w:lang w:val="ro-RO"/>
              </w:rPr>
              <w:t>mln</w:t>
            </w:r>
            <w:proofErr w:type="spellEnd"/>
            <w:r w:rsidRPr="00C24162">
              <w:rPr>
                <w:rFonts w:ascii="Times New Roman" w:eastAsia="Times New Roman" w:hAnsi="Times New Roman"/>
                <w:color w:val="000000" w:themeColor="text1"/>
                <w:sz w:val="20"/>
                <w:szCs w:val="20"/>
                <w:lang w:val="ro-RO"/>
              </w:rPr>
              <w:t>. dolari SUA.</w:t>
            </w:r>
          </w:p>
          <w:p w:rsidR="00D83551" w:rsidRPr="00C24162" w:rsidRDefault="00D83551" w:rsidP="00D83551">
            <w:pPr>
              <w:spacing w:after="0" w:line="240" w:lineRule="auto"/>
              <w:jc w:val="both"/>
              <w:rPr>
                <w:rFonts w:ascii="Times New Roman" w:eastAsia="Times New Roman" w:hAnsi="Times New Roman"/>
                <w:b/>
                <w:i/>
                <w:color w:val="FF0000"/>
                <w:sz w:val="20"/>
                <w:szCs w:val="20"/>
                <w:lang w:val="ro-RO"/>
              </w:rPr>
            </w:pPr>
            <w:r w:rsidRPr="00C24162">
              <w:rPr>
                <w:rFonts w:ascii="Times New Roman" w:eastAsia="Times New Roman" w:hAnsi="Times New Roman"/>
                <w:color w:val="000000" w:themeColor="text1"/>
                <w:sz w:val="20"/>
                <w:szCs w:val="20"/>
                <w:lang w:val="ro-RO"/>
              </w:rPr>
              <w:t>În perioada anului 2014 suma granturilor acordate este de 8,</w:t>
            </w:r>
            <w:proofErr w:type="spellStart"/>
            <w:r w:rsidRPr="00C24162">
              <w:rPr>
                <w:rFonts w:ascii="Times New Roman" w:eastAsia="Times New Roman" w:hAnsi="Times New Roman"/>
                <w:color w:val="000000" w:themeColor="text1"/>
                <w:sz w:val="20"/>
                <w:szCs w:val="20"/>
                <w:lang w:val="ro-RO"/>
              </w:rPr>
              <w:t>8</w:t>
            </w:r>
            <w:proofErr w:type="spellEnd"/>
            <w:r w:rsidRPr="00C24162">
              <w:rPr>
                <w:rFonts w:ascii="Times New Roman" w:eastAsia="Times New Roman" w:hAnsi="Times New Roman"/>
                <w:color w:val="000000" w:themeColor="text1"/>
                <w:sz w:val="20"/>
                <w:szCs w:val="20"/>
                <w:lang w:val="ro-RO"/>
              </w:rPr>
              <w:t xml:space="preserve"> </w:t>
            </w:r>
            <w:proofErr w:type="spellStart"/>
            <w:r w:rsidRPr="00C24162">
              <w:rPr>
                <w:rFonts w:ascii="Times New Roman" w:eastAsia="Times New Roman" w:hAnsi="Times New Roman"/>
                <w:color w:val="000000" w:themeColor="text1"/>
                <w:sz w:val="20"/>
                <w:szCs w:val="20"/>
                <w:lang w:val="ro-RO"/>
              </w:rPr>
              <w:t>mln</w:t>
            </w:r>
            <w:proofErr w:type="spellEnd"/>
            <w:r w:rsidRPr="00C24162">
              <w:rPr>
                <w:rFonts w:ascii="Times New Roman" w:eastAsia="Times New Roman" w:hAnsi="Times New Roman"/>
                <w:color w:val="000000" w:themeColor="text1"/>
                <w:sz w:val="20"/>
                <w:szCs w:val="20"/>
                <w:lang w:val="ro-RO"/>
              </w:rPr>
              <w:t xml:space="preserve">. lei, echivalentul a 0,4 </w:t>
            </w:r>
            <w:proofErr w:type="spellStart"/>
            <w:r w:rsidRPr="00C24162">
              <w:rPr>
                <w:rFonts w:ascii="Times New Roman" w:eastAsia="Times New Roman" w:hAnsi="Times New Roman"/>
                <w:color w:val="000000" w:themeColor="text1"/>
                <w:sz w:val="20"/>
                <w:szCs w:val="20"/>
                <w:lang w:val="ro-RO"/>
              </w:rPr>
              <w:t>mln</w:t>
            </w:r>
            <w:proofErr w:type="spellEnd"/>
            <w:r w:rsidRPr="00C24162">
              <w:rPr>
                <w:rFonts w:ascii="Times New Roman" w:eastAsia="Times New Roman" w:hAnsi="Times New Roman"/>
                <w:color w:val="000000" w:themeColor="text1"/>
                <w:sz w:val="20"/>
                <w:szCs w:val="20"/>
                <w:lang w:val="ro-RO"/>
              </w:rPr>
              <w:t>. dolari SUA.</w:t>
            </w:r>
          </w:p>
        </w:tc>
      </w:tr>
      <w:tr w:rsidR="00D84BEE" w:rsidRPr="00C24162" w:rsidTr="00360444">
        <w:tc>
          <w:tcPr>
            <w:tcW w:w="14992" w:type="dxa"/>
            <w:gridSpan w:val="23"/>
            <w:tcBorders>
              <w:top w:val="single" w:sz="4" w:space="0" w:color="auto"/>
              <w:left w:val="single" w:sz="4" w:space="0" w:color="auto"/>
              <w:bottom w:val="single" w:sz="4" w:space="0" w:color="auto"/>
              <w:right w:val="single" w:sz="4" w:space="0" w:color="auto"/>
            </w:tcBorders>
            <w:shd w:val="clear" w:color="auto" w:fill="EEECE1"/>
          </w:tcPr>
          <w:p w:rsidR="00D84BEE" w:rsidRPr="00C24162" w:rsidRDefault="00D84BEE">
            <w:pPr>
              <w:jc w:val="center"/>
              <w:rPr>
                <w:rFonts w:ascii="Times New Roman" w:eastAsia="Times New Roman" w:hAnsi="Times New Roman"/>
                <w:b/>
                <w:sz w:val="20"/>
                <w:szCs w:val="20"/>
                <w:lang w:val="ro-RO"/>
              </w:rPr>
            </w:pPr>
          </w:p>
        </w:tc>
      </w:tr>
      <w:tr w:rsidR="0061143D" w:rsidRPr="00C24162" w:rsidTr="00C24162">
        <w:trPr>
          <w:trHeight w:val="199"/>
        </w:trPr>
        <w:tc>
          <w:tcPr>
            <w:tcW w:w="2510" w:type="dxa"/>
            <w:gridSpan w:val="2"/>
            <w:vMerge w:val="restart"/>
            <w:tcBorders>
              <w:top w:val="single" w:sz="4" w:space="0" w:color="auto"/>
              <w:left w:val="single" w:sz="4" w:space="0" w:color="auto"/>
              <w:bottom w:val="single" w:sz="4" w:space="0" w:color="auto"/>
              <w:right w:val="single" w:sz="4" w:space="0" w:color="auto"/>
            </w:tcBorders>
            <w:hideMark/>
          </w:tcPr>
          <w:p w:rsidR="00D84BEE" w:rsidRPr="00C24162" w:rsidRDefault="00D84BEE">
            <w:pPr>
              <w:jc w:val="both"/>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Asistența pentru investiții capitale (ex. construcții, reparații, etc.)</w:t>
            </w:r>
          </w:p>
        </w:tc>
        <w:tc>
          <w:tcPr>
            <w:tcW w:w="1985" w:type="dxa"/>
            <w:gridSpan w:val="6"/>
            <w:vMerge w:val="restart"/>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Donatorul</w:t>
            </w:r>
          </w:p>
        </w:tc>
        <w:tc>
          <w:tcPr>
            <w:tcW w:w="1280" w:type="dxa"/>
            <w:gridSpan w:val="5"/>
            <w:vMerge w:val="restart"/>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Numărul de proiecte implementate</w:t>
            </w:r>
          </w:p>
        </w:tc>
        <w:tc>
          <w:tcPr>
            <w:tcW w:w="2697" w:type="dxa"/>
            <w:gridSpan w:val="5"/>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Buget (Euro)</w:t>
            </w:r>
          </w:p>
        </w:tc>
        <w:tc>
          <w:tcPr>
            <w:tcW w:w="6520" w:type="dxa"/>
            <w:gridSpan w:val="5"/>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Indicatori cu rezultate atinse </w:t>
            </w:r>
            <w:r w:rsidRPr="00C24162">
              <w:rPr>
                <w:rFonts w:ascii="Times New Roman" w:eastAsia="Times New Roman" w:hAnsi="Times New Roman"/>
                <w:sz w:val="20"/>
                <w:szCs w:val="20"/>
                <w:lang w:val="ro-RO"/>
              </w:rPr>
              <w:t>(ex. km reabilitați, școli construite, etc.)</w:t>
            </w:r>
          </w:p>
        </w:tc>
      </w:tr>
      <w:tr w:rsidR="00D3416E" w:rsidRPr="00C24162" w:rsidTr="00C24162">
        <w:trPr>
          <w:trHeight w:val="199"/>
        </w:trPr>
        <w:tc>
          <w:tcPr>
            <w:tcW w:w="2510" w:type="dxa"/>
            <w:gridSpan w:val="2"/>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1985" w:type="dxa"/>
            <w:gridSpan w:val="6"/>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1280" w:type="dxa"/>
            <w:gridSpan w:val="5"/>
            <w:vMerge/>
            <w:tcBorders>
              <w:top w:val="single" w:sz="4" w:space="0" w:color="auto"/>
              <w:left w:val="single" w:sz="4" w:space="0" w:color="auto"/>
              <w:bottom w:val="single" w:sz="4" w:space="0" w:color="auto"/>
              <w:right w:val="single" w:sz="4" w:space="0" w:color="auto"/>
            </w:tcBorders>
            <w:vAlign w:val="center"/>
            <w:hideMark/>
          </w:tcPr>
          <w:p w:rsidR="00D84BEE" w:rsidRPr="00C24162" w:rsidRDefault="00D84BEE">
            <w:pPr>
              <w:spacing w:after="0" w:line="240" w:lineRule="auto"/>
              <w:rPr>
                <w:rFonts w:ascii="Times New Roman" w:eastAsia="Times New Roman" w:hAnsi="Times New Roman"/>
                <w:b/>
                <w:sz w:val="20"/>
                <w:szCs w:val="20"/>
                <w:lang w:val="ro-RO"/>
              </w:rPr>
            </w:pPr>
          </w:p>
        </w:tc>
        <w:tc>
          <w:tcPr>
            <w:tcW w:w="1393" w:type="dxa"/>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Grant</w:t>
            </w:r>
          </w:p>
        </w:tc>
        <w:tc>
          <w:tcPr>
            <w:tcW w:w="1304" w:type="dxa"/>
            <w:gridSpan w:val="4"/>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Credit</w:t>
            </w:r>
          </w:p>
        </w:tc>
        <w:tc>
          <w:tcPr>
            <w:tcW w:w="6520" w:type="dxa"/>
            <w:gridSpan w:val="5"/>
            <w:tcBorders>
              <w:top w:val="single" w:sz="4" w:space="0" w:color="auto"/>
              <w:left w:val="single" w:sz="4" w:space="0" w:color="auto"/>
              <w:bottom w:val="single" w:sz="4" w:space="0" w:color="auto"/>
              <w:right w:val="single" w:sz="4" w:space="0" w:color="auto"/>
            </w:tcBorders>
          </w:tcPr>
          <w:p w:rsidR="00D84BEE" w:rsidRPr="00C24162" w:rsidRDefault="00D84BEE">
            <w:pPr>
              <w:jc w:val="center"/>
              <w:rPr>
                <w:rFonts w:ascii="Times New Roman" w:eastAsia="Times New Roman" w:hAnsi="Times New Roman"/>
                <w:sz w:val="20"/>
                <w:szCs w:val="20"/>
                <w:lang w:val="ro-RO"/>
              </w:rPr>
            </w:pPr>
          </w:p>
        </w:tc>
      </w:tr>
      <w:tr w:rsidR="00517344" w:rsidRPr="00C24162" w:rsidTr="00C24162">
        <w:trPr>
          <w:trHeight w:val="690"/>
        </w:trPr>
        <w:tc>
          <w:tcPr>
            <w:tcW w:w="2510" w:type="dxa"/>
            <w:gridSpan w:val="2"/>
            <w:vMerge w:val="restart"/>
            <w:tcBorders>
              <w:top w:val="single" w:sz="4" w:space="0" w:color="auto"/>
              <w:left w:val="single" w:sz="4" w:space="0" w:color="auto"/>
              <w:right w:val="single" w:sz="4" w:space="0" w:color="auto"/>
            </w:tcBorders>
          </w:tcPr>
          <w:p w:rsidR="00517344" w:rsidRPr="00C24162" w:rsidRDefault="00517344">
            <w:pPr>
              <w:jc w:val="both"/>
              <w:rPr>
                <w:rFonts w:ascii="Times New Roman" w:eastAsia="Times New Roman" w:hAnsi="Times New Roman"/>
                <w:b/>
                <w:sz w:val="20"/>
                <w:szCs w:val="20"/>
                <w:lang w:val="ro-RO"/>
              </w:rPr>
            </w:pPr>
          </w:p>
        </w:tc>
        <w:tc>
          <w:tcPr>
            <w:tcW w:w="1985" w:type="dxa"/>
            <w:gridSpan w:val="6"/>
            <w:tcBorders>
              <w:top w:val="single" w:sz="4" w:space="0" w:color="auto"/>
              <w:left w:val="single" w:sz="4" w:space="0" w:color="auto"/>
              <w:right w:val="single" w:sz="4" w:space="0" w:color="auto"/>
            </w:tcBorders>
          </w:tcPr>
          <w:p w:rsidR="00517344" w:rsidRPr="00C24162" w:rsidRDefault="00517344">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BERD + BEI + UE</w:t>
            </w:r>
          </w:p>
          <w:p w:rsidR="00517344" w:rsidRPr="00C24162" w:rsidRDefault="00517344">
            <w:pPr>
              <w:jc w:val="center"/>
              <w:rPr>
                <w:rFonts w:ascii="Times New Roman" w:eastAsia="Times New Roman" w:hAnsi="Times New Roman"/>
                <w:b/>
                <w:sz w:val="20"/>
                <w:szCs w:val="20"/>
                <w:lang w:val="ro-RO"/>
              </w:rPr>
            </w:pPr>
          </w:p>
        </w:tc>
        <w:tc>
          <w:tcPr>
            <w:tcW w:w="1280" w:type="dxa"/>
            <w:gridSpan w:val="5"/>
            <w:tcBorders>
              <w:top w:val="single" w:sz="4" w:space="0" w:color="auto"/>
              <w:left w:val="single" w:sz="4" w:space="0" w:color="auto"/>
              <w:right w:val="single" w:sz="4" w:space="0" w:color="auto"/>
            </w:tcBorders>
          </w:tcPr>
          <w:p w:rsidR="00517344" w:rsidRPr="00C24162" w:rsidRDefault="00A00A20">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1</w:t>
            </w:r>
          </w:p>
        </w:tc>
        <w:tc>
          <w:tcPr>
            <w:tcW w:w="1393" w:type="dxa"/>
            <w:tcBorders>
              <w:top w:val="single" w:sz="4" w:space="0" w:color="auto"/>
              <w:left w:val="single" w:sz="4" w:space="0" w:color="auto"/>
              <w:bottom w:val="single" w:sz="4" w:space="0" w:color="auto"/>
              <w:right w:val="single" w:sz="4" w:space="0" w:color="auto"/>
            </w:tcBorders>
          </w:tcPr>
          <w:p w:rsidR="003227AD" w:rsidRPr="00C24162" w:rsidRDefault="00517344" w:rsidP="00853E00">
            <w:pPr>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lang w:val="ro-RO"/>
              </w:rPr>
              <w:t xml:space="preserve">Fondul de Investiţii pentru Vecinătate </w:t>
            </w:r>
            <w:r w:rsidRPr="00C24162">
              <w:rPr>
                <w:rFonts w:ascii="Times New Roman" w:eastAsia="Times New Roman" w:hAnsi="Times New Roman"/>
                <w:b/>
                <w:sz w:val="20"/>
                <w:szCs w:val="20"/>
                <w:u w:val="single"/>
                <w:lang w:val="ro-RO"/>
              </w:rPr>
              <w:t xml:space="preserve">6 000 </w:t>
            </w:r>
            <w:proofErr w:type="spellStart"/>
            <w:r w:rsidRPr="00C24162">
              <w:rPr>
                <w:rFonts w:ascii="Times New Roman" w:eastAsia="Times New Roman" w:hAnsi="Times New Roman"/>
                <w:b/>
                <w:sz w:val="20"/>
                <w:szCs w:val="20"/>
                <w:u w:val="single"/>
                <w:lang w:val="ro-RO"/>
              </w:rPr>
              <w:t>000</w:t>
            </w:r>
            <w:proofErr w:type="spellEnd"/>
            <w:r w:rsidRPr="00C24162">
              <w:rPr>
                <w:rFonts w:ascii="Times New Roman" w:eastAsia="Times New Roman" w:hAnsi="Times New Roman"/>
                <w:b/>
                <w:sz w:val="20"/>
                <w:szCs w:val="20"/>
                <w:u w:val="single"/>
                <w:lang w:val="ro-RO"/>
              </w:rPr>
              <w:t xml:space="preserve"> EUR</w:t>
            </w:r>
          </w:p>
          <w:p w:rsidR="00517344" w:rsidRPr="00C24162" w:rsidRDefault="003227AD" w:rsidP="003227AD">
            <w:pPr>
              <w:jc w:val="center"/>
              <w:rPr>
                <w:rFonts w:ascii="Times New Roman" w:eastAsia="Times New Roman" w:hAnsi="Times New Roman"/>
                <w:b/>
                <w:sz w:val="20"/>
                <w:szCs w:val="20"/>
                <w:lang w:val="ro-RO"/>
              </w:rPr>
            </w:pPr>
            <w:r w:rsidRPr="00C24162">
              <w:rPr>
                <w:rFonts w:ascii="Times New Roman" w:eastAsia="Times New Roman" w:hAnsi="Times New Roman"/>
                <w:sz w:val="20"/>
                <w:szCs w:val="20"/>
                <w:lang w:val="ro-RO"/>
              </w:rPr>
              <w:t>(dintre care pentru  2014 –</w:t>
            </w:r>
            <w:r w:rsidRPr="00C24162">
              <w:rPr>
                <w:rFonts w:ascii="Times New Roman" w:eastAsia="Times New Roman" w:hAnsi="Times New Roman"/>
                <w:sz w:val="20"/>
                <w:szCs w:val="20"/>
                <w:u w:val="single"/>
                <w:lang w:val="ro-RO"/>
              </w:rPr>
              <w:t xml:space="preserve"> </w:t>
            </w:r>
            <w:r w:rsidR="000635C6" w:rsidRPr="00C24162">
              <w:rPr>
                <w:rFonts w:ascii="Times New Roman" w:eastAsia="Times New Roman" w:hAnsi="Times New Roman"/>
                <w:sz w:val="20"/>
                <w:szCs w:val="20"/>
                <w:u w:val="single"/>
                <w:lang w:val="ro-RO"/>
              </w:rPr>
              <w:t xml:space="preserve">1 001 277 </w:t>
            </w:r>
            <w:r w:rsidRPr="00C24162">
              <w:rPr>
                <w:rFonts w:ascii="Times New Roman" w:eastAsia="Times New Roman" w:hAnsi="Times New Roman"/>
                <w:sz w:val="20"/>
                <w:szCs w:val="20"/>
                <w:u w:val="single"/>
                <w:lang w:val="ro-RO"/>
              </w:rPr>
              <w:t>EUR)</w:t>
            </w:r>
            <w:r w:rsidR="00517344" w:rsidRPr="00C24162">
              <w:rPr>
                <w:rFonts w:ascii="Times New Roman" w:eastAsia="Times New Roman" w:hAnsi="Times New Roman"/>
                <w:b/>
                <w:sz w:val="20"/>
                <w:szCs w:val="20"/>
                <w:lang w:val="ro-RO"/>
              </w:rPr>
              <w:t xml:space="preserve"> </w:t>
            </w:r>
            <w:r w:rsidR="00517344" w:rsidRPr="00C24162">
              <w:rPr>
                <w:rFonts w:ascii="Times New Roman" w:hAnsi="Times New Roman"/>
                <w:sz w:val="20"/>
                <w:szCs w:val="20"/>
                <w:lang w:val="en-US"/>
              </w:rPr>
              <w:t xml:space="preserve"> </w:t>
            </w:r>
          </w:p>
        </w:tc>
        <w:tc>
          <w:tcPr>
            <w:tcW w:w="1304" w:type="dxa"/>
            <w:gridSpan w:val="4"/>
            <w:tcBorders>
              <w:top w:val="single" w:sz="4" w:space="0" w:color="auto"/>
              <w:left w:val="single" w:sz="4" w:space="0" w:color="auto"/>
              <w:right w:val="single" w:sz="4" w:space="0" w:color="auto"/>
            </w:tcBorders>
          </w:tcPr>
          <w:p w:rsidR="00517344" w:rsidRPr="00C24162" w:rsidRDefault="00517344">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BERD </w:t>
            </w:r>
            <w:r w:rsidRPr="00C24162">
              <w:rPr>
                <w:rFonts w:ascii="Times New Roman" w:eastAsia="Times New Roman" w:hAnsi="Times New Roman"/>
                <w:b/>
                <w:sz w:val="20"/>
                <w:szCs w:val="20"/>
                <w:u w:val="single"/>
                <w:lang w:val="ro-RO"/>
              </w:rPr>
              <w:t>16 667 000 EUR</w:t>
            </w:r>
            <w:r w:rsidRPr="00C24162">
              <w:rPr>
                <w:rFonts w:ascii="Times New Roman" w:eastAsia="Times New Roman" w:hAnsi="Times New Roman"/>
                <w:b/>
                <w:sz w:val="20"/>
                <w:szCs w:val="20"/>
                <w:lang w:val="ro-RO"/>
              </w:rPr>
              <w:t xml:space="preserve"> </w:t>
            </w:r>
          </w:p>
          <w:p w:rsidR="00517344" w:rsidRPr="00C24162" w:rsidRDefault="00517344">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w:t>
            </w:r>
          </w:p>
          <w:p w:rsidR="00517344" w:rsidRPr="00C24162" w:rsidRDefault="00517344">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BEI </w:t>
            </w:r>
            <w:r w:rsidRPr="00C24162">
              <w:rPr>
                <w:rFonts w:ascii="Times New Roman" w:eastAsia="Times New Roman" w:hAnsi="Times New Roman"/>
                <w:b/>
                <w:sz w:val="20"/>
                <w:szCs w:val="20"/>
                <w:u w:val="single"/>
                <w:lang w:val="ro-RO"/>
              </w:rPr>
              <w:t>17 000 000 EUR</w:t>
            </w:r>
          </w:p>
          <w:p w:rsidR="00E04660" w:rsidRPr="00C24162" w:rsidRDefault="003227AD" w:rsidP="00E04660">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(dintre care pentru  2014 –</w:t>
            </w:r>
          </w:p>
          <w:p w:rsidR="000635C6" w:rsidRPr="00C24162" w:rsidRDefault="000635C6" w:rsidP="000635C6">
            <w:pPr>
              <w:jc w:val="center"/>
              <w:rPr>
                <w:rFonts w:ascii="Times New Roman" w:eastAsia="Times New Roman" w:hAnsi="Times New Roman"/>
                <w:sz w:val="20"/>
                <w:szCs w:val="20"/>
                <w:u w:val="single"/>
                <w:lang w:val="ro-RO"/>
              </w:rPr>
            </w:pPr>
            <w:r w:rsidRPr="00C24162">
              <w:rPr>
                <w:rFonts w:ascii="Times New Roman" w:eastAsia="Times New Roman" w:hAnsi="Times New Roman"/>
                <w:sz w:val="20"/>
                <w:szCs w:val="20"/>
                <w:lang w:val="ro-RO"/>
              </w:rPr>
              <w:t>BERD</w:t>
            </w:r>
            <w:r w:rsidRPr="00C24162">
              <w:rPr>
                <w:rFonts w:ascii="Times New Roman" w:eastAsia="Times New Roman" w:hAnsi="Times New Roman"/>
                <w:sz w:val="20"/>
                <w:szCs w:val="20"/>
                <w:u w:val="single"/>
                <w:lang w:val="ro-RO"/>
              </w:rPr>
              <w:t xml:space="preserve"> 2 119 </w:t>
            </w:r>
            <w:r w:rsidRPr="00C24162">
              <w:rPr>
                <w:rFonts w:ascii="Times New Roman" w:eastAsia="Times New Roman" w:hAnsi="Times New Roman"/>
                <w:sz w:val="20"/>
                <w:szCs w:val="20"/>
                <w:u w:val="single"/>
                <w:lang w:val="ro-RO"/>
              </w:rPr>
              <w:lastRenderedPageBreak/>
              <w:t>522,27  EUR</w:t>
            </w:r>
          </w:p>
          <w:p w:rsidR="000635C6" w:rsidRPr="00C24162" w:rsidRDefault="000635C6" w:rsidP="000635C6">
            <w:pPr>
              <w:jc w:val="center"/>
              <w:rPr>
                <w:rFonts w:ascii="Times New Roman" w:eastAsia="Times New Roman" w:hAnsi="Times New Roman"/>
                <w:sz w:val="20"/>
                <w:szCs w:val="20"/>
                <w:u w:val="single"/>
                <w:lang w:val="ro-RO"/>
              </w:rPr>
            </w:pPr>
            <w:r w:rsidRPr="00C24162">
              <w:rPr>
                <w:rFonts w:ascii="Times New Roman" w:eastAsia="Times New Roman" w:hAnsi="Times New Roman"/>
                <w:sz w:val="20"/>
                <w:szCs w:val="20"/>
                <w:lang w:val="ro-RO"/>
              </w:rPr>
              <w:t>BEI</w:t>
            </w:r>
            <w:r w:rsidRPr="00C24162">
              <w:rPr>
                <w:rFonts w:ascii="Times New Roman" w:eastAsia="Times New Roman" w:hAnsi="Times New Roman"/>
                <w:sz w:val="20"/>
                <w:szCs w:val="20"/>
                <w:u w:val="single"/>
                <w:lang w:val="ro-RO"/>
              </w:rPr>
              <w:t xml:space="preserve"> 2 147 000,00 EUR</w:t>
            </w:r>
          </w:p>
          <w:p w:rsidR="00517344" w:rsidRPr="00C24162" w:rsidRDefault="003227AD" w:rsidP="00E04660">
            <w:pPr>
              <w:jc w:val="center"/>
              <w:rPr>
                <w:rFonts w:ascii="Times New Roman" w:eastAsia="Times New Roman" w:hAnsi="Times New Roman"/>
                <w:b/>
                <w:sz w:val="20"/>
                <w:szCs w:val="20"/>
                <w:lang w:val="ro-RO"/>
              </w:rPr>
            </w:pPr>
            <w:r w:rsidRPr="00C24162">
              <w:rPr>
                <w:rFonts w:ascii="Times New Roman" w:eastAsia="Times New Roman" w:hAnsi="Times New Roman"/>
                <w:sz w:val="20"/>
                <w:szCs w:val="20"/>
                <w:u w:val="single"/>
                <w:lang w:val="ro-RO"/>
              </w:rPr>
              <w:t>EUR)</w:t>
            </w:r>
          </w:p>
        </w:tc>
        <w:tc>
          <w:tcPr>
            <w:tcW w:w="6520" w:type="dxa"/>
            <w:gridSpan w:val="5"/>
            <w:tcBorders>
              <w:top w:val="single" w:sz="4" w:space="0" w:color="auto"/>
              <w:left w:val="single" w:sz="4" w:space="0" w:color="auto"/>
              <w:right w:val="single" w:sz="4" w:space="0" w:color="auto"/>
            </w:tcBorders>
          </w:tcPr>
          <w:p w:rsidR="00517344" w:rsidRPr="00C24162" w:rsidRDefault="00517344" w:rsidP="00144B4F">
            <w:pPr>
              <w:jc w:val="both"/>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lastRenderedPageBreak/>
              <w:t>Moldelectrica - reabilitarea rețelelor de transport electric (credit preferențial (BEI, BERD) (2012-2019) + grant</w:t>
            </w:r>
          </w:p>
          <w:p w:rsidR="00517344" w:rsidRPr="00C24162" w:rsidRDefault="00517344" w:rsidP="00011616">
            <w:pPr>
              <w:spacing w:after="0" w:line="240" w:lineRule="auto"/>
              <w:jc w:val="both"/>
              <w:rPr>
                <w:rFonts w:ascii="Times New Roman" w:eastAsia="Times New Roman" w:hAnsi="Times New Roman"/>
                <w:b/>
                <w:i/>
                <w:color w:val="000000" w:themeColor="text1"/>
                <w:sz w:val="20"/>
                <w:szCs w:val="20"/>
                <w:u w:val="single"/>
                <w:lang w:val="ro-RO"/>
              </w:rPr>
            </w:pPr>
            <w:r w:rsidRPr="00C24162">
              <w:rPr>
                <w:rFonts w:ascii="Times New Roman" w:eastAsia="Times New Roman" w:hAnsi="Times New Roman"/>
                <w:b/>
                <w:i/>
                <w:color w:val="000000" w:themeColor="text1"/>
                <w:sz w:val="20"/>
                <w:szCs w:val="20"/>
                <w:u w:val="single"/>
                <w:lang w:val="ro-RO"/>
              </w:rPr>
              <w:t>Rezultate 2014:</w:t>
            </w:r>
          </w:p>
          <w:p w:rsidR="00517344" w:rsidRPr="00C24162" w:rsidRDefault="00517344" w:rsidP="00144B4F">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În 2014 Î.S. „Moldelectrica”, asistată de consultantul german Lahmeyer International GmbH, a continuat realizarea procedurilor de pregătire a Proiectului, inclusiv procedurile operaţionale şi întreg proces de achiziţie pe Tenderul A, unul din cele 4 Tendere a planului de finanţare. În perioada raportată unitatea de implementare a întocmit, de asemenea, documente pentru precalificare la Tenderul B şi C. Activităţile întreprinderii la etapa de pregătire nu au necesitat cheltuieli financiare, de aceea din bugetul preconizat pentru implementarea Proiectului „Reabilitarea Reţelelor de Transport Electric ale </w:t>
            </w:r>
            <w:r w:rsidRPr="00C24162">
              <w:rPr>
                <w:rFonts w:ascii="Times New Roman" w:eastAsia="Times New Roman" w:hAnsi="Times New Roman"/>
                <w:sz w:val="20"/>
                <w:szCs w:val="20"/>
                <w:lang w:val="ro-RO"/>
              </w:rPr>
              <w:lastRenderedPageBreak/>
              <w:t>Î.S. „Moldelectrica” nu s-au alocat mijloace băneşti.</w:t>
            </w:r>
          </w:p>
        </w:tc>
      </w:tr>
      <w:tr w:rsidR="007E2E45" w:rsidRPr="00C24162" w:rsidTr="00C24162">
        <w:trPr>
          <w:trHeight w:val="4092"/>
        </w:trPr>
        <w:tc>
          <w:tcPr>
            <w:tcW w:w="2510" w:type="dxa"/>
            <w:gridSpan w:val="2"/>
            <w:vMerge/>
            <w:tcBorders>
              <w:left w:val="single" w:sz="4" w:space="0" w:color="auto"/>
              <w:bottom w:val="single" w:sz="4" w:space="0" w:color="auto"/>
              <w:right w:val="single" w:sz="4" w:space="0" w:color="auto"/>
            </w:tcBorders>
          </w:tcPr>
          <w:p w:rsidR="007E2E45" w:rsidRPr="00C24162" w:rsidRDefault="007E2E45">
            <w:pPr>
              <w:jc w:val="both"/>
              <w:rPr>
                <w:rFonts w:ascii="Times New Roman" w:eastAsia="Times New Roman" w:hAnsi="Times New Roman"/>
                <w:b/>
                <w:sz w:val="20"/>
                <w:szCs w:val="20"/>
                <w:lang w:val="ro-RO"/>
              </w:rPr>
            </w:pPr>
          </w:p>
        </w:tc>
        <w:tc>
          <w:tcPr>
            <w:tcW w:w="1985" w:type="dxa"/>
            <w:gridSpan w:val="6"/>
            <w:tcBorders>
              <w:left w:val="single" w:sz="4" w:space="0" w:color="auto"/>
              <w:bottom w:val="single" w:sz="4" w:space="0" w:color="auto"/>
              <w:right w:val="single" w:sz="4" w:space="0" w:color="auto"/>
            </w:tcBorders>
          </w:tcPr>
          <w:p w:rsidR="007E2E45" w:rsidRPr="00C24162" w:rsidRDefault="007E2E45" w:rsidP="006224E2">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Uniunea Europeană</w:t>
            </w:r>
          </w:p>
          <w:p w:rsidR="007E2E45" w:rsidRPr="00C24162" w:rsidRDefault="007E2E45" w:rsidP="00177920">
            <w:pPr>
              <w:jc w:val="center"/>
              <w:rPr>
                <w:rFonts w:ascii="Times New Roman" w:eastAsia="Times New Roman" w:hAnsi="Times New Roman"/>
                <w:b/>
                <w:sz w:val="20"/>
                <w:szCs w:val="20"/>
                <w:lang w:val="ro-RO"/>
              </w:rPr>
            </w:pPr>
          </w:p>
        </w:tc>
        <w:tc>
          <w:tcPr>
            <w:tcW w:w="1280" w:type="dxa"/>
            <w:gridSpan w:val="5"/>
            <w:tcBorders>
              <w:left w:val="single" w:sz="4" w:space="0" w:color="auto"/>
              <w:bottom w:val="single" w:sz="4" w:space="0" w:color="auto"/>
              <w:right w:val="single" w:sz="4" w:space="0" w:color="auto"/>
            </w:tcBorders>
          </w:tcPr>
          <w:p w:rsidR="007E2E45" w:rsidRPr="00C24162" w:rsidRDefault="007E2E45" w:rsidP="00075E8B">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1</w:t>
            </w:r>
          </w:p>
        </w:tc>
        <w:tc>
          <w:tcPr>
            <w:tcW w:w="1393" w:type="dxa"/>
            <w:tcBorders>
              <w:top w:val="single" w:sz="4" w:space="0" w:color="auto"/>
              <w:left w:val="single" w:sz="4" w:space="0" w:color="auto"/>
              <w:right w:val="single" w:sz="4" w:space="0" w:color="auto"/>
            </w:tcBorders>
          </w:tcPr>
          <w:p w:rsidR="00177920" w:rsidRPr="00C24162" w:rsidRDefault="00177920" w:rsidP="00177920">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Programul Operaţional Comun România – Ucraina – Republica Moldova</w:t>
            </w:r>
          </w:p>
          <w:p w:rsidR="007E2E45" w:rsidRPr="00C24162" w:rsidRDefault="007E2E45" w:rsidP="006224E2">
            <w:pPr>
              <w:spacing w:after="0"/>
              <w:jc w:val="center"/>
              <w:rPr>
                <w:rFonts w:ascii="Times New Roman" w:eastAsia="Times New Roman" w:hAnsi="Times New Roman"/>
                <w:b/>
                <w:sz w:val="20"/>
                <w:szCs w:val="20"/>
                <w:u w:val="single"/>
                <w:lang w:val="ro-RO"/>
              </w:rPr>
            </w:pPr>
            <w:r w:rsidRPr="00C24162">
              <w:rPr>
                <w:rFonts w:ascii="Times New Roman" w:eastAsia="Times New Roman" w:hAnsi="Times New Roman"/>
                <w:b/>
                <w:sz w:val="20"/>
                <w:szCs w:val="20"/>
                <w:u w:val="single"/>
                <w:lang w:val="ro-RO"/>
              </w:rPr>
              <w:t xml:space="preserve">7 000 </w:t>
            </w:r>
            <w:proofErr w:type="spellStart"/>
            <w:r w:rsidRPr="00C24162">
              <w:rPr>
                <w:rFonts w:ascii="Times New Roman" w:eastAsia="Times New Roman" w:hAnsi="Times New Roman"/>
                <w:b/>
                <w:sz w:val="20"/>
                <w:szCs w:val="20"/>
                <w:u w:val="single"/>
                <w:lang w:val="ro-RO"/>
              </w:rPr>
              <w:t>000</w:t>
            </w:r>
            <w:proofErr w:type="spellEnd"/>
            <w:r w:rsidRPr="00C24162">
              <w:rPr>
                <w:rFonts w:ascii="Times New Roman" w:eastAsia="Times New Roman" w:hAnsi="Times New Roman"/>
                <w:b/>
                <w:sz w:val="20"/>
                <w:szCs w:val="20"/>
                <w:u w:val="single"/>
                <w:lang w:val="ro-RO"/>
              </w:rPr>
              <w:t xml:space="preserve"> EUR</w:t>
            </w:r>
          </w:p>
          <w:p w:rsidR="007E2E45" w:rsidRPr="00C24162" w:rsidRDefault="007E2E45" w:rsidP="007E2E45">
            <w:pPr>
              <w:spacing w:after="0"/>
              <w:jc w:val="center"/>
              <w:rPr>
                <w:rFonts w:ascii="Times New Roman" w:eastAsia="Times New Roman" w:hAnsi="Times New Roman"/>
                <w:b/>
                <w:sz w:val="20"/>
                <w:szCs w:val="20"/>
                <w:lang w:val="ro-RO"/>
              </w:rPr>
            </w:pPr>
          </w:p>
          <w:p w:rsidR="007E2E45" w:rsidRPr="00C24162" w:rsidRDefault="007E2E45" w:rsidP="007E2E45">
            <w:pPr>
              <w:spacing w:after="0"/>
              <w:jc w:val="center"/>
              <w:rPr>
                <w:rFonts w:ascii="Times New Roman" w:eastAsia="Times New Roman" w:hAnsi="Times New Roman"/>
                <w:b/>
                <w:sz w:val="20"/>
                <w:szCs w:val="20"/>
                <w:lang w:val="ro-RO"/>
              </w:rPr>
            </w:pPr>
          </w:p>
          <w:p w:rsidR="007E2E45" w:rsidRPr="00C24162" w:rsidRDefault="007E2E45" w:rsidP="000A0FFE">
            <w:pPr>
              <w:spacing w:after="0"/>
              <w:jc w:val="center"/>
              <w:rPr>
                <w:rFonts w:ascii="Times New Roman" w:eastAsia="Times New Roman" w:hAnsi="Times New Roman"/>
                <w:b/>
                <w:sz w:val="20"/>
                <w:szCs w:val="20"/>
                <w:lang w:val="ro-RO"/>
              </w:rPr>
            </w:pPr>
            <w:r w:rsidRPr="00C24162">
              <w:rPr>
                <w:rFonts w:ascii="Times New Roman" w:eastAsia="Times New Roman" w:hAnsi="Times New Roman"/>
                <w:sz w:val="20"/>
                <w:szCs w:val="20"/>
                <w:lang w:val="ro-RO"/>
              </w:rPr>
              <w:t xml:space="preserve">(dintre care pentru  2014 – </w:t>
            </w:r>
            <w:r w:rsidRPr="00C24162">
              <w:rPr>
                <w:rFonts w:ascii="Times New Roman" w:eastAsia="Times New Roman" w:hAnsi="Times New Roman"/>
                <w:sz w:val="20"/>
                <w:szCs w:val="20"/>
                <w:u w:val="single"/>
                <w:lang w:val="ro-RO"/>
              </w:rPr>
              <w:t xml:space="preserve">1 </w:t>
            </w:r>
            <w:r w:rsidR="000A0FFE" w:rsidRPr="00C24162">
              <w:rPr>
                <w:rFonts w:ascii="Times New Roman" w:eastAsia="Times New Roman" w:hAnsi="Times New Roman"/>
                <w:sz w:val="20"/>
                <w:szCs w:val="20"/>
                <w:u w:val="single"/>
                <w:lang w:val="ro-RO"/>
              </w:rPr>
              <w:t>519 968</w:t>
            </w:r>
            <w:r w:rsidRPr="00C24162">
              <w:rPr>
                <w:rFonts w:ascii="Times New Roman" w:eastAsia="Times New Roman" w:hAnsi="Times New Roman"/>
                <w:sz w:val="20"/>
                <w:szCs w:val="20"/>
                <w:u w:val="single"/>
                <w:lang w:val="ro-RO"/>
              </w:rPr>
              <w:t xml:space="preserve"> EUR)</w:t>
            </w:r>
          </w:p>
        </w:tc>
        <w:tc>
          <w:tcPr>
            <w:tcW w:w="1304" w:type="dxa"/>
            <w:gridSpan w:val="4"/>
            <w:tcBorders>
              <w:left w:val="single" w:sz="4" w:space="0" w:color="auto"/>
              <w:bottom w:val="single" w:sz="4" w:space="0" w:color="auto"/>
              <w:right w:val="single" w:sz="4" w:space="0" w:color="auto"/>
            </w:tcBorders>
          </w:tcPr>
          <w:p w:rsidR="007E2E45" w:rsidRPr="00C24162" w:rsidRDefault="007E2E45" w:rsidP="00FE3455">
            <w:pPr>
              <w:jc w:val="center"/>
              <w:rPr>
                <w:rFonts w:ascii="Times New Roman" w:eastAsia="Times New Roman" w:hAnsi="Times New Roman"/>
                <w:b/>
                <w:sz w:val="20"/>
                <w:szCs w:val="20"/>
                <w:lang w:val="ro-RO"/>
              </w:rPr>
            </w:pPr>
          </w:p>
        </w:tc>
        <w:tc>
          <w:tcPr>
            <w:tcW w:w="6520" w:type="dxa"/>
            <w:gridSpan w:val="5"/>
            <w:tcBorders>
              <w:left w:val="single" w:sz="4" w:space="0" w:color="auto"/>
              <w:bottom w:val="single" w:sz="4" w:space="0" w:color="auto"/>
              <w:right w:val="single" w:sz="4" w:space="0" w:color="auto"/>
            </w:tcBorders>
          </w:tcPr>
          <w:p w:rsidR="007E2E45" w:rsidRPr="00C24162" w:rsidRDefault="007E2E45" w:rsidP="00144B4F">
            <w:pPr>
              <w:jc w:val="both"/>
              <w:rPr>
                <w:rFonts w:ascii="Times New Roman" w:eastAsia="Times New Roman" w:hAnsi="Times New Roman"/>
                <w:b/>
                <w:i/>
                <w:sz w:val="20"/>
                <w:szCs w:val="20"/>
                <w:lang w:val="ro-RO"/>
              </w:rPr>
            </w:pPr>
            <w:r w:rsidRPr="00C24162">
              <w:rPr>
                <w:rFonts w:ascii="Times New Roman" w:eastAsia="Times New Roman" w:hAnsi="Times New Roman"/>
                <w:b/>
                <w:i/>
                <w:sz w:val="20"/>
                <w:szCs w:val="20"/>
                <w:lang w:val="ro-RO"/>
              </w:rPr>
              <w:t>Conducta de interconectare a sistemului naţional de transport gaze din România cu sistemul de transport gaze din RM pe direcţia rîul Prut –s. Todireşti, Ungheni (2013-2015)</w:t>
            </w:r>
          </w:p>
          <w:p w:rsidR="007E2E45" w:rsidRPr="00C24162" w:rsidRDefault="007E2E45" w:rsidP="00011616">
            <w:pPr>
              <w:spacing w:after="0" w:line="240" w:lineRule="auto"/>
              <w:jc w:val="both"/>
              <w:rPr>
                <w:rFonts w:ascii="Times New Roman" w:eastAsia="Times New Roman" w:hAnsi="Times New Roman"/>
                <w:b/>
                <w:i/>
                <w:color w:val="000000" w:themeColor="text1"/>
                <w:sz w:val="20"/>
                <w:szCs w:val="20"/>
                <w:u w:val="single"/>
                <w:lang w:val="ro-RO"/>
              </w:rPr>
            </w:pPr>
            <w:r w:rsidRPr="00C24162">
              <w:rPr>
                <w:rFonts w:ascii="Times New Roman" w:eastAsia="Times New Roman" w:hAnsi="Times New Roman"/>
                <w:b/>
                <w:i/>
                <w:color w:val="000000" w:themeColor="text1"/>
                <w:sz w:val="20"/>
                <w:szCs w:val="20"/>
                <w:u w:val="single"/>
                <w:lang w:val="ro-RO"/>
              </w:rPr>
              <w:t>Rezultate:</w:t>
            </w:r>
          </w:p>
          <w:p w:rsidR="007E2E45" w:rsidRPr="00C24162" w:rsidRDefault="007E2E45" w:rsidP="00FE3455">
            <w:pPr>
              <w:pStyle w:val="Listparagraf"/>
              <w:numPr>
                <w:ilvl w:val="0"/>
                <w:numId w:val="17"/>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Stația de măsurare a gazelor pentru gazoductul Ungheni-Iași construită</w:t>
            </w:r>
            <w:r w:rsidRPr="00C24162">
              <w:rPr>
                <w:rFonts w:ascii="Times New Roman" w:eastAsia="Times New Roman" w:hAnsi="Times New Roman"/>
                <w:sz w:val="20"/>
                <w:szCs w:val="20"/>
                <w:lang w:val="en-US"/>
              </w:rPr>
              <w:t>;</w:t>
            </w:r>
          </w:p>
          <w:p w:rsidR="007E2E45" w:rsidRPr="00C24162" w:rsidRDefault="007E2E45" w:rsidP="00FE3455">
            <w:pPr>
              <w:pStyle w:val="Listparagraf"/>
              <w:numPr>
                <w:ilvl w:val="0"/>
                <w:numId w:val="17"/>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Gazoductul Ungheni-Iasi construit;</w:t>
            </w:r>
          </w:p>
          <w:p w:rsidR="007E2E45" w:rsidRPr="00C24162" w:rsidRDefault="007E2E45" w:rsidP="00FE3455">
            <w:pPr>
              <w:pStyle w:val="Listparagraf"/>
              <w:numPr>
                <w:ilvl w:val="0"/>
                <w:numId w:val="17"/>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Asistenta tehnica valorificată pentru construcția gazoductului de interconexiune pe direcția Ungheni-Iasi</w:t>
            </w:r>
          </w:p>
          <w:p w:rsidR="007E2E45" w:rsidRPr="00C24162" w:rsidRDefault="007E2E45" w:rsidP="00144B4F">
            <w:pPr>
              <w:jc w:val="both"/>
              <w:rPr>
                <w:rFonts w:ascii="Times New Roman" w:eastAsia="Times New Roman" w:hAnsi="Times New Roman"/>
                <w:sz w:val="20"/>
                <w:szCs w:val="20"/>
                <w:lang w:val="ro-RO"/>
              </w:rPr>
            </w:pPr>
          </w:p>
          <w:p w:rsidR="007E2E45" w:rsidRPr="00C24162" w:rsidRDefault="007E2E45" w:rsidP="00144B4F">
            <w:pPr>
              <w:jc w:val="both"/>
              <w:rPr>
                <w:rFonts w:ascii="Times New Roman" w:eastAsia="Times New Roman" w:hAnsi="Times New Roman"/>
                <w:sz w:val="20"/>
                <w:szCs w:val="20"/>
                <w:lang w:val="ro-RO"/>
              </w:rPr>
            </w:pPr>
          </w:p>
        </w:tc>
      </w:tr>
      <w:tr w:rsidR="00D84BEE" w:rsidRPr="00C24162" w:rsidTr="00360444">
        <w:tc>
          <w:tcPr>
            <w:tcW w:w="14992" w:type="dxa"/>
            <w:gridSpan w:val="23"/>
            <w:tcBorders>
              <w:top w:val="single" w:sz="4" w:space="0" w:color="auto"/>
              <w:left w:val="single" w:sz="4" w:space="0" w:color="auto"/>
              <w:bottom w:val="single" w:sz="4" w:space="0" w:color="auto"/>
              <w:right w:val="single" w:sz="4" w:space="0" w:color="auto"/>
            </w:tcBorders>
            <w:shd w:val="clear" w:color="auto" w:fill="C4BC96"/>
          </w:tcPr>
          <w:p w:rsidR="00D84BEE" w:rsidRPr="00C24162" w:rsidRDefault="00D84BEE">
            <w:pPr>
              <w:jc w:val="center"/>
              <w:rPr>
                <w:rFonts w:ascii="Times New Roman" w:eastAsia="Times New Roman" w:hAnsi="Times New Roman"/>
                <w:b/>
                <w:sz w:val="20"/>
                <w:szCs w:val="20"/>
                <w:lang w:val="ro-RO"/>
              </w:rPr>
            </w:pPr>
          </w:p>
        </w:tc>
      </w:tr>
      <w:tr w:rsidR="00C75450" w:rsidRPr="00C24162" w:rsidTr="00F7104A">
        <w:tc>
          <w:tcPr>
            <w:tcW w:w="1522" w:type="dxa"/>
            <w:tcBorders>
              <w:top w:val="single" w:sz="4" w:space="0" w:color="auto"/>
              <w:left w:val="single" w:sz="4" w:space="0" w:color="auto"/>
              <w:bottom w:val="single" w:sz="4" w:space="0" w:color="auto"/>
              <w:right w:val="single" w:sz="4" w:space="0" w:color="auto"/>
            </w:tcBorders>
            <w:hideMark/>
          </w:tcPr>
          <w:p w:rsidR="00D84BEE" w:rsidRPr="00C24162" w:rsidRDefault="00D84BEE">
            <w:pPr>
              <w:jc w:val="both"/>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Programe de suport bugetar</w:t>
            </w:r>
          </w:p>
        </w:tc>
        <w:tc>
          <w:tcPr>
            <w:tcW w:w="996" w:type="dxa"/>
            <w:gridSpan w:val="2"/>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Donatorul</w:t>
            </w:r>
          </w:p>
        </w:tc>
        <w:tc>
          <w:tcPr>
            <w:tcW w:w="1418" w:type="dxa"/>
            <w:gridSpan w:val="3"/>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Titlul programului</w:t>
            </w:r>
          </w:p>
        </w:tc>
        <w:tc>
          <w:tcPr>
            <w:tcW w:w="1417" w:type="dxa"/>
            <w:gridSpan w:val="6"/>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Buget (Euro)</w:t>
            </w:r>
          </w:p>
        </w:tc>
        <w:tc>
          <w:tcPr>
            <w:tcW w:w="9639" w:type="dxa"/>
            <w:gridSpan w:val="11"/>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Rezultatele atinse la nivel de obiective</w:t>
            </w:r>
          </w:p>
        </w:tc>
      </w:tr>
      <w:tr w:rsidR="00316657" w:rsidRPr="00C24162" w:rsidTr="00F7104A">
        <w:tc>
          <w:tcPr>
            <w:tcW w:w="1522" w:type="dxa"/>
            <w:vMerge w:val="restart"/>
            <w:tcBorders>
              <w:top w:val="single" w:sz="4" w:space="0" w:color="auto"/>
              <w:left w:val="single" w:sz="4" w:space="0" w:color="auto"/>
              <w:right w:val="single" w:sz="4" w:space="0" w:color="auto"/>
            </w:tcBorders>
          </w:tcPr>
          <w:p w:rsidR="00E777BD" w:rsidRPr="00C24162" w:rsidRDefault="00E777BD" w:rsidP="00765D25">
            <w:pPr>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3</w:t>
            </w:r>
          </w:p>
        </w:tc>
        <w:tc>
          <w:tcPr>
            <w:tcW w:w="996" w:type="dxa"/>
            <w:gridSpan w:val="2"/>
            <w:vMerge w:val="restart"/>
            <w:tcBorders>
              <w:top w:val="single" w:sz="4" w:space="0" w:color="auto"/>
              <w:left w:val="single" w:sz="4" w:space="0" w:color="auto"/>
              <w:right w:val="single" w:sz="4" w:space="0" w:color="auto"/>
            </w:tcBorders>
          </w:tcPr>
          <w:p w:rsidR="00E777BD" w:rsidRPr="00C24162" w:rsidRDefault="00F7104A">
            <w:pPr>
              <w:jc w:val="center"/>
              <w:rPr>
                <w:rFonts w:ascii="Times New Roman" w:eastAsia="Times New Roman" w:hAnsi="Times New Roman"/>
                <w:sz w:val="20"/>
                <w:szCs w:val="20"/>
                <w:lang w:val="ro-RO"/>
              </w:rPr>
            </w:pPr>
            <w:r>
              <w:rPr>
                <w:rFonts w:ascii="Times New Roman" w:eastAsia="Times New Roman" w:hAnsi="Times New Roman"/>
                <w:sz w:val="20"/>
                <w:szCs w:val="20"/>
                <w:lang w:val="ro-RO"/>
              </w:rPr>
              <w:t>UE</w:t>
            </w:r>
          </w:p>
        </w:tc>
        <w:tc>
          <w:tcPr>
            <w:tcW w:w="1418" w:type="dxa"/>
            <w:gridSpan w:val="3"/>
            <w:vMerge w:val="restart"/>
            <w:tcBorders>
              <w:top w:val="single" w:sz="4" w:space="0" w:color="auto"/>
              <w:left w:val="single" w:sz="4" w:space="0" w:color="auto"/>
              <w:right w:val="single" w:sz="4" w:space="0" w:color="auto"/>
            </w:tcBorders>
          </w:tcPr>
          <w:p w:rsidR="00E777BD" w:rsidRPr="00C24162" w:rsidRDefault="00E777BD" w:rsidP="00E777BD">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1.Programul de Suport Bugetar „Stimularea Economică în Zonele Rurale”  (ESRA)</w:t>
            </w:r>
          </w:p>
        </w:tc>
        <w:tc>
          <w:tcPr>
            <w:tcW w:w="1417" w:type="dxa"/>
            <w:gridSpan w:val="6"/>
            <w:vMerge w:val="restart"/>
            <w:tcBorders>
              <w:top w:val="single" w:sz="4" w:space="0" w:color="auto"/>
              <w:left w:val="single" w:sz="4" w:space="0" w:color="auto"/>
              <w:right w:val="single" w:sz="4" w:space="0" w:color="auto"/>
            </w:tcBorders>
          </w:tcPr>
          <w:p w:rsidR="00E777BD" w:rsidRPr="00C24162" w:rsidRDefault="00A345C9" w:rsidP="00FD156D">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68</w:t>
            </w:r>
            <w:r w:rsidR="00EB6EC1" w:rsidRPr="00C24162">
              <w:rPr>
                <w:rFonts w:ascii="Times New Roman" w:eastAsia="Times New Roman" w:hAnsi="Times New Roman"/>
                <w:b/>
                <w:sz w:val="20"/>
                <w:szCs w:val="20"/>
                <w:lang w:val="ro-RO"/>
              </w:rPr>
              <w:t xml:space="preserve"> </w:t>
            </w:r>
            <w:r w:rsidR="002B6FF4" w:rsidRPr="00C24162">
              <w:rPr>
                <w:rFonts w:ascii="Times New Roman" w:eastAsia="Times New Roman" w:hAnsi="Times New Roman"/>
                <w:b/>
                <w:sz w:val="20"/>
                <w:szCs w:val="20"/>
                <w:lang w:val="ro-RO"/>
              </w:rPr>
              <w:t xml:space="preserve">000 </w:t>
            </w:r>
            <w:proofErr w:type="spellStart"/>
            <w:r w:rsidR="002B6FF4" w:rsidRPr="00C24162">
              <w:rPr>
                <w:rFonts w:ascii="Times New Roman" w:eastAsia="Times New Roman" w:hAnsi="Times New Roman"/>
                <w:b/>
                <w:sz w:val="20"/>
                <w:szCs w:val="20"/>
                <w:lang w:val="ro-RO"/>
              </w:rPr>
              <w:t>000</w:t>
            </w:r>
            <w:proofErr w:type="spellEnd"/>
            <w:r w:rsidR="00E777BD" w:rsidRPr="00C24162">
              <w:rPr>
                <w:rFonts w:ascii="Times New Roman" w:eastAsia="Times New Roman" w:hAnsi="Times New Roman"/>
                <w:b/>
                <w:sz w:val="20"/>
                <w:szCs w:val="20"/>
                <w:lang w:val="ro-RO"/>
              </w:rPr>
              <w:t xml:space="preserve"> EUR</w:t>
            </w:r>
          </w:p>
          <w:p w:rsidR="00EB6EC1" w:rsidRPr="00C24162" w:rsidRDefault="00EB6EC1" w:rsidP="00ED4DDC">
            <w:pPr>
              <w:jc w:val="center"/>
              <w:rPr>
                <w:rFonts w:ascii="Times New Roman" w:eastAsia="Times New Roman" w:hAnsi="Times New Roman"/>
                <w:b/>
                <w:sz w:val="20"/>
                <w:szCs w:val="20"/>
                <w:lang w:val="ro-RO"/>
              </w:rPr>
            </w:pPr>
            <w:r w:rsidRPr="00C24162">
              <w:rPr>
                <w:rFonts w:ascii="Times New Roman" w:eastAsia="Times New Roman" w:hAnsi="Times New Roman"/>
                <w:sz w:val="20"/>
                <w:szCs w:val="20"/>
                <w:lang w:val="ro-RO"/>
              </w:rPr>
              <w:t>(dintre care 2014 -</w:t>
            </w:r>
            <w:r w:rsidR="00ED4DDC" w:rsidRPr="00C24162">
              <w:rPr>
                <w:rFonts w:ascii="Times New Roman" w:eastAsia="Times New Roman" w:hAnsi="Times New Roman"/>
                <w:sz w:val="20"/>
                <w:szCs w:val="20"/>
                <w:u w:val="single"/>
                <w:lang w:val="ro-RO"/>
              </w:rPr>
              <w:t xml:space="preserve">13 160 000 </w:t>
            </w:r>
            <w:r w:rsidRPr="00C24162">
              <w:rPr>
                <w:rFonts w:ascii="Times New Roman" w:eastAsia="Times New Roman" w:hAnsi="Times New Roman"/>
                <w:sz w:val="20"/>
                <w:szCs w:val="20"/>
                <w:u w:val="single"/>
                <w:lang w:val="ro-RO"/>
              </w:rPr>
              <w:t>EUR</w:t>
            </w:r>
            <w:r w:rsidRPr="00C24162">
              <w:rPr>
                <w:rFonts w:ascii="Times New Roman" w:eastAsia="Times New Roman" w:hAnsi="Times New Roman"/>
                <w:sz w:val="20"/>
                <w:szCs w:val="20"/>
                <w:lang w:val="ro-RO"/>
              </w:rPr>
              <w:t>)</w:t>
            </w:r>
          </w:p>
        </w:tc>
        <w:tc>
          <w:tcPr>
            <w:tcW w:w="2263" w:type="dxa"/>
            <w:gridSpan w:val="4"/>
            <w:tcBorders>
              <w:top w:val="single" w:sz="4" w:space="0" w:color="auto"/>
              <w:left w:val="single" w:sz="4" w:space="0" w:color="auto"/>
              <w:bottom w:val="single" w:sz="4" w:space="0" w:color="auto"/>
              <w:right w:val="single" w:sz="4" w:space="0" w:color="auto"/>
            </w:tcBorders>
            <w:hideMark/>
          </w:tcPr>
          <w:p w:rsidR="00E777BD" w:rsidRPr="00C24162" w:rsidRDefault="00E777BD">
            <w:pPr>
              <w:jc w:val="center"/>
              <w:rPr>
                <w:rFonts w:ascii="Times New Roman" w:eastAsia="Times New Roman" w:hAnsi="Times New Roman"/>
                <w:sz w:val="20"/>
                <w:szCs w:val="20"/>
                <w:lang w:val="ro-RO"/>
              </w:rPr>
            </w:pPr>
            <w:r w:rsidRPr="00C24162">
              <w:rPr>
                <w:rFonts w:ascii="Times New Roman" w:eastAsia="Times New Roman" w:hAnsi="Times New Roman"/>
                <w:b/>
                <w:sz w:val="20"/>
                <w:szCs w:val="20"/>
                <w:lang w:val="ro-RO"/>
              </w:rPr>
              <w:t>Obiectiv</w:t>
            </w:r>
            <w:r w:rsidRPr="00C24162">
              <w:rPr>
                <w:rFonts w:ascii="Times New Roman" w:hAnsi="Times New Roman"/>
                <w:b/>
                <w:sz w:val="20"/>
                <w:szCs w:val="20"/>
                <w:lang w:val="en-US"/>
              </w:rPr>
              <w:t xml:space="preserve"> </w:t>
            </w:r>
            <w:r w:rsidRPr="00C24162">
              <w:rPr>
                <w:rFonts w:ascii="Times New Roman" w:hAnsi="Times New Roman"/>
                <w:b/>
                <w:sz w:val="20"/>
                <w:szCs w:val="20"/>
                <w:lang w:val="ro-RO"/>
              </w:rPr>
              <w:t>1.</w:t>
            </w:r>
            <w:r w:rsidRPr="00C24162">
              <w:rPr>
                <w:rFonts w:ascii="Times New Roman" w:hAnsi="Times New Roman"/>
                <w:sz w:val="20"/>
                <w:szCs w:val="20"/>
                <w:lang w:val="ro-RO"/>
              </w:rPr>
              <w:t xml:space="preserve"> </w:t>
            </w:r>
            <w:r w:rsidRPr="00C24162">
              <w:rPr>
                <w:rFonts w:ascii="Times New Roman" w:eastAsia="Times New Roman" w:hAnsi="Times New Roman"/>
                <w:i/>
                <w:sz w:val="20"/>
                <w:szCs w:val="20"/>
                <w:lang w:val="ro-RO"/>
              </w:rPr>
              <w:t>Suport oferit fondului de granturi pentru Programul Naţional de Abilitare Economică a Tinerilor (PNAET) 1</w:t>
            </w:r>
          </w:p>
          <w:p w:rsidR="00E777BD" w:rsidRPr="00C24162" w:rsidRDefault="00E777BD">
            <w:pPr>
              <w:jc w:val="center"/>
              <w:rPr>
                <w:rFonts w:ascii="Times New Roman" w:eastAsia="Times New Roman" w:hAnsi="Times New Roman"/>
                <w:sz w:val="20"/>
                <w:szCs w:val="20"/>
                <w:lang w:val="ro-RO"/>
              </w:rPr>
            </w:pPr>
          </w:p>
        </w:tc>
        <w:tc>
          <w:tcPr>
            <w:tcW w:w="7376" w:type="dxa"/>
            <w:gridSpan w:val="7"/>
            <w:tcBorders>
              <w:top w:val="single" w:sz="4" w:space="0" w:color="auto"/>
              <w:left w:val="single" w:sz="4" w:space="0" w:color="auto"/>
              <w:bottom w:val="single" w:sz="4" w:space="0" w:color="auto"/>
              <w:right w:val="single" w:sz="4" w:space="0" w:color="auto"/>
            </w:tcBorders>
          </w:tcPr>
          <w:p w:rsidR="00E777BD" w:rsidRPr="00C24162" w:rsidRDefault="00E777BD" w:rsidP="00270CCF">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90 afaceri rurale noi create, din care 27 sunt deţinute şi/sau gestionate de femei</w:t>
            </w:r>
          </w:p>
          <w:p w:rsidR="00E777BD" w:rsidRPr="00C24162" w:rsidRDefault="00E777BD" w:rsidP="00270CCF">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100 de locuri noi de muncă  (NI) create, din care 33 sunt femei</w:t>
            </w:r>
          </w:p>
          <w:p w:rsidR="00E777BD" w:rsidRPr="00C24162" w:rsidRDefault="00E777BD" w:rsidP="00270CCF">
            <w:pPr>
              <w:jc w:val="both"/>
              <w:rPr>
                <w:rFonts w:ascii="Times New Roman" w:eastAsia="Times New Roman" w:hAnsi="Times New Roman"/>
                <w:b/>
                <w:sz w:val="20"/>
                <w:szCs w:val="20"/>
                <w:lang w:val="ro-RO"/>
              </w:rPr>
            </w:pPr>
            <w:r w:rsidRPr="00C24162">
              <w:rPr>
                <w:rFonts w:ascii="Times New Roman" w:eastAsia="Times New Roman" w:hAnsi="Times New Roman"/>
                <w:sz w:val="20"/>
                <w:szCs w:val="20"/>
                <w:lang w:val="ro-RO"/>
              </w:rPr>
              <w:t>500 potenţiali beneficiatori ai programului sunt informaţi prin intermediul iniţiativelor şi activităţilor de sensibilizare</w:t>
            </w:r>
          </w:p>
        </w:tc>
      </w:tr>
      <w:tr w:rsidR="00316657" w:rsidRPr="00C24162" w:rsidTr="00F7104A">
        <w:tc>
          <w:tcPr>
            <w:tcW w:w="1522" w:type="dxa"/>
            <w:vMerge/>
            <w:tcBorders>
              <w:left w:val="single" w:sz="4" w:space="0" w:color="auto"/>
              <w:right w:val="single" w:sz="4" w:space="0" w:color="auto"/>
            </w:tcBorders>
            <w:vAlign w:val="center"/>
            <w:hideMark/>
          </w:tcPr>
          <w:p w:rsidR="00E777BD" w:rsidRPr="00C24162" w:rsidRDefault="00E777BD">
            <w:pPr>
              <w:spacing w:after="0" w:line="240" w:lineRule="auto"/>
              <w:rPr>
                <w:rFonts w:ascii="Times New Roman" w:eastAsia="Times New Roman" w:hAnsi="Times New Roman"/>
                <w:b/>
                <w:sz w:val="20"/>
                <w:szCs w:val="20"/>
                <w:lang w:val="ro-RO"/>
              </w:rPr>
            </w:pPr>
          </w:p>
        </w:tc>
        <w:tc>
          <w:tcPr>
            <w:tcW w:w="996" w:type="dxa"/>
            <w:gridSpan w:val="2"/>
            <w:vMerge/>
            <w:tcBorders>
              <w:left w:val="single" w:sz="4" w:space="0" w:color="auto"/>
              <w:right w:val="single" w:sz="4" w:space="0" w:color="auto"/>
            </w:tcBorders>
            <w:vAlign w:val="center"/>
            <w:hideMark/>
          </w:tcPr>
          <w:p w:rsidR="00E777BD" w:rsidRPr="00C24162" w:rsidRDefault="00E777BD">
            <w:pPr>
              <w:spacing w:after="0" w:line="240" w:lineRule="auto"/>
              <w:rPr>
                <w:rFonts w:ascii="Times New Roman" w:eastAsia="Times New Roman" w:hAnsi="Times New Roman"/>
                <w:b/>
                <w:sz w:val="20"/>
                <w:szCs w:val="20"/>
                <w:lang w:val="ro-RO"/>
              </w:rPr>
            </w:pPr>
          </w:p>
        </w:tc>
        <w:tc>
          <w:tcPr>
            <w:tcW w:w="1418" w:type="dxa"/>
            <w:gridSpan w:val="3"/>
            <w:vMerge/>
            <w:tcBorders>
              <w:left w:val="single" w:sz="4" w:space="0" w:color="auto"/>
              <w:right w:val="single" w:sz="4" w:space="0" w:color="auto"/>
            </w:tcBorders>
            <w:vAlign w:val="center"/>
            <w:hideMark/>
          </w:tcPr>
          <w:p w:rsidR="00E777BD" w:rsidRPr="00C24162" w:rsidRDefault="00E777BD">
            <w:pPr>
              <w:spacing w:after="0" w:line="240" w:lineRule="auto"/>
              <w:rPr>
                <w:rFonts w:ascii="Times New Roman" w:eastAsia="Times New Roman" w:hAnsi="Times New Roman"/>
                <w:b/>
                <w:sz w:val="20"/>
                <w:szCs w:val="20"/>
                <w:lang w:val="ro-RO"/>
              </w:rPr>
            </w:pPr>
          </w:p>
        </w:tc>
        <w:tc>
          <w:tcPr>
            <w:tcW w:w="1417" w:type="dxa"/>
            <w:gridSpan w:val="6"/>
            <w:vMerge/>
            <w:tcBorders>
              <w:left w:val="single" w:sz="4" w:space="0" w:color="auto"/>
              <w:right w:val="single" w:sz="4" w:space="0" w:color="auto"/>
            </w:tcBorders>
            <w:vAlign w:val="center"/>
            <w:hideMark/>
          </w:tcPr>
          <w:p w:rsidR="00E777BD" w:rsidRPr="00C24162" w:rsidRDefault="00E777BD">
            <w:pPr>
              <w:spacing w:after="0" w:line="240" w:lineRule="auto"/>
              <w:rPr>
                <w:rFonts w:ascii="Times New Roman" w:eastAsia="Times New Roman" w:hAnsi="Times New Roman"/>
                <w:b/>
                <w:sz w:val="20"/>
                <w:szCs w:val="20"/>
                <w:lang w:val="ro-RO"/>
              </w:rPr>
            </w:pPr>
          </w:p>
        </w:tc>
        <w:tc>
          <w:tcPr>
            <w:tcW w:w="2263" w:type="dxa"/>
            <w:gridSpan w:val="4"/>
            <w:tcBorders>
              <w:top w:val="single" w:sz="4" w:space="0" w:color="auto"/>
              <w:left w:val="single" w:sz="4" w:space="0" w:color="auto"/>
              <w:bottom w:val="single" w:sz="4" w:space="0" w:color="auto"/>
              <w:right w:val="single" w:sz="4" w:space="0" w:color="auto"/>
            </w:tcBorders>
            <w:hideMark/>
          </w:tcPr>
          <w:p w:rsidR="00E777BD" w:rsidRPr="00C24162" w:rsidRDefault="00E777BD" w:rsidP="00E777BD">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Obiectiv 2.</w:t>
            </w:r>
            <w:r w:rsidRPr="00C24162">
              <w:rPr>
                <w:rFonts w:ascii="Times New Roman" w:hAnsi="Times New Roman"/>
                <w:sz w:val="20"/>
                <w:szCs w:val="20"/>
                <w:lang w:val="en-US"/>
              </w:rPr>
              <w:t xml:space="preserve"> </w:t>
            </w:r>
            <w:r w:rsidRPr="00C24162">
              <w:rPr>
                <w:rFonts w:ascii="Times New Roman" w:eastAsia="Times New Roman" w:hAnsi="Times New Roman"/>
                <w:i/>
                <w:sz w:val="20"/>
                <w:szCs w:val="20"/>
                <w:lang w:val="ro-RO"/>
              </w:rPr>
              <w:t xml:space="preserve">Suport oferit Schemei de garantare a </w:t>
            </w:r>
            <w:r w:rsidRPr="00C24162">
              <w:rPr>
                <w:rFonts w:ascii="Times New Roman" w:eastAsia="Times New Roman" w:hAnsi="Times New Roman"/>
                <w:i/>
                <w:sz w:val="20"/>
                <w:szCs w:val="20"/>
                <w:lang w:val="ro-RO"/>
              </w:rPr>
              <w:lastRenderedPageBreak/>
              <w:t>creditelor (SGC) pentru afacerile din mediul rural</w:t>
            </w:r>
          </w:p>
        </w:tc>
        <w:tc>
          <w:tcPr>
            <w:tcW w:w="7376" w:type="dxa"/>
            <w:gridSpan w:val="7"/>
            <w:tcBorders>
              <w:top w:val="single" w:sz="4" w:space="0" w:color="auto"/>
              <w:left w:val="single" w:sz="4" w:space="0" w:color="auto"/>
              <w:bottom w:val="single" w:sz="4" w:space="0" w:color="auto"/>
              <w:right w:val="single" w:sz="4" w:space="0" w:color="auto"/>
            </w:tcBorders>
          </w:tcPr>
          <w:p w:rsidR="00E777BD" w:rsidRPr="00C24162" w:rsidRDefault="00E777BD" w:rsidP="00F73493">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lastRenderedPageBreak/>
              <w:t xml:space="preserve">120 de garanţii active până la finele 2014, din care 35 afaceri noi conectate (la Program) </w:t>
            </w:r>
            <w:r w:rsidRPr="00C24162">
              <w:rPr>
                <w:rFonts w:ascii="Times New Roman" w:eastAsia="Times New Roman" w:hAnsi="Times New Roman"/>
                <w:sz w:val="20"/>
                <w:szCs w:val="20"/>
                <w:lang w:val="ro-RO"/>
              </w:rPr>
              <w:lastRenderedPageBreak/>
              <w:t xml:space="preserve">au fost generate în 2014. </w:t>
            </w:r>
          </w:p>
          <w:p w:rsidR="00E777BD" w:rsidRPr="00C24162" w:rsidRDefault="00E777BD" w:rsidP="00F73493">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Din aceste 35 afaceri noi conectate în 2014, 10 sunt deţinute şi/sau gestionate de femei.</w:t>
            </w:r>
          </w:p>
          <w:p w:rsidR="00E777BD" w:rsidRPr="00C24162" w:rsidRDefault="00E777BD" w:rsidP="00F73493">
            <w:pP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120 de locuri noi / existente de muncă (NI) create / păstrate din care 36 sunt femei</w:t>
            </w:r>
          </w:p>
        </w:tc>
      </w:tr>
      <w:tr w:rsidR="00316657" w:rsidRPr="00C24162" w:rsidTr="00F7104A">
        <w:tc>
          <w:tcPr>
            <w:tcW w:w="1522" w:type="dxa"/>
            <w:vMerge/>
            <w:tcBorders>
              <w:left w:val="single" w:sz="4" w:space="0" w:color="auto"/>
              <w:right w:val="single" w:sz="4" w:space="0" w:color="auto"/>
            </w:tcBorders>
            <w:vAlign w:val="center"/>
            <w:hideMark/>
          </w:tcPr>
          <w:p w:rsidR="00E777BD" w:rsidRPr="00C24162" w:rsidRDefault="00E777BD">
            <w:pPr>
              <w:spacing w:after="0" w:line="240" w:lineRule="auto"/>
              <w:rPr>
                <w:rFonts w:ascii="Times New Roman" w:eastAsia="Times New Roman" w:hAnsi="Times New Roman"/>
                <w:b/>
                <w:sz w:val="20"/>
                <w:szCs w:val="20"/>
                <w:lang w:val="ro-RO"/>
              </w:rPr>
            </w:pPr>
          </w:p>
        </w:tc>
        <w:tc>
          <w:tcPr>
            <w:tcW w:w="996" w:type="dxa"/>
            <w:gridSpan w:val="2"/>
            <w:vMerge/>
            <w:tcBorders>
              <w:left w:val="single" w:sz="4" w:space="0" w:color="auto"/>
              <w:right w:val="single" w:sz="4" w:space="0" w:color="auto"/>
            </w:tcBorders>
            <w:vAlign w:val="center"/>
            <w:hideMark/>
          </w:tcPr>
          <w:p w:rsidR="00E777BD" w:rsidRPr="00C24162" w:rsidRDefault="00E777BD">
            <w:pPr>
              <w:spacing w:after="0" w:line="240" w:lineRule="auto"/>
              <w:rPr>
                <w:rFonts w:ascii="Times New Roman" w:eastAsia="Times New Roman" w:hAnsi="Times New Roman"/>
                <w:b/>
                <w:sz w:val="20"/>
                <w:szCs w:val="20"/>
                <w:lang w:val="ro-RO"/>
              </w:rPr>
            </w:pPr>
          </w:p>
        </w:tc>
        <w:tc>
          <w:tcPr>
            <w:tcW w:w="1418" w:type="dxa"/>
            <w:gridSpan w:val="3"/>
            <w:vMerge/>
            <w:tcBorders>
              <w:left w:val="single" w:sz="4" w:space="0" w:color="auto"/>
              <w:right w:val="single" w:sz="4" w:space="0" w:color="auto"/>
            </w:tcBorders>
            <w:vAlign w:val="center"/>
            <w:hideMark/>
          </w:tcPr>
          <w:p w:rsidR="00E777BD" w:rsidRPr="00C24162" w:rsidRDefault="00E777BD">
            <w:pPr>
              <w:spacing w:after="0" w:line="240" w:lineRule="auto"/>
              <w:rPr>
                <w:rFonts w:ascii="Times New Roman" w:eastAsia="Times New Roman" w:hAnsi="Times New Roman"/>
                <w:b/>
                <w:sz w:val="20"/>
                <w:szCs w:val="20"/>
                <w:lang w:val="ro-RO"/>
              </w:rPr>
            </w:pPr>
          </w:p>
        </w:tc>
        <w:tc>
          <w:tcPr>
            <w:tcW w:w="1417" w:type="dxa"/>
            <w:gridSpan w:val="6"/>
            <w:vMerge/>
            <w:tcBorders>
              <w:left w:val="single" w:sz="4" w:space="0" w:color="auto"/>
              <w:right w:val="single" w:sz="4" w:space="0" w:color="auto"/>
            </w:tcBorders>
            <w:vAlign w:val="center"/>
            <w:hideMark/>
          </w:tcPr>
          <w:p w:rsidR="00E777BD" w:rsidRPr="00C24162" w:rsidRDefault="00E777BD">
            <w:pPr>
              <w:spacing w:after="0" w:line="240" w:lineRule="auto"/>
              <w:rPr>
                <w:rFonts w:ascii="Times New Roman" w:eastAsia="Times New Roman" w:hAnsi="Times New Roman"/>
                <w:b/>
                <w:sz w:val="20"/>
                <w:szCs w:val="20"/>
                <w:lang w:val="ro-RO"/>
              </w:rPr>
            </w:pPr>
          </w:p>
        </w:tc>
        <w:tc>
          <w:tcPr>
            <w:tcW w:w="2263" w:type="dxa"/>
            <w:gridSpan w:val="4"/>
            <w:tcBorders>
              <w:top w:val="single" w:sz="4" w:space="0" w:color="auto"/>
              <w:left w:val="single" w:sz="4" w:space="0" w:color="auto"/>
              <w:bottom w:val="single" w:sz="4" w:space="0" w:color="auto"/>
              <w:right w:val="single" w:sz="4" w:space="0" w:color="auto"/>
            </w:tcBorders>
            <w:hideMark/>
          </w:tcPr>
          <w:p w:rsidR="00E777BD" w:rsidRPr="00C24162" w:rsidRDefault="00E777BD" w:rsidP="00E777BD">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Obiectiv 3. </w:t>
            </w:r>
            <w:r w:rsidRPr="00C24162">
              <w:rPr>
                <w:rFonts w:ascii="Times New Roman" w:eastAsia="Times New Roman" w:hAnsi="Times New Roman"/>
                <w:i/>
                <w:sz w:val="20"/>
                <w:szCs w:val="20"/>
                <w:lang w:val="ro-RO"/>
              </w:rPr>
              <w:t>Suport oferit Programului Republicii Moldova de Atragere a Remitenţelor în Economie (PARE 1+1)</w:t>
            </w:r>
          </w:p>
        </w:tc>
        <w:tc>
          <w:tcPr>
            <w:tcW w:w="7376" w:type="dxa"/>
            <w:gridSpan w:val="7"/>
            <w:tcBorders>
              <w:top w:val="single" w:sz="4" w:space="0" w:color="auto"/>
              <w:left w:val="single" w:sz="4" w:space="0" w:color="auto"/>
              <w:bottom w:val="single" w:sz="4" w:space="0" w:color="auto"/>
              <w:right w:val="single" w:sz="4" w:space="0" w:color="auto"/>
            </w:tcBorders>
          </w:tcPr>
          <w:p w:rsidR="00E777BD" w:rsidRPr="00C24162" w:rsidRDefault="00E777BD" w:rsidP="00FD156D">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125 de grantul noi debursate în baza unui nou plafon maxim anunţat public, de până la 0.8 ml lei pentru fiecare grant individual                                                                             </w:t>
            </w:r>
          </w:p>
          <w:p w:rsidR="00E777BD" w:rsidRPr="00C24162" w:rsidRDefault="00E777BD" w:rsidP="005560A9">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30 afaceri noi create, din care 9 sunt deţinute şi/sau gestionate de femei                                                        </w:t>
            </w:r>
          </w:p>
          <w:p w:rsidR="00E777BD" w:rsidRPr="00C24162" w:rsidRDefault="00E777BD" w:rsidP="005560A9">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75 de locuri noi de muncă (NI) create, in care 22 sunt femei</w:t>
            </w:r>
          </w:p>
        </w:tc>
      </w:tr>
      <w:tr w:rsidR="00316657" w:rsidRPr="00C24162" w:rsidTr="00F7104A">
        <w:tc>
          <w:tcPr>
            <w:tcW w:w="1522" w:type="dxa"/>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996" w:type="dxa"/>
            <w:gridSpan w:val="2"/>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1418" w:type="dxa"/>
            <w:gridSpan w:val="3"/>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1417" w:type="dxa"/>
            <w:gridSpan w:val="6"/>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2263" w:type="dxa"/>
            <w:gridSpan w:val="4"/>
            <w:tcBorders>
              <w:top w:val="single" w:sz="4" w:space="0" w:color="auto"/>
              <w:left w:val="single" w:sz="4" w:space="0" w:color="auto"/>
              <w:bottom w:val="single" w:sz="4" w:space="0" w:color="auto"/>
              <w:right w:val="single" w:sz="4" w:space="0" w:color="auto"/>
            </w:tcBorders>
          </w:tcPr>
          <w:p w:rsidR="00E777BD" w:rsidRPr="00C24162" w:rsidRDefault="00E777BD" w:rsidP="00E777BD">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Obiectiv 4. </w:t>
            </w:r>
            <w:r w:rsidRPr="00C24162">
              <w:rPr>
                <w:rFonts w:ascii="Times New Roman" w:eastAsia="Times New Roman" w:hAnsi="Times New Roman"/>
                <w:i/>
                <w:sz w:val="20"/>
                <w:szCs w:val="20"/>
                <w:lang w:val="ro-RO"/>
              </w:rPr>
              <w:t>Suport oferit sectorului agricol prin intermediul Sistemului de granturi al Agenţiei de Intervenţie şi Plăţi pentru Agricultură (AIPA) prin utilizarea măsurilor similare Programului European de Vecinătate pentru Agricultură și Dezvoltare Rurală - ENPARD</w:t>
            </w:r>
          </w:p>
        </w:tc>
        <w:tc>
          <w:tcPr>
            <w:tcW w:w="7376" w:type="dxa"/>
            <w:gridSpan w:val="7"/>
            <w:tcBorders>
              <w:top w:val="single" w:sz="4" w:space="0" w:color="auto"/>
              <w:left w:val="single" w:sz="4" w:space="0" w:color="auto"/>
              <w:bottom w:val="single" w:sz="4" w:space="0" w:color="auto"/>
              <w:right w:val="single" w:sz="4" w:space="0" w:color="auto"/>
            </w:tcBorders>
          </w:tcPr>
          <w:p w:rsidR="00E777BD" w:rsidRPr="00C24162" w:rsidRDefault="00E777BD" w:rsidP="005560A9">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100 de ferme şi afaceri agricole care au beneficiat de suport în afaceri prin măsuri similare ENPARD                                                                                             </w:t>
            </w:r>
          </w:p>
          <w:p w:rsidR="00E777BD" w:rsidRPr="00C24162" w:rsidRDefault="00E777BD" w:rsidP="005560A9">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130 de locuri noi de muncă (NI) create prin măsuri similare ENPARD</w:t>
            </w:r>
          </w:p>
        </w:tc>
      </w:tr>
      <w:tr w:rsidR="00316657" w:rsidRPr="00C24162" w:rsidTr="00F7104A">
        <w:tc>
          <w:tcPr>
            <w:tcW w:w="1522" w:type="dxa"/>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996" w:type="dxa"/>
            <w:gridSpan w:val="2"/>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1418" w:type="dxa"/>
            <w:gridSpan w:val="3"/>
            <w:vMerge/>
            <w:tcBorders>
              <w:left w:val="single" w:sz="4" w:space="0" w:color="auto"/>
              <w:right w:val="single" w:sz="4" w:space="0" w:color="auto"/>
            </w:tcBorders>
            <w:vAlign w:val="center"/>
          </w:tcPr>
          <w:p w:rsidR="00E777BD" w:rsidRPr="00C24162" w:rsidRDefault="00E777BD" w:rsidP="00E777BD">
            <w:pPr>
              <w:spacing w:after="0" w:line="240" w:lineRule="auto"/>
              <w:jc w:val="center"/>
              <w:rPr>
                <w:rFonts w:ascii="Times New Roman" w:eastAsia="Times New Roman" w:hAnsi="Times New Roman"/>
                <w:b/>
                <w:sz w:val="20"/>
                <w:szCs w:val="20"/>
                <w:lang w:val="ro-RO"/>
              </w:rPr>
            </w:pPr>
          </w:p>
        </w:tc>
        <w:tc>
          <w:tcPr>
            <w:tcW w:w="1417" w:type="dxa"/>
            <w:gridSpan w:val="6"/>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2263" w:type="dxa"/>
            <w:gridSpan w:val="4"/>
            <w:tcBorders>
              <w:top w:val="single" w:sz="4" w:space="0" w:color="auto"/>
              <w:left w:val="single" w:sz="4" w:space="0" w:color="auto"/>
              <w:bottom w:val="single" w:sz="4" w:space="0" w:color="auto"/>
              <w:right w:val="single" w:sz="4" w:space="0" w:color="auto"/>
            </w:tcBorders>
          </w:tcPr>
          <w:p w:rsidR="00E777BD" w:rsidRPr="00C24162" w:rsidRDefault="00E777BD" w:rsidP="00E777BD">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Obiectiv 5. </w:t>
            </w:r>
            <w:r w:rsidRPr="00C24162">
              <w:rPr>
                <w:rFonts w:ascii="Times New Roman" w:eastAsia="Times New Roman" w:hAnsi="Times New Roman"/>
                <w:i/>
                <w:sz w:val="20"/>
                <w:szCs w:val="20"/>
                <w:lang w:val="ro-RO"/>
              </w:rPr>
              <w:t>Continuarea susţinerii Reţelei Incubatoarelor de Afaceri din Moldova</w:t>
            </w:r>
          </w:p>
        </w:tc>
        <w:tc>
          <w:tcPr>
            <w:tcW w:w="7376" w:type="dxa"/>
            <w:gridSpan w:val="7"/>
            <w:tcBorders>
              <w:top w:val="single" w:sz="4" w:space="0" w:color="auto"/>
              <w:left w:val="single" w:sz="4" w:space="0" w:color="auto"/>
              <w:bottom w:val="single" w:sz="4" w:space="0" w:color="auto"/>
              <w:right w:val="single" w:sz="4" w:space="0" w:color="auto"/>
            </w:tcBorders>
          </w:tcPr>
          <w:p w:rsidR="00E777BD" w:rsidRPr="00C24162" w:rsidRDefault="00E777BD" w:rsidP="005560A9">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15 afaceri noi deschise în fiecare din cele două Incubatoare de afaceri noi, din care 5 sunt deţinute şi/sau gestionate de femei.                                                         </w:t>
            </w:r>
          </w:p>
          <w:p w:rsidR="00E777BD" w:rsidRPr="00C24162" w:rsidRDefault="00E777BD" w:rsidP="005560A9">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25 de locuri noi de muncă (NI) create în fiecare din cele două Incubatoare de afaceri, din care 7 sunt femei.</w:t>
            </w:r>
          </w:p>
        </w:tc>
      </w:tr>
      <w:tr w:rsidR="00316657" w:rsidRPr="00C24162" w:rsidTr="00F7104A">
        <w:tc>
          <w:tcPr>
            <w:tcW w:w="1522" w:type="dxa"/>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996" w:type="dxa"/>
            <w:gridSpan w:val="2"/>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1418" w:type="dxa"/>
            <w:gridSpan w:val="3"/>
            <w:vMerge w:val="restart"/>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2. Suportul bugetar acordat de UE privind instituirea Zonei de Liber Schimb Aprofundat și Cuprinzător </w:t>
            </w:r>
            <w:r w:rsidRPr="00C24162">
              <w:rPr>
                <w:rFonts w:ascii="Times New Roman" w:eastAsia="Times New Roman" w:hAnsi="Times New Roman"/>
                <w:b/>
                <w:sz w:val="20"/>
                <w:szCs w:val="20"/>
                <w:lang w:val="ro-RO"/>
              </w:rPr>
              <w:lastRenderedPageBreak/>
              <w:t>în Republica Moldova</w:t>
            </w:r>
          </w:p>
        </w:tc>
        <w:tc>
          <w:tcPr>
            <w:tcW w:w="1417" w:type="dxa"/>
            <w:gridSpan w:val="6"/>
            <w:vMerge w:val="restart"/>
            <w:tcBorders>
              <w:left w:val="single" w:sz="4" w:space="0" w:color="auto"/>
              <w:right w:val="single" w:sz="4" w:space="0" w:color="auto"/>
            </w:tcBorders>
            <w:vAlign w:val="center"/>
          </w:tcPr>
          <w:p w:rsidR="00E777BD" w:rsidRPr="00C24162" w:rsidRDefault="00A345C9" w:rsidP="002B6FF4">
            <w:pPr>
              <w:spacing w:after="0" w:line="240" w:lineRule="auto"/>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lastRenderedPageBreak/>
              <w:t>25</w:t>
            </w:r>
            <w:r w:rsidR="002B6FF4" w:rsidRPr="00C24162">
              <w:rPr>
                <w:rFonts w:ascii="Times New Roman" w:eastAsia="Times New Roman" w:hAnsi="Times New Roman"/>
                <w:b/>
                <w:sz w:val="20"/>
                <w:szCs w:val="20"/>
                <w:lang w:val="ro-RO"/>
              </w:rPr>
              <w:t xml:space="preserve"> 000 </w:t>
            </w:r>
            <w:proofErr w:type="spellStart"/>
            <w:r w:rsidR="002B6FF4" w:rsidRPr="00C24162">
              <w:rPr>
                <w:rFonts w:ascii="Times New Roman" w:eastAsia="Times New Roman" w:hAnsi="Times New Roman"/>
                <w:b/>
                <w:sz w:val="20"/>
                <w:szCs w:val="20"/>
                <w:lang w:val="ro-RO"/>
              </w:rPr>
              <w:t>000</w:t>
            </w:r>
            <w:proofErr w:type="spellEnd"/>
            <w:r w:rsidR="002B6FF4" w:rsidRPr="00C24162">
              <w:rPr>
                <w:rFonts w:ascii="Times New Roman" w:eastAsia="Times New Roman" w:hAnsi="Times New Roman"/>
                <w:b/>
                <w:sz w:val="20"/>
                <w:szCs w:val="20"/>
                <w:lang w:val="ro-RO"/>
              </w:rPr>
              <w:t xml:space="preserve"> EUR</w:t>
            </w:r>
          </w:p>
          <w:p w:rsidR="00EB6EC1" w:rsidRPr="00C24162" w:rsidRDefault="00EB6EC1" w:rsidP="002B6FF4">
            <w:pPr>
              <w:spacing w:after="0" w:line="240" w:lineRule="auto"/>
              <w:jc w:val="center"/>
              <w:rPr>
                <w:rFonts w:ascii="Times New Roman" w:eastAsia="Times New Roman" w:hAnsi="Times New Roman"/>
                <w:b/>
                <w:sz w:val="20"/>
                <w:szCs w:val="20"/>
                <w:lang w:val="ro-RO"/>
              </w:rPr>
            </w:pPr>
          </w:p>
          <w:p w:rsidR="00EB6EC1" w:rsidRPr="00C24162" w:rsidRDefault="00EB6EC1" w:rsidP="00EB6EC1">
            <w:pPr>
              <w:spacing w:after="0" w:line="240" w:lineRule="auto"/>
              <w:jc w:val="center"/>
              <w:rPr>
                <w:rFonts w:ascii="Times New Roman" w:eastAsia="Times New Roman" w:hAnsi="Times New Roman"/>
                <w:b/>
                <w:sz w:val="20"/>
                <w:szCs w:val="20"/>
                <w:lang w:val="ro-RO"/>
              </w:rPr>
            </w:pPr>
            <w:r w:rsidRPr="00C24162">
              <w:rPr>
                <w:rFonts w:ascii="Times New Roman" w:eastAsia="Times New Roman" w:hAnsi="Times New Roman"/>
                <w:sz w:val="20"/>
                <w:szCs w:val="20"/>
                <w:lang w:val="ro-RO"/>
              </w:rPr>
              <w:t>(dintre care 2014 -</w:t>
            </w:r>
            <w:r w:rsidRPr="00C24162">
              <w:rPr>
                <w:rFonts w:ascii="Times New Roman" w:eastAsia="Times New Roman" w:hAnsi="Times New Roman"/>
                <w:sz w:val="20"/>
                <w:szCs w:val="20"/>
                <w:u w:val="single"/>
                <w:lang w:val="ro-RO"/>
              </w:rPr>
              <w:t>8 000 000 EUR</w:t>
            </w:r>
            <w:r w:rsidRPr="00C24162">
              <w:rPr>
                <w:rFonts w:ascii="Times New Roman" w:eastAsia="Times New Roman" w:hAnsi="Times New Roman"/>
                <w:sz w:val="20"/>
                <w:szCs w:val="20"/>
                <w:lang w:val="ro-RO"/>
              </w:rPr>
              <w:t>)</w:t>
            </w:r>
          </w:p>
        </w:tc>
        <w:tc>
          <w:tcPr>
            <w:tcW w:w="2263" w:type="dxa"/>
            <w:gridSpan w:val="4"/>
            <w:tcBorders>
              <w:top w:val="single" w:sz="4" w:space="0" w:color="auto"/>
              <w:left w:val="single" w:sz="4" w:space="0" w:color="auto"/>
              <w:bottom w:val="single" w:sz="4" w:space="0" w:color="auto"/>
              <w:right w:val="single" w:sz="4" w:space="0" w:color="auto"/>
            </w:tcBorders>
          </w:tcPr>
          <w:p w:rsidR="001B331F" w:rsidRPr="00C24162" w:rsidRDefault="00E777BD" w:rsidP="00D97ED7">
            <w:pPr>
              <w:spacing w:after="0"/>
              <w:jc w:val="center"/>
              <w:rPr>
                <w:rFonts w:ascii="Times New Roman" w:eastAsia="Times New Roman" w:hAnsi="Times New Roman"/>
                <w:b/>
                <w:i/>
                <w:sz w:val="20"/>
                <w:szCs w:val="20"/>
                <w:lang w:val="ro-RO"/>
              </w:rPr>
            </w:pPr>
            <w:r w:rsidRPr="00C24162">
              <w:rPr>
                <w:rFonts w:ascii="Times New Roman" w:eastAsia="Times New Roman" w:hAnsi="Times New Roman"/>
                <w:b/>
                <w:sz w:val="20"/>
                <w:szCs w:val="20"/>
                <w:lang w:val="ro-RO"/>
              </w:rPr>
              <w:t>Obiectivul 1.</w:t>
            </w:r>
            <w:r w:rsidR="00D97ED7" w:rsidRPr="00C24162">
              <w:rPr>
                <w:rFonts w:ascii="Times New Roman" w:eastAsia="Times New Roman" w:hAnsi="Times New Roman"/>
                <w:b/>
                <w:sz w:val="20"/>
                <w:szCs w:val="20"/>
                <w:lang w:val="ro-RO"/>
              </w:rPr>
              <w:t xml:space="preserve"> </w:t>
            </w:r>
            <w:r w:rsidRPr="00C24162">
              <w:rPr>
                <w:rFonts w:ascii="Times New Roman" w:eastAsia="Times New Roman" w:hAnsi="Times New Roman"/>
                <w:b/>
                <w:sz w:val="20"/>
                <w:szCs w:val="20"/>
                <w:lang w:val="ro-RO"/>
              </w:rPr>
              <w:t xml:space="preserve"> </w:t>
            </w:r>
            <w:r w:rsidR="00D97ED7" w:rsidRPr="00C24162">
              <w:rPr>
                <w:rFonts w:ascii="Times New Roman" w:eastAsia="Times New Roman" w:hAnsi="Times New Roman"/>
                <w:b/>
                <w:i/>
                <w:sz w:val="20"/>
                <w:szCs w:val="20"/>
                <w:lang w:val="ro-RO"/>
              </w:rPr>
              <w:t>Cadrul de implementare a Zonei de Liber Schimb Aprofundat și Cuprinzător stabilit</w:t>
            </w:r>
          </w:p>
          <w:p w:rsidR="00D97ED7" w:rsidRPr="00C24162" w:rsidRDefault="00D97ED7" w:rsidP="00D97ED7">
            <w:pPr>
              <w:spacing w:after="0"/>
              <w:jc w:val="center"/>
              <w:rPr>
                <w:rFonts w:ascii="Times New Roman" w:eastAsia="Times New Roman" w:hAnsi="Times New Roman"/>
                <w:b/>
                <w:sz w:val="20"/>
                <w:szCs w:val="20"/>
                <w:lang w:val="ro-RO"/>
              </w:rPr>
            </w:pPr>
          </w:p>
          <w:p w:rsidR="00E777BD" w:rsidRPr="00C24162" w:rsidRDefault="001B331F" w:rsidP="00D97ED7">
            <w:pPr>
              <w:spacing w:after="0"/>
              <w:jc w:val="center"/>
              <w:rPr>
                <w:rFonts w:ascii="Times New Roman" w:eastAsia="Times New Roman" w:hAnsi="Times New Roman"/>
                <w:b/>
                <w:sz w:val="20"/>
                <w:szCs w:val="20"/>
                <w:lang w:val="ro-RO"/>
              </w:rPr>
            </w:pPr>
            <w:r w:rsidRPr="00C24162">
              <w:rPr>
                <w:rFonts w:ascii="Times New Roman" w:eastAsia="Times New Roman" w:hAnsi="Times New Roman"/>
                <w:i/>
                <w:sz w:val="20"/>
                <w:szCs w:val="20"/>
                <w:lang w:val="ro-RO"/>
              </w:rPr>
              <w:t>1.1</w:t>
            </w:r>
            <w:r w:rsidR="00E777BD" w:rsidRPr="00C24162">
              <w:rPr>
                <w:rFonts w:ascii="Times New Roman" w:eastAsia="Times New Roman" w:hAnsi="Times New Roman"/>
                <w:i/>
                <w:sz w:val="20"/>
                <w:szCs w:val="20"/>
                <w:lang w:val="ro-RO"/>
              </w:rPr>
              <w:t xml:space="preserve">Cadrul de implementare a Zonei de Liber Schimb Aprofundat </w:t>
            </w:r>
            <w:r w:rsidR="00E777BD" w:rsidRPr="00C24162">
              <w:rPr>
                <w:rFonts w:ascii="Times New Roman" w:eastAsia="Times New Roman" w:hAnsi="Times New Roman"/>
                <w:i/>
                <w:sz w:val="20"/>
                <w:szCs w:val="20"/>
                <w:lang w:val="ro-RO"/>
              </w:rPr>
              <w:lastRenderedPageBreak/>
              <w:t>și Cuprinzător stabilit</w:t>
            </w:r>
          </w:p>
        </w:tc>
        <w:tc>
          <w:tcPr>
            <w:tcW w:w="7376" w:type="dxa"/>
            <w:gridSpan w:val="7"/>
            <w:tcBorders>
              <w:top w:val="single" w:sz="4" w:space="0" w:color="auto"/>
              <w:left w:val="single" w:sz="4" w:space="0" w:color="auto"/>
              <w:bottom w:val="single" w:sz="4" w:space="0" w:color="auto"/>
              <w:right w:val="single" w:sz="4" w:space="0" w:color="auto"/>
            </w:tcBorders>
          </w:tcPr>
          <w:p w:rsidR="001B331F" w:rsidRPr="00C24162" w:rsidRDefault="001B331F" w:rsidP="001B331F">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lastRenderedPageBreak/>
              <w:t>•Planul naţional de acţiuni pentru implementarea Acordului de Asociere RM – UE în perioada 2014-2016 a fost aprobat prin Hotărîrea Guvernului nr. 808 din 07.10.2014;</w:t>
            </w:r>
          </w:p>
          <w:p w:rsidR="001B331F" w:rsidRPr="00C24162" w:rsidRDefault="001B331F" w:rsidP="001B331F">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•Planul de acţiuni pentru anii 2015-2017 în vederea implementării Strategiei de dezvoltare a sectorului întreprinderilor mici şi mijlocii pentru anii 2012-2020 a fost aprobat prin Ordinul nr.170 din 25.09.2014 şi publicat pe pagina electronica a Ministerului Economiei.</w:t>
            </w:r>
          </w:p>
          <w:p w:rsidR="00E777BD" w:rsidRPr="00C24162" w:rsidRDefault="001B331F" w:rsidP="001B331F">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•Planul de acțiuni pentru 2014-2015 privind elaborarea Strategiei de atragere a </w:t>
            </w:r>
            <w:r w:rsidRPr="00C24162">
              <w:rPr>
                <w:rFonts w:ascii="Times New Roman" w:eastAsia="Times New Roman" w:hAnsi="Times New Roman"/>
                <w:sz w:val="20"/>
                <w:szCs w:val="20"/>
                <w:lang w:val="ro-RO"/>
              </w:rPr>
              <w:lastRenderedPageBreak/>
              <w:t>investițiilor și promovare a exportului pentru anii 2016-2020 a fost aprobat prin Ordinul Ministerului Economiei nr. 184 din 29.10.2014.</w:t>
            </w:r>
          </w:p>
        </w:tc>
      </w:tr>
      <w:tr w:rsidR="00316657" w:rsidRPr="00C24162" w:rsidTr="00F7104A">
        <w:tc>
          <w:tcPr>
            <w:tcW w:w="1522" w:type="dxa"/>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996" w:type="dxa"/>
            <w:gridSpan w:val="2"/>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1418" w:type="dxa"/>
            <w:gridSpan w:val="3"/>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1417" w:type="dxa"/>
            <w:gridSpan w:val="6"/>
            <w:vMerge/>
            <w:tcBorders>
              <w:left w:val="single" w:sz="4" w:space="0" w:color="auto"/>
              <w:right w:val="single" w:sz="4" w:space="0" w:color="auto"/>
            </w:tcBorders>
            <w:vAlign w:val="center"/>
          </w:tcPr>
          <w:p w:rsidR="00E777BD" w:rsidRPr="00C24162" w:rsidRDefault="00E777BD">
            <w:pPr>
              <w:spacing w:after="0" w:line="240" w:lineRule="auto"/>
              <w:rPr>
                <w:rFonts w:ascii="Times New Roman" w:eastAsia="Times New Roman" w:hAnsi="Times New Roman"/>
                <w:b/>
                <w:sz w:val="20"/>
                <w:szCs w:val="20"/>
                <w:lang w:val="ro-RO"/>
              </w:rPr>
            </w:pPr>
          </w:p>
        </w:tc>
        <w:tc>
          <w:tcPr>
            <w:tcW w:w="2263" w:type="dxa"/>
            <w:gridSpan w:val="4"/>
            <w:tcBorders>
              <w:top w:val="single" w:sz="4" w:space="0" w:color="auto"/>
              <w:left w:val="single" w:sz="4" w:space="0" w:color="auto"/>
              <w:bottom w:val="single" w:sz="4" w:space="0" w:color="auto"/>
              <w:right w:val="single" w:sz="4" w:space="0" w:color="auto"/>
            </w:tcBorders>
          </w:tcPr>
          <w:p w:rsidR="00E777BD" w:rsidRPr="00C24162" w:rsidRDefault="001B331F" w:rsidP="00D97ED7">
            <w:pPr>
              <w:jc w:val="center"/>
              <w:rPr>
                <w:rFonts w:ascii="Times New Roman" w:eastAsia="Times New Roman" w:hAnsi="Times New Roman"/>
                <w:i/>
                <w:sz w:val="20"/>
                <w:szCs w:val="20"/>
                <w:lang w:val="ro-RO"/>
              </w:rPr>
            </w:pPr>
            <w:r w:rsidRPr="00C24162">
              <w:rPr>
                <w:rFonts w:ascii="Times New Roman" w:eastAsia="Times New Roman" w:hAnsi="Times New Roman"/>
                <w:i/>
                <w:sz w:val="20"/>
                <w:szCs w:val="20"/>
                <w:lang w:val="ro-RO"/>
              </w:rPr>
              <w:t>1.2 Comitetul de supraveghere al  Programului de suport  al instituirii Zonei de Liber Schimb Aprofundat şi Cuprinzător în Republica Moldova creat prin Dispoziția Guvernului, care se va întruni cel puțin de 2 ori pe an, cu participarea reprezentanților societății civile</w:t>
            </w:r>
          </w:p>
        </w:tc>
        <w:tc>
          <w:tcPr>
            <w:tcW w:w="7376" w:type="dxa"/>
            <w:gridSpan w:val="7"/>
            <w:tcBorders>
              <w:top w:val="single" w:sz="4" w:space="0" w:color="auto"/>
              <w:left w:val="single" w:sz="4" w:space="0" w:color="auto"/>
              <w:bottom w:val="single" w:sz="4" w:space="0" w:color="auto"/>
              <w:right w:val="single" w:sz="4" w:space="0" w:color="auto"/>
            </w:tcBorders>
          </w:tcPr>
          <w:p w:rsidR="001B331F" w:rsidRPr="00C24162" w:rsidRDefault="001B331F" w:rsidP="001B331F">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 fost aprobată Dispoziția Guvernului nr. 125-d  din  07.11.2014 cu privire la instituirea Comitetului de supraveghere a aplicării Acordului de finanţare dintre Guvernul Republicii Moldova şi Comisia Europeană privind Programul de suport al instituirii Zonei de Liber Schimb Aprofundat şi Cuprinzător în Republica Moldova.</w:t>
            </w:r>
          </w:p>
          <w:p w:rsidR="00E777BD" w:rsidRPr="00C24162" w:rsidRDefault="001B331F" w:rsidP="001B331F">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Conform pct. 2 al dispoziției, Comitetul de Supraveghere se va reuni o dată la şase luni, în şedinţele organizate şi desfăşurate sub egida Ministerului Economiei, la care vor fi invitaţi Delegaţia Uniunii Europene în Moldova, precum şi alţi donatori interesaţi în acţiunile relevante.</w:t>
            </w:r>
            <w:r w:rsidRPr="00C24162">
              <w:rPr>
                <w:rFonts w:ascii="Times New Roman" w:eastAsia="Times New Roman" w:hAnsi="Times New Roman"/>
                <w:sz w:val="20"/>
                <w:szCs w:val="20"/>
                <w:lang w:val="ro-RO"/>
              </w:rPr>
              <w:tab/>
            </w:r>
          </w:p>
        </w:tc>
      </w:tr>
      <w:tr w:rsidR="00F62075" w:rsidRPr="00C24162" w:rsidTr="00F7104A">
        <w:tc>
          <w:tcPr>
            <w:tcW w:w="1522" w:type="dxa"/>
            <w:vMerge/>
            <w:tcBorders>
              <w:left w:val="single" w:sz="4" w:space="0" w:color="auto"/>
              <w:right w:val="single" w:sz="4" w:space="0" w:color="auto"/>
            </w:tcBorders>
            <w:vAlign w:val="center"/>
          </w:tcPr>
          <w:p w:rsidR="00F62075" w:rsidRPr="00C24162" w:rsidRDefault="00F62075">
            <w:pPr>
              <w:spacing w:after="0" w:line="240" w:lineRule="auto"/>
              <w:rPr>
                <w:rFonts w:ascii="Times New Roman" w:eastAsia="Times New Roman" w:hAnsi="Times New Roman"/>
                <w:b/>
                <w:sz w:val="20"/>
                <w:szCs w:val="20"/>
                <w:lang w:val="ro-RO"/>
              </w:rPr>
            </w:pPr>
          </w:p>
        </w:tc>
        <w:tc>
          <w:tcPr>
            <w:tcW w:w="996" w:type="dxa"/>
            <w:gridSpan w:val="2"/>
            <w:vMerge/>
            <w:tcBorders>
              <w:left w:val="single" w:sz="4" w:space="0" w:color="auto"/>
              <w:right w:val="single" w:sz="4" w:space="0" w:color="auto"/>
            </w:tcBorders>
            <w:vAlign w:val="center"/>
          </w:tcPr>
          <w:p w:rsidR="00F62075" w:rsidRPr="00C24162" w:rsidRDefault="00F62075">
            <w:pPr>
              <w:spacing w:after="0" w:line="240" w:lineRule="auto"/>
              <w:rPr>
                <w:rFonts w:ascii="Times New Roman" w:eastAsia="Times New Roman" w:hAnsi="Times New Roman"/>
                <w:b/>
                <w:sz w:val="20"/>
                <w:szCs w:val="20"/>
                <w:lang w:val="ro-RO"/>
              </w:rPr>
            </w:pPr>
          </w:p>
        </w:tc>
        <w:tc>
          <w:tcPr>
            <w:tcW w:w="1418" w:type="dxa"/>
            <w:gridSpan w:val="3"/>
            <w:vMerge w:val="restart"/>
            <w:tcBorders>
              <w:left w:val="single" w:sz="4" w:space="0" w:color="auto"/>
              <w:right w:val="single" w:sz="4" w:space="0" w:color="auto"/>
            </w:tcBorders>
            <w:vAlign w:val="center"/>
          </w:tcPr>
          <w:p w:rsidR="00F62075" w:rsidRPr="00C24162" w:rsidRDefault="00F62075">
            <w:pPr>
              <w:spacing w:after="0" w:line="240" w:lineRule="auto"/>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3. Programul de suport bugetar în sectorul energetic „Asistenţă pentru reforma sectorului energetic”</w:t>
            </w:r>
          </w:p>
        </w:tc>
        <w:tc>
          <w:tcPr>
            <w:tcW w:w="1417" w:type="dxa"/>
            <w:gridSpan w:val="6"/>
            <w:vMerge w:val="restart"/>
            <w:tcBorders>
              <w:left w:val="single" w:sz="4" w:space="0" w:color="auto"/>
              <w:right w:val="single" w:sz="4" w:space="0" w:color="auto"/>
            </w:tcBorders>
            <w:vAlign w:val="center"/>
          </w:tcPr>
          <w:p w:rsidR="00EB6EC1" w:rsidRPr="00C24162" w:rsidRDefault="00EB6EC1" w:rsidP="00EB6EC1">
            <w:pPr>
              <w:spacing w:after="0" w:line="240" w:lineRule="auto"/>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50 0</w:t>
            </w:r>
            <w:r w:rsidR="00F62075" w:rsidRPr="00C24162">
              <w:rPr>
                <w:rFonts w:ascii="Times New Roman" w:eastAsia="Times New Roman" w:hAnsi="Times New Roman"/>
                <w:b/>
                <w:sz w:val="20"/>
                <w:szCs w:val="20"/>
                <w:lang w:val="ro-RO"/>
              </w:rPr>
              <w:t>00 000 EUR</w:t>
            </w:r>
          </w:p>
          <w:p w:rsidR="00F62075" w:rsidRPr="00C24162" w:rsidRDefault="00F62075" w:rsidP="00EB7D01">
            <w:pPr>
              <w:spacing w:after="0" w:line="240" w:lineRule="auto"/>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 </w:t>
            </w:r>
          </w:p>
          <w:p w:rsidR="00EB6EC1" w:rsidRPr="00C24162" w:rsidRDefault="00EB6EC1" w:rsidP="00543718">
            <w:pPr>
              <w:spacing w:after="0" w:line="240" w:lineRule="auto"/>
              <w:jc w:val="center"/>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(d</w:t>
            </w:r>
            <w:r w:rsidR="00543718" w:rsidRPr="00C24162">
              <w:rPr>
                <w:rFonts w:ascii="Times New Roman" w:eastAsia="Times New Roman" w:hAnsi="Times New Roman"/>
                <w:sz w:val="20"/>
                <w:szCs w:val="20"/>
                <w:lang w:val="ro-RO"/>
              </w:rPr>
              <w:t>intre care 2014 -</w:t>
            </w:r>
            <w:r w:rsidR="00543718" w:rsidRPr="00C24162">
              <w:rPr>
                <w:rFonts w:ascii="Times New Roman" w:eastAsia="Times New Roman" w:hAnsi="Times New Roman"/>
                <w:sz w:val="20"/>
                <w:szCs w:val="20"/>
                <w:u w:val="single"/>
                <w:lang w:val="ro-RO"/>
              </w:rPr>
              <w:t>11 668 000</w:t>
            </w:r>
            <w:r w:rsidRPr="00C24162">
              <w:rPr>
                <w:rFonts w:ascii="Times New Roman" w:eastAsia="Times New Roman" w:hAnsi="Times New Roman"/>
                <w:sz w:val="20"/>
                <w:szCs w:val="20"/>
                <w:u w:val="single"/>
                <w:lang w:val="ro-RO"/>
              </w:rPr>
              <w:t xml:space="preserve"> EUR</w:t>
            </w:r>
            <w:r w:rsidRPr="00C24162">
              <w:rPr>
                <w:rFonts w:ascii="Times New Roman" w:eastAsia="Times New Roman" w:hAnsi="Times New Roman"/>
                <w:sz w:val="20"/>
                <w:szCs w:val="20"/>
                <w:lang w:val="ro-RO"/>
              </w:rPr>
              <w:t>)</w:t>
            </w:r>
          </w:p>
        </w:tc>
        <w:tc>
          <w:tcPr>
            <w:tcW w:w="2263" w:type="dxa"/>
            <w:gridSpan w:val="4"/>
            <w:tcBorders>
              <w:top w:val="single" w:sz="4" w:space="0" w:color="auto"/>
              <w:left w:val="single" w:sz="4" w:space="0" w:color="auto"/>
              <w:bottom w:val="single" w:sz="4" w:space="0" w:color="auto"/>
              <w:right w:val="single" w:sz="4" w:space="0" w:color="auto"/>
            </w:tcBorders>
          </w:tcPr>
          <w:p w:rsidR="00F62075" w:rsidRPr="00C24162" w:rsidRDefault="007D56EF" w:rsidP="00FD156D">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Obiectivul 3: Avansarea lucrărilor de interconectare  între RoM şi UE.</w:t>
            </w:r>
          </w:p>
          <w:p w:rsidR="007D56EF" w:rsidRPr="00C24162" w:rsidRDefault="007D56EF" w:rsidP="007D56EF">
            <w:pPr>
              <w:jc w:val="center"/>
              <w:rPr>
                <w:rFonts w:ascii="Times New Roman" w:eastAsia="Times New Roman" w:hAnsi="Times New Roman"/>
                <w:i/>
                <w:sz w:val="20"/>
                <w:szCs w:val="20"/>
                <w:lang w:val="ro-RO"/>
              </w:rPr>
            </w:pPr>
            <w:r w:rsidRPr="00C24162">
              <w:rPr>
                <w:rFonts w:ascii="Times New Roman" w:eastAsia="Times New Roman" w:hAnsi="Times New Roman"/>
                <w:i/>
                <w:sz w:val="20"/>
                <w:szCs w:val="20"/>
                <w:lang w:val="ro-RO"/>
              </w:rPr>
              <w:t>7.1. Acordurile de împrumut semnate pentru conducta Ungheni-Chişinău şi Fondurile Guvernamentale utilizate pentru Finanţarea Conductei.</w:t>
            </w:r>
          </w:p>
        </w:tc>
        <w:tc>
          <w:tcPr>
            <w:tcW w:w="7376" w:type="dxa"/>
            <w:gridSpan w:val="7"/>
            <w:tcBorders>
              <w:top w:val="single" w:sz="4" w:space="0" w:color="auto"/>
              <w:left w:val="single" w:sz="4" w:space="0" w:color="auto"/>
              <w:bottom w:val="single" w:sz="4" w:space="0" w:color="auto"/>
              <w:right w:val="single" w:sz="4" w:space="0" w:color="auto"/>
            </w:tcBorders>
          </w:tcPr>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În luna iunie 2014 a fost semnat Acordul între Guvernul RM şi Comisia Europeană referitor la extinderea pentru anul 2015 a suportului bugetar pentru sectorul energetic cu 10 mil. Euro pentru construcţia gazoductului Ungheni-Chişinău. Astfel, pînă în luna iulie 2015 urmează a fi semnate Acordurile de împrumut pentru conducta Ungheni-Chişinău şi fondurile guvernamentale utilizate pentru finanţarea conductei.</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Gazoductul Ungheni-Chişinău reprezintă faza finală a proiectului major de conectare a gazoductului Ungheni-Iaşi cu mun.Chişinău, cel mai mare consumator de gaze naturale (app. 60% din consumul total de gaze). </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Proiectul va consta din construcţia: i) gazoductului Ungheni-Chişinău cu lungimea de app. 130 km (Ø500 mm); ii) unui cerc în jurul Chişinăului şi iii) o staţie de măsurare/distribuţie. Gazoductul va fi fezabil în condițiile în care staţia de pompare a gazului va fi construită pe teritoriul României. </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Bugetul estimat al proiectului constituie circa. 81,5 mil. Euro.</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Începînd cu luna iunie 2014 este în curs de elaborare Studiul de fezabilitate pentru construcţia gazoductului Ungheni – Chişinău, care va include evaluarea impactului asupra mediului şi cea socială. Studiul urmează a fi definitivat pînă în luna iunie 2015, de către consultantul contractat de Banca Europeană pentru Reconstrucţie şi Dezvoltare - firma germană Fichtner GmbH&amp;Co, KG.</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lastRenderedPageBreak/>
              <w:t xml:space="preserve">A fost finalizat la sfîrşitul lunii noiembrie 2014 studiul de pre-fezabilitate pentru gazoductul Ungheni-Chişinău, iar rezultatele studiului au fost prezentate în cadrul Ministerului Economiei la data de 3 decembrie 2014. </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Elaborarea proiectului tehnic pentru gazoductul respectiv este preconizată pentru trimestru II, 2015.</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Totodată, negocierea Acordului de finanţare pentru construcţia gazoductului Ungheni-Chişinău urmează să demareze în baza studiului de prefezabilitate, conform unor înţelegeri prealabile cu potenţialii finanţatori BERD şi BEI. </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Se preconizează că lucrările de construcţie a gazoductului Ungheni-Chişinău se vor efectua în perioada anilor 2016-2017.</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Construcţia conductei magistrale Ungheni – Iaşi reprezintă proiectul-cheie pentru sectorul energetic din Republica Moldova, rezultatul aşteptat fiind asigurarea unei alternative de aprovizionare, dar, de asemenea, şi contribuţia la diversificarea alternativă atît a direcţiilor, cît şi a surselor.</w:t>
            </w:r>
          </w:p>
        </w:tc>
      </w:tr>
      <w:tr w:rsidR="00F62075" w:rsidRPr="00C24162" w:rsidTr="00F7104A">
        <w:tc>
          <w:tcPr>
            <w:tcW w:w="1522" w:type="dxa"/>
            <w:vMerge/>
            <w:tcBorders>
              <w:left w:val="single" w:sz="4" w:space="0" w:color="auto"/>
              <w:bottom w:val="single" w:sz="4" w:space="0" w:color="auto"/>
              <w:right w:val="single" w:sz="4" w:space="0" w:color="auto"/>
            </w:tcBorders>
            <w:vAlign w:val="center"/>
          </w:tcPr>
          <w:p w:rsidR="00F62075" w:rsidRPr="00C24162" w:rsidRDefault="00F62075">
            <w:pPr>
              <w:spacing w:after="0" w:line="240" w:lineRule="auto"/>
              <w:rPr>
                <w:rFonts w:ascii="Times New Roman" w:eastAsia="Times New Roman" w:hAnsi="Times New Roman"/>
                <w:b/>
                <w:sz w:val="20"/>
                <w:szCs w:val="20"/>
                <w:lang w:val="ro-RO"/>
              </w:rPr>
            </w:pPr>
          </w:p>
        </w:tc>
        <w:tc>
          <w:tcPr>
            <w:tcW w:w="996" w:type="dxa"/>
            <w:gridSpan w:val="2"/>
            <w:vMerge/>
            <w:tcBorders>
              <w:left w:val="single" w:sz="4" w:space="0" w:color="auto"/>
              <w:bottom w:val="single" w:sz="4" w:space="0" w:color="auto"/>
              <w:right w:val="single" w:sz="4" w:space="0" w:color="auto"/>
            </w:tcBorders>
            <w:vAlign w:val="center"/>
          </w:tcPr>
          <w:p w:rsidR="00F62075" w:rsidRPr="00C24162" w:rsidRDefault="00F62075">
            <w:pPr>
              <w:spacing w:after="0" w:line="240" w:lineRule="auto"/>
              <w:rPr>
                <w:rFonts w:ascii="Times New Roman" w:eastAsia="Times New Roman" w:hAnsi="Times New Roman"/>
                <w:b/>
                <w:sz w:val="20"/>
                <w:szCs w:val="20"/>
                <w:lang w:val="ro-RO"/>
              </w:rPr>
            </w:pPr>
          </w:p>
        </w:tc>
        <w:tc>
          <w:tcPr>
            <w:tcW w:w="1418" w:type="dxa"/>
            <w:gridSpan w:val="3"/>
            <w:vMerge/>
            <w:tcBorders>
              <w:left w:val="single" w:sz="4" w:space="0" w:color="auto"/>
              <w:right w:val="single" w:sz="4" w:space="0" w:color="auto"/>
            </w:tcBorders>
            <w:vAlign w:val="center"/>
          </w:tcPr>
          <w:p w:rsidR="00F62075" w:rsidRPr="00C24162" w:rsidRDefault="00F62075">
            <w:pPr>
              <w:spacing w:after="0" w:line="240" w:lineRule="auto"/>
              <w:rPr>
                <w:rFonts w:ascii="Times New Roman" w:eastAsia="Times New Roman" w:hAnsi="Times New Roman"/>
                <w:b/>
                <w:sz w:val="20"/>
                <w:szCs w:val="20"/>
                <w:lang w:val="ro-RO"/>
              </w:rPr>
            </w:pPr>
          </w:p>
        </w:tc>
        <w:tc>
          <w:tcPr>
            <w:tcW w:w="1417" w:type="dxa"/>
            <w:gridSpan w:val="6"/>
            <w:vMerge/>
            <w:tcBorders>
              <w:left w:val="single" w:sz="4" w:space="0" w:color="auto"/>
              <w:right w:val="single" w:sz="4" w:space="0" w:color="auto"/>
            </w:tcBorders>
            <w:vAlign w:val="center"/>
          </w:tcPr>
          <w:p w:rsidR="00F62075" w:rsidRPr="00C24162" w:rsidRDefault="00F62075">
            <w:pPr>
              <w:spacing w:after="0" w:line="240" w:lineRule="auto"/>
              <w:rPr>
                <w:rFonts w:ascii="Times New Roman" w:eastAsia="Times New Roman" w:hAnsi="Times New Roman"/>
                <w:b/>
                <w:sz w:val="20"/>
                <w:szCs w:val="20"/>
                <w:lang w:val="ro-RO"/>
              </w:rPr>
            </w:pPr>
          </w:p>
        </w:tc>
        <w:tc>
          <w:tcPr>
            <w:tcW w:w="2263" w:type="dxa"/>
            <w:gridSpan w:val="4"/>
            <w:tcBorders>
              <w:top w:val="single" w:sz="4" w:space="0" w:color="auto"/>
              <w:left w:val="single" w:sz="4" w:space="0" w:color="auto"/>
              <w:bottom w:val="single" w:sz="4" w:space="0" w:color="auto"/>
              <w:right w:val="single" w:sz="4" w:space="0" w:color="auto"/>
            </w:tcBorders>
          </w:tcPr>
          <w:p w:rsidR="00F62075" w:rsidRPr="00C24162" w:rsidRDefault="007D56EF" w:rsidP="00FD156D">
            <w:pPr>
              <w:jc w:val="center"/>
              <w:rPr>
                <w:rFonts w:ascii="Times New Roman" w:eastAsia="Times New Roman" w:hAnsi="Times New Roman"/>
                <w:i/>
                <w:sz w:val="20"/>
                <w:szCs w:val="20"/>
                <w:lang w:val="ro-RO"/>
              </w:rPr>
            </w:pPr>
            <w:r w:rsidRPr="00C24162">
              <w:rPr>
                <w:rFonts w:ascii="Times New Roman" w:eastAsia="Times New Roman" w:hAnsi="Times New Roman"/>
                <w:i/>
                <w:sz w:val="20"/>
                <w:szCs w:val="20"/>
                <w:lang w:val="ro-RO"/>
              </w:rPr>
              <w:t>7.2 Proiectul de lege privind operarea modificărilor şi adăugărilor în Legea 'Cu privire la energia electrică”  conform prevederilor Directivei 2009/72/EC</w:t>
            </w:r>
          </w:p>
        </w:tc>
        <w:tc>
          <w:tcPr>
            <w:tcW w:w="7376" w:type="dxa"/>
            <w:gridSpan w:val="7"/>
            <w:tcBorders>
              <w:top w:val="single" w:sz="4" w:space="0" w:color="auto"/>
              <w:left w:val="single" w:sz="4" w:space="0" w:color="auto"/>
              <w:bottom w:val="single" w:sz="4" w:space="0" w:color="auto"/>
              <w:right w:val="single" w:sz="4" w:space="0" w:color="auto"/>
            </w:tcBorders>
          </w:tcPr>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Pachetul energetic III în sectorul energiei electrice include transpunerea Directivei 2009/72/EC a Parlamentului European şi a Consiliului din 13 iulie 2009 privind normele comune pentru piaţa internă a energiei electrice şi de abrogare a Directivei 2003/54/CE şi Regulamentului (CE) nr. 714/2009 al Parlamentului European şi al Consiliului din 13 iulie 2009 privind condiţiile de acces la reţea pentru schimburile transfrontaliere de energie electrică şi de abrogare a Regulamentului (CE) nr. 1228/2003.</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În urma consultărilor cu specialiştii în domeniu, s-a decis că, pentru implementarea prevederilor Directivei 2009/72/CE este necesar elaborarea unui nou proiect de lege cu privire la energia electrică. </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Astfel, Ministerul Economiei, cu suportul Secretariatului Comunităţii Energetice (SCE) şi experţilor USAID, a elaborat proiectul noii legi privind energia electrică, care urmează a fi definitivat şi remis la avizare instituţiilor cointeresate.</w:t>
            </w:r>
          </w:p>
        </w:tc>
      </w:tr>
      <w:tr w:rsidR="00F62075" w:rsidRPr="00C24162" w:rsidTr="00F7104A">
        <w:tc>
          <w:tcPr>
            <w:tcW w:w="1522" w:type="dxa"/>
            <w:tcBorders>
              <w:left w:val="single" w:sz="4" w:space="0" w:color="auto"/>
              <w:bottom w:val="single" w:sz="4" w:space="0" w:color="auto"/>
              <w:right w:val="single" w:sz="4" w:space="0" w:color="auto"/>
            </w:tcBorders>
            <w:vAlign w:val="center"/>
          </w:tcPr>
          <w:p w:rsidR="00F62075" w:rsidRPr="00C24162" w:rsidRDefault="00F62075">
            <w:pPr>
              <w:spacing w:after="0" w:line="240" w:lineRule="auto"/>
              <w:rPr>
                <w:rFonts w:ascii="Times New Roman" w:eastAsia="Times New Roman" w:hAnsi="Times New Roman"/>
                <w:b/>
                <w:sz w:val="20"/>
                <w:szCs w:val="20"/>
                <w:lang w:val="ro-RO"/>
              </w:rPr>
            </w:pPr>
          </w:p>
        </w:tc>
        <w:tc>
          <w:tcPr>
            <w:tcW w:w="996" w:type="dxa"/>
            <w:gridSpan w:val="2"/>
            <w:tcBorders>
              <w:left w:val="single" w:sz="4" w:space="0" w:color="auto"/>
              <w:bottom w:val="single" w:sz="4" w:space="0" w:color="auto"/>
              <w:right w:val="single" w:sz="4" w:space="0" w:color="auto"/>
            </w:tcBorders>
            <w:vAlign w:val="center"/>
          </w:tcPr>
          <w:p w:rsidR="00F62075" w:rsidRPr="00C24162" w:rsidRDefault="00F62075">
            <w:pPr>
              <w:spacing w:after="0" w:line="240" w:lineRule="auto"/>
              <w:rPr>
                <w:rFonts w:ascii="Times New Roman" w:eastAsia="Times New Roman" w:hAnsi="Times New Roman"/>
                <w:b/>
                <w:sz w:val="20"/>
                <w:szCs w:val="20"/>
                <w:lang w:val="ro-RO"/>
              </w:rPr>
            </w:pPr>
          </w:p>
        </w:tc>
        <w:tc>
          <w:tcPr>
            <w:tcW w:w="1418" w:type="dxa"/>
            <w:gridSpan w:val="3"/>
            <w:vMerge/>
            <w:tcBorders>
              <w:left w:val="single" w:sz="4" w:space="0" w:color="auto"/>
              <w:bottom w:val="single" w:sz="4" w:space="0" w:color="auto"/>
              <w:right w:val="single" w:sz="4" w:space="0" w:color="auto"/>
            </w:tcBorders>
            <w:vAlign w:val="center"/>
          </w:tcPr>
          <w:p w:rsidR="00F62075" w:rsidRPr="00C24162" w:rsidRDefault="00F62075">
            <w:pPr>
              <w:spacing w:after="0" w:line="240" w:lineRule="auto"/>
              <w:rPr>
                <w:rFonts w:ascii="Times New Roman" w:eastAsia="Times New Roman" w:hAnsi="Times New Roman"/>
                <w:b/>
                <w:sz w:val="20"/>
                <w:szCs w:val="20"/>
                <w:lang w:val="ro-RO"/>
              </w:rPr>
            </w:pPr>
          </w:p>
        </w:tc>
        <w:tc>
          <w:tcPr>
            <w:tcW w:w="1417" w:type="dxa"/>
            <w:gridSpan w:val="6"/>
            <w:vMerge/>
            <w:tcBorders>
              <w:left w:val="single" w:sz="4" w:space="0" w:color="auto"/>
              <w:bottom w:val="single" w:sz="4" w:space="0" w:color="auto"/>
              <w:right w:val="single" w:sz="4" w:space="0" w:color="auto"/>
            </w:tcBorders>
            <w:vAlign w:val="center"/>
          </w:tcPr>
          <w:p w:rsidR="00F62075" w:rsidRPr="00C24162" w:rsidRDefault="00F62075">
            <w:pPr>
              <w:spacing w:after="0" w:line="240" w:lineRule="auto"/>
              <w:rPr>
                <w:rFonts w:ascii="Times New Roman" w:eastAsia="Times New Roman" w:hAnsi="Times New Roman"/>
                <w:b/>
                <w:sz w:val="20"/>
                <w:szCs w:val="20"/>
                <w:lang w:val="ro-RO"/>
              </w:rPr>
            </w:pPr>
          </w:p>
        </w:tc>
        <w:tc>
          <w:tcPr>
            <w:tcW w:w="2263" w:type="dxa"/>
            <w:gridSpan w:val="4"/>
            <w:tcBorders>
              <w:top w:val="single" w:sz="4" w:space="0" w:color="auto"/>
              <w:left w:val="single" w:sz="4" w:space="0" w:color="auto"/>
              <w:bottom w:val="single" w:sz="4" w:space="0" w:color="auto"/>
              <w:right w:val="single" w:sz="4" w:space="0" w:color="auto"/>
            </w:tcBorders>
          </w:tcPr>
          <w:p w:rsidR="00F62075" w:rsidRPr="00C24162" w:rsidRDefault="007D56EF" w:rsidP="00FD156D">
            <w:pPr>
              <w:jc w:val="center"/>
              <w:rPr>
                <w:rFonts w:ascii="Times New Roman" w:eastAsia="Times New Roman" w:hAnsi="Times New Roman"/>
                <w:i/>
                <w:sz w:val="20"/>
                <w:szCs w:val="20"/>
                <w:lang w:val="ro-RO"/>
              </w:rPr>
            </w:pPr>
            <w:r w:rsidRPr="00C24162">
              <w:rPr>
                <w:rFonts w:ascii="Times New Roman" w:eastAsia="Times New Roman" w:hAnsi="Times New Roman"/>
                <w:i/>
                <w:sz w:val="20"/>
                <w:szCs w:val="20"/>
                <w:lang w:val="ro-RO"/>
              </w:rPr>
              <w:t xml:space="preserve">7.3 Proiectul de lege privind operarea modificărilor şi adăugărilor în Legea „Cu privire la gaze naturale” conform </w:t>
            </w:r>
            <w:r w:rsidRPr="00C24162">
              <w:rPr>
                <w:rFonts w:ascii="Times New Roman" w:eastAsia="Times New Roman" w:hAnsi="Times New Roman"/>
                <w:i/>
                <w:sz w:val="20"/>
                <w:szCs w:val="20"/>
                <w:lang w:val="ro-RO"/>
              </w:rPr>
              <w:lastRenderedPageBreak/>
              <w:t>prevederilor Directivei 2009/73/EC</w:t>
            </w:r>
          </w:p>
        </w:tc>
        <w:tc>
          <w:tcPr>
            <w:tcW w:w="7376" w:type="dxa"/>
            <w:gridSpan w:val="7"/>
            <w:tcBorders>
              <w:top w:val="single" w:sz="4" w:space="0" w:color="auto"/>
              <w:left w:val="single" w:sz="4" w:space="0" w:color="auto"/>
              <w:bottom w:val="single" w:sz="4" w:space="0" w:color="auto"/>
              <w:right w:val="single" w:sz="4" w:space="0" w:color="auto"/>
            </w:tcBorders>
          </w:tcPr>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lastRenderedPageBreak/>
              <w:t>Pachetul energetic III în sectorul gazelor naturale include transpunerea Directivei 2009/73/CE a Parlamentului European şi a Consiliului din 13 iulie 2009 privind normele comune pentru piaţa internă a gazelor naturale şi de abrogare a Directivei 2003/55/CE şi Regulamentului (CE) nr.715/2009 al Parlamentului European şi al Consiliului din 13 iulie 2009 privind condiţiile de acces la reţelele de transport a gazelor naturale.</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În urma consultărilor cu specialiştii în domeniu, s-a decis că pentru implementarea </w:t>
            </w:r>
            <w:r w:rsidRPr="00C24162">
              <w:rPr>
                <w:rFonts w:ascii="Times New Roman" w:eastAsia="Times New Roman" w:hAnsi="Times New Roman"/>
                <w:sz w:val="20"/>
                <w:szCs w:val="20"/>
                <w:lang w:val="ro-RO"/>
              </w:rPr>
              <w:lastRenderedPageBreak/>
              <w:t>prevederilor Directivei 2009/73/CE este necesar elaborarea unui nou proiect de lege cu privire la gazele naturale.</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Este de menţionat că, la 22 octombrie 2014, în cadrul Ministerului Economiei, a fost organizat atelierul de lucru cu privire la prezentarea Raportului de evaluare a Legii cu privire la gazele naturale în contextul prevederilor Pachetului energetic III. </w:t>
            </w:r>
          </w:p>
          <w:p w:rsidR="00F62075" w:rsidRPr="00C24162" w:rsidRDefault="00F62075" w:rsidP="00F62075">
            <w:p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Urmare atelierului de lucru, Ministerul Economiei, cu suportul Secretariatului Comunităţii Energetice (SCE), a lansat procesul de elaborare a proiectului noii Legi cu privire la gazele naturale. Astfel, prima versiune a proiectului de lege a fost prezentată de SCE în noiembrie 2014 și este, la moment, în proces de examinare.</w:t>
            </w:r>
          </w:p>
        </w:tc>
      </w:tr>
      <w:tr w:rsidR="00D84BEE" w:rsidRPr="00C24162" w:rsidTr="00360444">
        <w:tc>
          <w:tcPr>
            <w:tcW w:w="14992" w:type="dxa"/>
            <w:gridSpan w:val="23"/>
            <w:tcBorders>
              <w:top w:val="single" w:sz="4" w:space="0" w:color="auto"/>
              <w:left w:val="single" w:sz="4" w:space="0" w:color="auto"/>
              <w:bottom w:val="single" w:sz="4" w:space="0" w:color="auto"/>
              <w:right w:val="single" w:sz="4" w:space="0" w:color="auto"/>
            </w:tcBorders>
            <w:shd w:val="clear" w:color="auto" w:fill="C4BC96"/>
          </w:tcPr>
          <w:p w:rsidR="00D84BEE" w:rsidRPr="00C24162" w:rsidRDefault="00D84BEE">
            <w:pPr>
              <w:jc w:val="center"/>
              <w:rPr>
                <w:rFonts w:ascii="Times New Roman" w:eastAsia="Times New Roman" w:hAnsi="Times New Roman"/>
                <w:b/>
                <w:sz w:val="20"/>
                <w:szCs w:val="20"/>
                <w:lang w:val="ro-RO"/>
              </w:rPr>
            </w:pPr>
          </w:p>
        </w:tc>
      </w:tr>
      <w:tr w:rsidR="00C75450" w:rsidRPr="00C24162" w:rsidTr="00C24162">
        <w:tc>
          <w:tcPr>
            <w:tcW w:w="2510" w:type="dxa"/>
            <w:gridSpan w:val="2"/>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Întrebări</w:t>
            </w:r>
          </w:p>
        </w:tc>
        <w:tc>
          <w:tcPr>
            <w:tcW w:w="12482" w:type="dxa"/>
            <w:gridSpan w:val="21"/>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Răspuns narativ**</w:t>
            </w:r>
          </w:p>
        </w:tc>
      </w:tr>
      <w:tr w:rsidR="00C75450" w:rsidRPr="00C24162" w:rsidTr="00C24162">
        <w:tc>
          <w:tcPr>
            <w:tcW w:w="2510" w:type="dxa"/>
            <w:gridSpan w:val="2"/>
            <w:tcBorders>
              <w:top w:val="single" w:sz="4" w:space="0" w:color="auto"/>
              <w:left w:val="single" w:sz="4" w:space="0" w:color="auto"/>
              <w:bottom w:val="single" w:sz="4" w:space="0" w:color="auto"/>
              <w:right w:val="single" w:sz="4" w:space="0" w:color="auto"/>
            </w:tcBorders>
            <w:hideMark/>
          </w:tcPr>
          <w:p w:rsidR="00D84BEE" w:rsidRPr="00C24162" w:rsidRDefault="00D84BEE">
            <w:pPr>
              <w:jc w:val="both"/>
              <w:rPr>
                <w:rFonts w:ascii="Times New Roman" w:eastAsia="Times New Roman" w:hAnsi="Times New Roman"/>
                <w:i/>
                <w:sz w:val="20"/>
                <w:szCs w:val="20"/>
                <w:lang w:val="ro-RO"/>
              </w:rPr>
            </w:pPr>
            <w:r w:rsidRPr="00C24162">
              <w:rPr>
                <w:rFonts w:ascii="Times New Roman" w:eastAsia="Times New Roman" w:hAnsi="Times New Roman"/>
                <w:i/>
                <w:sz w:val="20"/>
                <w:szCs w:val="20"/>
                <w:lang w:val="ro-RO"/>
              </w:rPr>
              <w:t>Care este impactul asistenței externe asupra Strategie Naționale de Dezvoltare (conform sectorului)?</w:t>
            </w:r>
          </w:p>
        </w:tc>
        <w:tc>
          <w:tcPr>
            <w:tcW w:w="12482" w:type="dxa"/>
            <w:gridSpan w:val="21"/>
            <w:tcBorders>
              <w:top w:val="single" w:sz="4" w:space="0" w:color="auto"/>
              <w:left w:val="single" w:sz="4" w:space="0" w:color="auto"/>
              <w:bottom w:val="single" w:sz="4" w:space="0" w:color="auto"/>
              <w:right w:val="single" w:sz="4" w:space="0" w:color="auto"/>
            </w:tcBorders>
          </w:tcPr>
          <w:p w:rsidR="003657E5" w:rsidRPr="00C24162" w:rsidRDefault="003657E5" w:rsidP="003657E5">
            <w:pPr>
              <w:pStyle w:val="Listparagraf"/>
              <w:numPr>
                <w:ilvl w:val="0"/>
                <w:numId w:val="5"/>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Programul de suport bugetar în sectorul energetic „Asistenţă pentru reforma sectorului energetic”  este direcționat pentru realizarea obiectivelor propuse conform Strategiei Moldova 2020, compartimentul Energie: furnizată sigur, utilizată eficient și anume oferă asistența necesară Guvernului întru: (1) consolidarea reformei sectorului, inclusiv prin adoptarea noii legislaţii în domeniul energetic racordate la cerinţele UE; (2) implementarea măsurilor de promovare a eficienţei energetice; (3) atragerea investiţiilor în sector; (4) fortificarea capacităţilor instituţionale în domeniu.</w:t>
            </w:r>
          </w:p>
          <w:p w:rsidR="007E14D9" w:rsidRPr="00C24162" w:rsidRDefault="007E14D9" w:rsidP="007D56EF">
            <w:pPr>
              <w:pStyle w:val="Listparagraf"/>
              <w:numPr>
                <w:ilvl w:val="0"/>
                <w:numId w:val="5"/>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Proiectul „</w:t>
            </w:r>
            <w:proofErr w:type="spellStart"/>
            <w:r w:rsidR="001030EA" w:rsidRPr="00C24162">
              <w:rPr>
                <w:rFonts w:ascii="Times New Roman" w:eastAsia="Times New Roman" w:hAnsi="Times New Roman"/>
                <w:sz w:val="20"/>
                <w:szCs w:val="20"/>
                <w:lang w:val="ro-RO"/>
              </w:rPr>
              <w:t>Antreprenoriat</w:t>
            </w:r>
            <w:proofErr w:type="spellEnd"/>
            <w:r w:rsidR="001030EA" w:rsidRPr="00C24162">
              <w:rPr>
                <w:rFonts w:ascii="Times New Roman" w:eastAsia="Times New Roman" w:hAnsi="Times New Roman"/>
                <w:sz w:val="20"/>
                <w:szCs w:val="20"/>
                <w:lang w:val="ro-RO"/>
              </w:rPr>
              <w:t xml:space="preserve"> inovativ pentru ocuparea durabilă a forţei de muncă (SYSLAB)</w:t>
            </w:r>
            <w:r w:rsidRPr="00C24162">
              <w:rPr>
                <w:rFonts w:ascii="Times New Roman" w:eastAsia="Times New Roman" w:hAnsi="Times New Roman"/>
                <w:sz w:val="20"/>
                <w:szCs w:val="20"/>
                <w:lang w:val="ro-RO"/>
              </w:rPr>
              <w:t>”  își propune să asigure transferul de metodologii și tehnici moderne de promovare a angajării î</w:t>
            </w:r>
            <w:r w:rsidR="001030EA" w:rsidRPr="00C24162">
              <w:rPr>
                <w:rFonts w:ascii="Times New Roman" w:eastAsia="Times New Roman" w:hAnsi="Times New Roman"/>
                <w:sz w:val="20"/>
                <w:szCs w:val="20"/>
                <w:lang w:val="ro-RO"/>
              </w:rPr>
              <w:t>n cîmpul muncii. Î</w:t>
            </w:r>
            <w:r w:rsidRPr="00C24162">
              <w:rPr>
                <w:rFonts w:ascii="Times New Roman" w:eastAsia="Times New Roman" w:hAnsi="Times New Roman"/>
                <w:sz w:val="20"/>
                <w:szCs w:val="20"/>
                <w:lang w:val="ro-RO"/>
              </w:rPr>
              <w:t xml:space="preserve">n acest mod Proiectul contribuie </w:t>
            </w:r>
            <w:r w:rsidR="001030EA" w:rsidRPr="00C24162">
              <w:rPr>
                <w:rFonts w:ascii="Times New Roman" w:eastAsia="Times New Roman" w:hAnsi="Times New Roman"/>
                <w:sz w:val="20"/>
                <w:szCs w:val="20"/>
                <w:lang w:val="ro-RO"/>
              </w:rPr>
              <w:t>substanțial</w:t>
            </w:r>
            <w:r w:rsidRPr="00C24162">
              <w:rPr>
                <w:rFonts w:ascii="Times New Roman" w:eastAsia="Times New Roman" w:hAnsi="Times New Roman"/>
                <w:sz w:val="20"/>
                <w:szCs w:val="20"/>
                <w:lang w:val="ro-RO"/>
              </w:rPr>
              <w:t xml:space="preserve"> la reducerea exodu</w:t>
            </w:r>
            <w:r w:rsidR="001030EA" w:rsidRPr="00C24162">
              <w:rPr>
                <w:rFonts w:ascii="Times New Roman" w:eastAsia="Times New Roman" w:hAnsi="Times New Roman"/>
                <w:sz w:val="20"/>
                <w:szCs w:val="20"/>
                <w:lang w:val="ro-RO"/>
              </w:rPr>
              <w:t>lui de cadre calificate din țară și</w:t>
            </w:r>
            <w:r w:rsidRPr="00C24162">
              <w:rPr>
                <w:rFonts w:ascii="Times New Roman" w:eastAsia="Times New Roman" w:hAnsi="Times New Roman"/>
                <w:sz w:val="20"/>
                <w:szCs w:val="20"/>
                <w:lang w:val="ro-RO"/>
              </w:rPr>
              <w:t xml:space="preserve"> </w:t>
            </w:r>
            <w:r w:rsidR="001030EA" w:rsidRPr="00C24162">
              <w:rPr>
                <w:rFonts w:ascii="Times New Roman" w:eastAsia="Times New Roman" w:hAnsi="Times New Roman"/>
                <w:sz w:val="20"/>
                <w:szCs w:val="20"/>
                <w:lang w:val="ro-RO"/>
              </w:rPr>
              <w:t>promovează angajarea durabilă la locuri de muncă</w:t>
            </w:r>
            <w:r w:rsidRPr="00C24162">
              <w:rPr>
                <w:rFonts w:ascii="Times New Roman" w:eastAsia="Times New Roman" w:hAnsi="Times New Roman"/>
                <w:sz w:val="20"/>
                <w:szCs w:val="20"/>
                <w:lang w:val="ro-RO"/>
              </w:rPr>
              <w:t xml:space="preserve"> relevante de pe </w:t>
            </w:r>
            <w:r w:rsidR="001030EA" w:rsidRPr="00C24162">
              <w:rPr>
                <w:rFonts w:ascii="Times New Roman" w:eastAsia="Times New Roman" w:hAnsi="Times New Roman"/>
                <w:sz w:val="20"/>
                <w:szCs w:val="20"/>
                <w:lang w:val="ro-RO"/>
              </w:rPr>
              <w:t>piața locală</w:t>
            </w:r>
            <w:r w:rsidRPr="00C24162">
              <w:rPr>
                <w:rFonts w:ascii="Times New Roman" w:eastAsia="Times New Roman" w:hAnsi="Times New Roman"/>
                <w:sz w:val="20"/>
                <w:szCs w:val="20"/>
                <w:lang w:val="ro-RO"/>
              </w:rPr>
              <w:t xml:space="preserve">. Astfel Proiectul se </w:t>
            </w:r>
            <w:r w:rsidR="001030EA" w:rsidRPr="00C24162">
              <w:rPr>
                <w:rFonts w:ascii="Times New Roman" w:eastAsia="Times New Roman" w:hAnsi="Times New Roman"/>
                <w:sz w:val="20"/>
                <w:szCs w:val="20"/>
                <w:lang w:val="ro-RO"/>
              </w:rPr>
              <w:t>pliază</w:t>
            </w:r>
            <w:r w:rsidRPr="00C24162">
              <w:rPr>
                <w:rFonts w:ascii="Times New Roman" w:eastAsia="Times New Roman" w:hAnsi="Times New Roman"/>
                <w:sz w:val="20"/>
                <w:szCs w:val="20"/>
                <w:lang w:val="ro-RO"/>
              </w:rPr>
              <w:t xml:space="preserve"> pe unele </w:t>
            </w:r>
            <w:r w:rsidR="001030EA" w:rsidRPr="00C24162">
              <w:rPr>
                <w:rFonts w:ascii="Times New Roman" w:eastAsia="Times New Roman" w:hAnsi="Times New Roman"/>
                <w:sz w:val="20"/>
                <w:szCs w:val="20"/>
                <w:lang w:val="ro-RO"/>
              </w:rPr>
              <w:t>priorități</w:t>
            </w:r>
            <w:r w:rsidRPr="00C24162">
              <w:rPr>
                <w:rFonts w:ascii="Times New Roman" w:eastAsia="Times New Roman" w:hAnsi="Times New Roman"/>
                <w:sz w:val="20"/>
                <w:szCs w:val="20"/>
                <w:lang w:val="ro-RO"/>
              </w:rPr>
              <w:t xml:space="preserve"> ale Str</w:t>
            </w:r>
            <w:r w:rsidR="001030EA" w:rsidRPr="00C24162">
              <w:rPr>
                <w:rFonts w:ascii="Times New Roman" w:eastAsia="Times New Roman" w:hAnsi="Times New Roman"/>
                <w:sz w:val="20"/>
                <w:szCs w:val="20"/>
                <w:lang w:val="ro-RO"/>
              </w:rPr>
              <w:t>ategiei Moldova 2020, mai ales î</w:t>
            </w:r>
            <w:r w:rsidRPr="00C24162">
              <w:rPr>
                <w:rFonts w:ascii="Times New Roman" w:eastAsia="Times New Roman" w:hAnsi="Times New Roman"/>
                <w:sz w:val="20"/>
                <w:szCs w:val="20"/>
                <w:lang w:val="ro-RO"/>
              </w:rPr>
              <w:t xml:space="preserve">n ceea ce </w:t>
            </w:r>
            <w:r w:rsidR="001030EA" w:rsidRPr="00C24162">
              <w:rPr>
                <w:rFonts w:ascii="Times New Roman" w:eastAsia="Times New Roman" w:hAnsi="Times New Roman"/>
                <w:sz w:val="20"/>
                <w:szCs w:val="20"/>
                <w:lang w:val="ro-RO"/>
              </w:rPr>
              <w:t>privește necesitatea de a motiva ș</w:t>
            </w:r>
            <w:r w:rsidRPr="00C24162">
              <w:rPr>
                <w:rFonts w:ascii="Times New Roman" w:eastAsia="Times New Roman" w:hAnsi="Times New Roman"/>
                <w:sz w:val="20"/>
                <w:szCs w:val="20"/>
                <w:lang w:val="ro-RO"/>
              </w:rPr>
              <w:t xml:space="preserve">i </w:t>
            </w:r>
            <w:r w:rsidR="001030EA" w:rsidRPr="00C24162">
              <w:rPr>
                <w:rFonts w:ascii="Times New Roman" w:eastAsia="Times New Roman" w:hAnsi="Times New Roman"/>
                <w:sz w:val="20"/>
                <w:szCs w:val="20"/>
                <w:lang w:val="ro-RO"/>
              </w:rPr>
              <w:t>susține</w:t>
            </w:r>
            <w:r w:rsidRPr="00C24162">
              <w:rPr>
                <w:rFonts w:ascii="Times New Roman" w:eastAsia="Times New Roman" w:hAnsi="Times New Roman"/>
                <w:sz w:val="20"/>
                <w:szCs w:val="20"/>
                <w:lang w:val="ro-RO"/>
              </w:rPr>
              <w:t xml:space="preserve"> </w:t>
            </w:r>
            <w:r w:rsidR="001030EA" w:rsidRPr="00C24162">
              <w:rPr>
                <w:rFonts w:ascii="Times New Roman" w:eastAsia="Times New Roman" w:hAnsi="Times New Roman"/>
                <w:sz w:val="20"/>
                <w:szCs w:val="20"/>
                <w:lang w:val="ro-RO"/>
              </w:rPr>
              <w:t>șomerii</w:t>
            </w:r>
            <w:r w:rsidRPr="00C24162">
              <w:rPr>
                <w:rFonts w:ascii="Times New Roman" w:eastAsia="Times New Roman" w:hAnsi="Times New Roman"/>
                <w:sz w:val="20"/>
                <w:szCs w:val="20"/>
                <w:lang w:val="ro-RO"/>
              </w:rPr>
              <w:t xml:space="preserve"> </w:t>
            </w:r>
            <w:r w:rsidR="001030EA" w:rsidRPr="00C24162">
              <w:rPr>
                <w:rFonts w:ascii="Times New Roman" w:eastAsia="Times New Roman" w:hAnsi="Times New Roman"/>
                <w:sz w:val="20"/>
                <w:szCs w:val="20"/>
                <w:lang w:val="ro-RO"/>
              </w:rPr>
              <w:t>calificați să se angajeze î</w:t>
            </w:r>
            <w:r w:rsidRPr="00C24162">
              <w:rPr>
                <w:rFonts w:ascii="Times New Roman" w:eastAsia="Times New Roman" w:hAnsi="Times New Roman"/>
                <w:sz w:val="20"/>
                <w:szCs w:val="20"/>
                <w:lang w:val="ro-RO"/>
              </w:rPr>
              <w:t xml:space="preserve">n </w:t>
            </w:r>
            <w:r w:rsidR="001030EA" w:rsidRPr="00C24162">
              <w:rPr>
                <w:rFonts w:ascii="Times New Roman" w:eastAsia="Times New Roman" w:hAnsi="Times New Roman"/>
                <w:sz w:val="20"/>
                <w:szCs w:val="20"/>
                <w:lang w:val="ro-RO"/>
              </w:rPr>
              <w:t xml:space="preserve">cîmpul muncii în </w:t>
            </w:r>
            <w:r w:rsidRPr="00C24162">
              <w:rPr>
                <w:rFonts w:ascii="Times New Roman" w:eastAsia="Times New Roman" w:hAnsi="Times New Roman"/>
                <w:sz w:val="20"/>
                <w:szCs w:val="20"/>
                <w:lang w:val="ro-RO"/>
              </w:rPr>
              <w:t xml:space="preserve">R. Moldova. </w:t>
            </w:r>
          </w:p>
          <w:p w:rsidR="00D84BEE" w:rsidRPr="00C24162" w:rsidRDefault="007E14D9" w:rsidP="007D56EF">
            <w:pPr>
              <w:pStyle w:val="Listparagraf"/>
              <w:numPr>
                <w:ilvl w:val="0"/>
                <w:numId w:val="5"/>
              </w:numPr>
              <w:jc w:val="both"/>
              <w:rPr>
                <w:rFonts w:ascii="Times New Roman" w:eastAsia="Times New Roman" w:hAnsi="Times New Roman"/>
                <w:b/>
                <w:sz w:val="20"/>
                <w:szCs w:val="20"/>
                <w:lang w:val="ro-RO"/>
              </w:rPr>
            </w:pPr>
            <w:r w:rsidRPr="00C24162">
              <w:rPr>
                <w:rFonts w:ascii="Times New Roman" w:eastAsia="Times New Roman" w:hAnsi="Times New Roman"/>
                <w:sz w:val="20"/>
                <w:szCs w:val="20"/>
                <w:lang w:val="ro-RO"/>
              </w:rPr>
              <w:t>Proiectul „</w:t>
            </w:r>
            <w:r w:rsidR="001030EA" w:rsidRPr="00C24162">
              <w:rPr>
                <w:rFonts w:ascii="Times New Roman" w:eastAsia="Times New Roman" w:hAnsi="Times New Roman"/>
                <w:sz w:val="20"/>
                <w:szCs w:val="20"/>
                <w:lang w:val="ro-RO"/>
              </w:rPr>
              <w:t>Dezvoltarea afacerilor inovatoare pentru o creștere economică durabilă la nivel local (LED)</w:t>
            </w:r>
            <w:r w:rsidRPr="00C24162">
              <w:rPr>
                <w:rFonts w:ascii="Times New Roman" w:eastAsia="Times New Roman" w:hAnsi="Times New Roman"/>
                <w:sz w:val="20"/>
                <w:szCs w:val="20"/>
                <w:lang w:val="ro-RO"/>
              </w:rPr>
              <w:t xml:space="preserve">” </w:t>
            </w:r>
            <w:r w:rsidR="001030EA" w:rsidRPr="00C24162">
              <w:rPr>
                <w:rFonts w:ascii="Times New Roman" w:eastAsia="Times New Roman" w:hAnsi="Times New Roman"/>
                <w:sz w:val="20"/>
                <w:szCs w:val="20"/>
                <w:lang w:val="ro-RO"/>
              </w:rPr>
              <w:t>urmează să</w:t>
            </w:r>
            <w:r w:rsidRPr="00C24162">
              <w:rPr>
                <w:rFonts w:ascii="Times New Roman" w:eastAsia="Times New Roman" w:hAnsi="Times New Roman"/>
                <w:sz w:val="20"/>
                <w:szCs w:val="20"/>
                <w:lang w:val="ro-RO"/>
              </w:rPr>
              <w:t xml:space="preserve"> promoveze </w:t>
            </w:r>
            <w:r w:rsidR="001030EA" w:rsidRPr="00C24162">
              <w:rPr>
                <w:rFonts w:ascii="Times New Roman" w:eastAsia="Times New Roman" w:hAnsi="Times New Roman"/>
                <w:sz w:val="20"/>
                <w:szCs w:val="20"/>
                <w:lang w:val="ro-RO"/>
              </w:rPr>
              <w:t>inovațiile î</w:t>
            </w:r>
            <w:r w:rsidRPr="00C24162">
              <w:rPr>
                <w:rFonts w:ascii="Times New Roman" w:eastAsia="Times New Roman" w:hAnsi="Times New Roman"/>
                <w:sz w:val="20"/>
                <w:szCs w:val="20"/>
                <w:lang w:val="ro-RO"/>
              </w:rPr>
              <w:t xml:space="preserve">n </w:t>
            </w:r>
            <w:r w:rsidR="001030EA" w:rsidRPr="00C24162">
              <w:rPr>
                <w:rFonts w:ascii="Times New Roman" w:eastAsia="Times New Roman" w:hAnsi="Times New Roman"/>
                <w:sz w:val="20"/>
                <w:szCs w:val="20"/>
                <w:lang w:val="ro-RO"/>
              </w:rPr>
              <w:t>definiția data de OECD ș</w:t>
            </w:r>
            <w:r w:rsidRPr="00C24162">
              <w:rPr>
                <w:rFonts w:ascii="Times New Roman" w:eastAsia="Times New Roman" w:hAnsi="Times New Roman"/>
                <w:sz w:val="20"/>
                <w:szCs w:val="20"/>
                <w:lang w:val="ro-RO"/>
              </w:rPr>
              <w:t>i va co</w:t>
            </w:r>
            <w:r w:rsidR="001030EA" w:rsidRPr="00C24162">
              <w:rPr>
                <w:rFonts w:ascii="Times New Roman" w:eastAsia="Times New Roman" w:hAnsi="Times New Roman"/>
                <w:sz w:val="20"/>
                <w:szCs w:val="20"/>
                <w:lang w:val="ro-RO"/>
              </w:rPr>
              <w:t>ntribui la dezvoltarea economică ș</w:t>
            </w:r>
            <w:r w:rsidRPr="00C24162">
              <w:rPr>
                <w:rFonts w:ascii="Times New Roman" w:eastAsia="Times New Roman" w:hAnsi="Times New Roman"/>
                <w:sz w:val="20"/>
                <w:szCs w:val="20"/>
                <w:lang w:val="ro-RO"/>
              </w:rPr>
              <w:t>i cr</w:t>
            </w:r>
            <w:r w:rsidR="001030EA" w:rsidRPr="00C24162">
              <w:rPr>
                <w:rFonts w:ascii="Times New Roman" w:eastAsia="Times New Roman" w:hAnsi="Times New Roman"/>
                <w:sz w:val="20"/>
                <w:szCs w:val="20"/>
                <w:lang w:val="ro-RO"/>
              </w:rPr>
              <w:t>earea de locuri de muncă noi</w:t>
            </w:r>
            <w:r w:rsidRPr="00C24162">
              <w:rPr>
                <w:rFonts w:ascii="Times New Roman" w:eastAsia="Times New Roman" w:hAnsi="Times New Roman"/>
                <w:sz w:val="20"/>
                <w:szCs w:val="20"/>
                <w:lang w:val="ro-RO"/>
              </w:rPr>
              <w:t xml:space="preserve">. Aceste </w:t>
            </w:r>
            <w:r w:rsidR="001030EA" w:rsidRPr="00C24162">
              <w:rPr>
                <w:rFonts w:ascii="Times New Roman" w:eastAsia="Times New Roman" w:hAnsi="Times New Roman"/>
                <w:sz w:val="20"/>
                <w:szCs w:val="20"/>
                <w:lang w:val="ro-RO"/>
              </w:rPr>
              <w:t>obiective</w:t>
            </w:r>
            <w:r w:rsidRPr="00C24162">
              <w:rPr>
                <w:rFonts w:ascii="Times New Roman" w:eastAsia="Times New Roman" w:hAnsi="Times New Roman"/>
                <w:sz w:val="20"/>
                <w:szCs w:val="20"/>
                <w:lang w:val="ro-RO"/>
              </w:rPr>
              <w:t xml:space="preserve"> sunt alineate la prevederile </w:t>
            </w:r>
            <w:r w:rsidR="001030EA" w:rsidRPr="00C24162">
              <w:rPr>
                <w:rFonts w:ascii="Times New Roman" w:eastAsia="Times New Roman" w:hAnsi="Times New Roman"/>
                <w:sz w:val="20"/>
                <w:szCs w:val="20"/>
                <w:lang w:val="ro-RO"/>
              </w:rPr>
              <w:t xml:space="preserve">Strategiei </w:t>
            </w:r>
            <w:r w:rsidRPr="00C24162">
              <w:rPr>
                <w:rFonts w:ascii="Times New Roman" w:eastAsia="Times New Roman" w:hAnsi="Times New Roman"/>
                <w:sz w:val="20"/>
                <w:szCs w:val="20"/>
                <w:lang w:val="ro-RO"/>
              </w:rPr>
              <w:t>Moldova 2020.</w:t>
            </w:r>
          </w:p>
          <w:p w:rsidR="003B6F19" w:rsidRPr="00C24162" w:rsidRDefault="003B6F19" w:rsidP="003B6F19">
            <w:pPr>
              <w:pStyle w:val="Listparagraf"/>
              <w:numPr>
                <w:ilvl w:val="0"/>
                <w:numId w:val="5"/>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Proiect Twinning „Consolidarea sistemului de parteneriat public-privat în Republica Moldova” contribuie la atingerea 3 priorități din cadrul Strategiei Moldova 2020 și anume: creșterea investițiilor publice in infrastructura drumurilor locală și națională, în scopul reducerii costurilor de transport și creșterea vitezei de acces, reducerea costurilor de finanțare prin creșterea competitivității în sectorul financiar , precum și dezvoltarea instrumentelor de gestionare a riscurilor, îmbunătățirea climatului de afaceri prin optimizarea cadrului de reglementare și aplicarea tehnologiilor informaționale la serviciile publice pentru cetățeni și sectorul privat.</w:t>
            </w:r>
          </w:p>
          <w:p w:rsidR="00DC364B" w:rsidRPr="00C24162" w:rsidRDefault="00DC364B" w:rsidP="00DC364B">
            <w:pPr>
              <w:pStyle w:val="Listparagraf"/>
              <w:numPr>
                <w:ilvl w:val="0"/>
                <w:numId w:val="5"/>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Programul BRITE/USAID se aliniază la obiectivele expuse în Strategie la compartimentul Business cu reguli clare de joc, și anume în vederea sprijinirii procesului de îmbunătățire a cadrului de reglementare al Republicii Moldova, programul BRITE lucrează în direcția implementării reformelor, care se bucură de un sprijin politic clar și au potențial de reglementare cu impact sporit, în termeni monetari, și de îmbunătățire a sectoarelor public și privat. Eforturile proiectului vor fi alineate la strategia guvernului în domeniul reformei cadrului de reglementare a activităţii de întreprinzător, o atenție mare fiind acordată soluțiilor de e-guvernare, în vederea reducerii la minimum a poverilor administrative </w:t>
            </w:r>
            <w:r w:rsidRPr="00C24162">
              <w:rPr>
                <w:rFonts w:ascii="Times New Roman" w:eastAsia="Times New Roman" w:hAnsi="Times New Roman"/>
                <w:sz w:val="20"/>
                <w:szCs w:val="20"/>
                <w:lang w:val="ro-RO"/>
              </w:rPr>
              <w:lastRenderedPageBreak/>
              <w:t>pentru întreprinderi și minimizării oportunităților pentru putere discreționară birocratică.</w:t>
            </w:r>
            <w:r w:rsidR="00812D33" w:rsidRPr="00C24162">
              <w:rPr>
                <w:rFonts w:ascii="Times New Roman" w:eastAsia="Times New Roman" w:hAnsi="Times New Roman"/>
                <w:sz w:val="20"/>
                <w:szCs w:val="20"/>
                <w:lang w:val="ro-RO"/>
              </w:rPr>
              <w:t xml:space="preserve"> Activităţile programului au contribuit la realizarea </w:t>
            </w:r>
            <w:proofErr w:type="spellStart"/>
            <w:r w:rsidR="00812D33" w:rsidRPr="00C24162">
              <w:rPr>
                <w:rFonts w:ascii="Times New Roman" w:eastAsia="Times New Roman" w:hAnsi="Times New Roman"/>
                <w:sz w:val="20"/>
                <w:szCs w:val="20"/>
                <w:lang w:val="ro-RO"/>
              </w:rPr>
              <w:t>cîtorva</w:t>
            </w:r>
            <w:proofErr w:type="spellEnd"/>
            <w:r w:rsidR="00812D33" w:rsidRPr="00C24162">
              <w:rPr>
                <w:rFonts w:ascii="Times New Roman" w:eastAsia="Times New Roman" w:hAnsi="Times New Roman"/>
                <w:sz w:val="20"/>
                <w:szCs w:val="20"/>
                <w:lang w:val="ro-RO"/>
              </w:rPr>
              <w:t xml:space="preserve"> acţiuni ale Planului de acţiuni privind implementarea Strategiei reformei cadrului de reglementare a activităţii de întreprinzător, în special în ceea ce ţine de reducerea actelor permisive, ceea ce va ajuta la atingerea indicatorilor stabiliţi în SND „Moldova 2020”, în particular prioritatea „Business: cu reguli clare de joc”</w:t>
            </w:r>
            <w:r w:rsidR="00790395">
              <w:rPr>
                <w:rFonts w:ascii="Times New Roman" w:eastAsia="Times New Roman" w:hAnsi="Times New Roman"/>
                <w:sz w:val="20"/>
                <w:szCs w:val="20"/>
                <w:lang w:val="ro-RO"/>
              </w:rPr>
              <w:t>.</w:t>
            </w:r>
          </w:p>
          <w:p w:rsidR="00812D33" w:rsidRPr="00C24162" w:rsidRDefault="00812D33" w:rsidP="00812D33">
            <w:pPr>
              <w:pStyle w:val="Listparagraf"/>
              <w:numPr>
                <w:ilvl w:val="0"/>
                <w:numId w:val="5"/>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Proiectul Ameliorarea Competitivităţii II va contribui direct la realizarea prevederilor şi obiectivelor Strategiei naţionale de dezvoltare „Moldova 2020”, în particular priorităţile „Business: cu reguli clare de joc” şi „Finanţe: accesibile şi ieftine”.</w:t>
            </w:r>
          </w:p>
          <w:p w:rsidR="00E41E3E" w:rsidRPr="00C24162" w:rsidRDefault="00E41E3E" w:rsidP="00E41E3E">
            <w:pPr>
              <w:pStyle w:val="Listparagraf"/>
              <w:numPr>
                <w:ilvl w:val="0"/>
                <w:numId w:val="5"/>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„Conducta de interconectare a sistemului naţional de transport gaze din România cu sistemul de transport gaze din RM pe direcţia </w:t>
            </w:r>
            <w:proofErr w:type="spellStart"/>
            <w:r w:rsidRPr="00C24162">
              <w:rPr>
                <w:rFonts w:ascii="Times New Roman" w:eastAsia="Times New Roman" w:hAnsi="Times New Roman"/>
                <w:sz w:val="20"/>
                <w:szCs w:val="20"/>
                <w:lang w:val="ro-RO"/>
              </w:rPr>
              <w:t>rîul</w:t>
            </w:r>
            <w:proofErr w:type="spellEnd"/>
            <w:r w:rsidRPr="00C24162">
              <w:rPr>
                <w:rFonts w:ascii="Times New Roman" w:eastAsia="Times New Roman" w:hAnsi="Times New Roman"/>
                <w:sz w:val="20"/>
                <w:szCs w:val="20"/>
                <w:lang w:val="ro-RO"/>
              </w:rPr>
              <w:t xml:space="preserve"> Prut –s. Todireşti, Ungheni”, precum și „Reabilitarea rețelelor electrice - </w:t>
            </w:r>
            <w:proofErr w:type="spellStart"/>
            <w:r w:rsidRPr="00C24162">
              <w:rPr>
                <w:rFonts w:ascii="Times New Roman" w:eastAsia="Times New Roman" w:hAnsi="Times New Roman"/>
                <w:sz w:val="20"/>
                <w:szCs w:val="20"/>
                <w:lang w:val="ro-RO"/>
              </w:rPr>
              <w:t>Moldelectrica</w:t>
            </w:r>
            <w:proofErr w:type="spellEnd"/>
            <w:r w:rsidRPr="00C24162">
              <w:rPr>
                <w:rFonts w:ascii="Times New Roman" w:eastAsia="Times New Roman" w:hAnsi="Times New Roman"/>
                <w:sz w:val="20"/>
                <w:szCs w:val="20"/>
                <w:lang w:val="ro-RO"/>
              </w:rPr>
              <w:t xml:space="preserve">” țintește direct </w:t>
            </w:r>
            <w:r w:rsidR="004852C7" w:rsidRPr="00C24162">
              <w:rPr>
                <w:rFonts w:ascii="Times New Roman" w:eastAsia="Times New Roman" w:hAnsi="Times New Roman"/>
                <w:sz w:val="20"/>
                <w:szCs w:val="20"/>
                <w:lang w:val="ro-RO"/>
              </w:rPr>
              <w:t>compartimentul</w:t>
            </w:r>
            <w:r w:rsidRPr="00C24162">
              <w:rPr>
                <w:rFonts w:ascii="Times New Roman" w:eastAsia="Times New Roman" w:hAnsi="Times New Roman"/>
                <w:sz w:val="20"/>
                <w:szCs w:val="20"/>
                <w:lang w:val="ro-RO"/>
              </w:rPr>
              <w:t xml:space="preserve"> din Strategie Moldova 2020, Energie furnizată sigur și eficient și anume diminuează insuficiența interconexiuni fizice ale reţelelor cu ţările vecine în sectoarele de gaze naturale şi de energie electrică</w:t>
            </w:r>
            <w:r w:rsidR="00EA4C8C" w:rsidRPr="00C24162">
              <w:rPr>
                <w:rFonts w:ascii="Times New Roman" w:eastAsia="Times New Roman" w:hAnsi="Times New Roman"/>
                <w:sz w:val="20"/>
                <w:szCs w:val="20"/>
                <w:lang w:val="ro-RO"/>
              </w:rPr>
              <w:t>.</w:t>
            </w:r>
          </w:p>
          <w:p w:rsidR="00F179D4" w:rsidRPr="00C24162" w:rsidRDefault="00EA4C8C" w:rsidP="002D3315">
            <w:pPr>
              <w:pStyle w:val="Listparagraf"/>
              <w:numPr>
                <w:ilvl w:val="0"/>
                <w:numId w:val="5"/>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Proiectul pentru promovarea reformelor şi sporirea eficienţei în sectorul energetic (ESREI)</w:t>
            </w:r>
            <w:r w:rsidR="00C90A59" w:rsidRPr="00C24162">
              <w:rPr>
                <w:rFonts w:ascii="Times New Roman" w:eastAsia="Times New Roman" w:hAnsi="Times New Roman"/>
                <w:sz w:val="20"/>
                <w:szCs w:val="20"/>
                <w:lang w:val="ro-RO"/>
              </w:rPr>
              <w:t xml:space="preserve"> acordă suport în soluționarea problemelor din sectorul termoenergetic, menționate conform Strategiei Moldova 2020.</w:t>
            </w:r>
          </w:p>
        </w:tc>
      </w:tr>
      <w:tr w:rsidR="00C75450" w:rsidRPr="00C24162" w:rsidTr="00C24162">
        <w:tc>
          <w:tcPr>
            <w:tcW w:w="2510" w:type="dxa"/>
            <w:gridSpan w:val="2"/>
            <w:tcBorders>
              <w:top w:val="single" w:sz="4" w:space="0" w:color="auto"/>
              <w:left w:val="single" w:sz="4" w:space="0" w:color="auto"/>
              <w:bottom w:val="single" w:sz="4" w:space="0" w:color="auto"/>
              <w:right w:val="single" w:sz="4" w:space="0" w:color="auto"/>
            </w:tcBorders>
            <w:hideMark/>
          </w:tcPr>
          <w:p w:rsidR="00D84BEE" w:rsidRPr="00C24162" w:rsidRDefault="00D84BEE">
            <w:pPr>
              <w:jc w:val="both"/>
              <w:rPr>
                <w:rFonts w:ascii="Times New Roman" w:eastAsia="Times New Roman" w:hAnsi="Times New Roman"/>
                <w:i/>
                <w:sz w:val="20"/>
                <w:szCs w:val="20"/>
                <w:lang w:val="ro-RO"/>
              </w:rPr>
            </w:pPr>
            <w:r w:rsidRPr="00C24162">
              <w:rPr>
                <w:rFonts w:ascii="Times New Roman" w:eastAsia="Times New Roman" w:hAnsi="Times New Roman"/>
                <w:i/>
                <w:sz w:val="20"/>
                <w:szCs w:val="20"/>
                <w:lang w:val="ro-RO"/>
              </w:rPr>
              <w:lastRenderedPageBreak/>
              <w:t>Care este impactul asistenței externe asupra Programului de activitate a Guvernului (conform sectorului)?</w:t>
            </w:r>
          </w:p>
        </w:tc>
        <w:tc>
          <w:tcPr>
            <w:tcW w:w="12482" w:type="dxa"/>
            <w:gridSpan w:val="21"/>
            <w:tcBorders>
              <w:top w:val="single" w:sz="4" w:space="0" w:color="auto"/>
              <w:left w:val="single" w:sz="4" w:space="0" w:color="auto"/>
              <w:bottom w:val="single" w:sz="4" w:space="0" w:color="auto"/>
              <w:right w:val="single" w:sz="4" w:space="0" w:color="auto"/>
            </w:tcBorders>
          </w:tcPr>
          <w:p w:rsidR="00D85E91" w:rsidRPr="00C24162" w:rsidRDefault="002E2BC1" w:rsidP="00812D33">
            <w:pPr>
              <w:pStyle w:val="Listparagraf"/>
              <w:numPr>
                <w:ilvl w:val="0"/>
                <w:numId w:val="7"/>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Programul suport bugetar acordat de UE privind instituirea Zonei de Liber Schimb Aprofundat și Cuprinzător în Republica Moldova</w:t>
            </w:r>
            <w:r w:rsidR="00D85E91" w:rsidRPr="00C24162">
              <w:rPr>
                <w:rFonts w:ascii="Times New Roman" w:eastAsia="Times New Roman" w:hAnsi="Times New Roman"/>
                <w:sz w:val="20"/>
                <w:szCs w:val="20"/>
                <w:lang w:val="ro-RO"/>
              </w:rPr>
              <w:t xml:space="preserve"> oferă asistența necesară pentru parcurgerea vectorului european și conform Programului de activitate a Guvernului</w:t>
            </w:r>
            <w:r w:rsidR="002056A8" w:rsidRPr="00C24162">
              <w:rPr>
                <w:rFonts w:ascii="Times New Roman" w:eastAsia="Times New Roman" w:hAnsi="Times New Roman"/>
                <w:sz w:val="20"/>
                <w:szCs w:val="20"/>
                <w:lang w:val="ro-RO"/>
              </w:rPr>
              <w:t xml:space="preserve"> 2011</w:t>
            </w:r>
            <w:r w:rsidR="00D85E91" w:rsidRPr="00C24162">
              <w:rPr>
                <w:rFonts w:ascii="Times New Roman" w:eastAsia="Times New Roman" w:hAnsi="Times New Roman"/>
                <w:sz w:val="20"/>
                <w:szCs w:val="20"/>
                <w:lang w:val="ro-RO"/>
              </w:rPr>
              <w:t>-2014, compartimentul</w:t>
            </w:r>
            <w:r w:rsidR="00731157" w:rsidRPr="00C24162">
              <w:rPr>
                <w:rFonts w:ascii="Times New Roman" w:eastAsia="Times New Roman" w:hAnsi="Times New Roman"/>
                <w:sz w:val="20"/>
                <w:szCs w:val="20"/>
                <w:lang w:val="ro-RO"/>
              </w:rPr>
              <w:t xml:space="preserve"> I</w:t>
            </w:r>
            <w:r w:rsidR="00D85E91" w:rsidRPr="00C24162">
              <w:rPr>
                <w:rFonts w:ascii="Times New Roman" w:eastAsia="Times New Roman" w:hAnsi="Times New Roman"/>
                <w:sz w:val="20"/>
                <w:szCs w:val="20"/>
                <w:lang w:val="ro-RO"/>
              </w:rPr>
              <w:t xml:space="preserve"> </w:t>
            </w:r>
            <w:r w:rsidR="0081518D" w:rsidRPr="00C24162">
              <w:rPr>
                <w:rFonts w:ascii="Times New Roman" w:eastAsia="Times New Roman" w:hAnsi="Times New Roman"/>
                <w:sz w:val="20"/>
                <w:szCs w:val="20"/>
                <w:lang w:val="ro-RO"/>
              </w:rPr>
              <w:t>„</w:t>
            </w:r>
            <w:r w:rsidR="00D85E91" w:rsidRPr="00C24162">
              <w:rPr>
                <w:rFonts w:ascii="Times New Roman" w:eastAsia="Times New Roman" w:hAnsi="Times New Roman"/>
                <w:sz w:val="20"/>
                <w:szCs w:val="20"/>
                <w:lang w:val="ro-RO"/>
              </w:rPr>
              <w:t>Integrare europeană</w:t>
            </w:r>
            <w:r w:rsidR="0081518D" w:rsidRPr="00C24162">
              <w:rPr>
                <w:rFonts w:ascii="Times New Roman" w:eastAsia="Times New Roman" w:hAnsi="Times New Roman"/>
                <w:sz w:val="20"/>
                <w:szCs w:val="20"/>
                <w:lang w:val="ro-RO"/>
              </w:rPr>
              <w:t>”</w:t>
            </w:r>
            <w:r w:rsidR="00D85E91" w:rsidRPr="00C24162">
              <w:rPr>
                <w:rFonts w:ascii="Times New Roman" w:hAnsi="Times New Roman"/>
                <w:sz w:val="20"/>
                <w:szCs w:val="20"/>
                <w:lang w:val="en-US"/>
              </w:rPr>
              <w:t xml:space="preserve"> </w:t>
            </w:r>
            <w:r w:rsidR="00D85E91" w:rsidRPr="00C24162">
              <w:rPr>
                <w:rFonts w:ascii="Times New Roman" w:hAnsi="Times New Roman"/>
                <w:sz w:val="20"/>
                <w:szCs w:val="20"/>
                <w:lang w:val="ro-RO"/>
              </w:rPr>
              <w:t xml:space="preserve">acordă suport în </w:t>
            </w:r>
            <w:r w:rsidR="00D85E91" w:rsidRPr="00C24162">
              <w:rPr>
                <w:rFonts w:ascii="Times New Roman" w:eastAsia="Times New Roman" w:hAnsi="Times New Roman"/>
                <w:sz w:val="20"/>
                <w:szCs w:val="20"/>
                <w:lang w:val="ro-RO"/>
              </w:rPr>
              <w:t>implementarea normelor Acordului de Comerţ Liber Aprofundat şi Cuprinzător.</w:t>
            </w:r>
          </w:p>
          <w:p w:rsidR="00D84BEE" w:rsidRPr="00C24162" w:rsidRDefault="00812D33" w:rsidP="0073385A">
            <w:pPr>
              <w:pStyle w:val="Listparagraf"/>
              <w:numPr>
                <w:ilvl w:val="0"/>
                <w:numId w:val="7"/>
              </w:numPr>
              <w:spacing w:line="254"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 xml:space="preserve">Proiectul Ameliorarea Competitivităţii II </w:t>
            </w:r>
            <w:r w:rsidR="002056A8" w:rsidRPr="00C24162">
              <w:rPr>
                <w:rFonts w:ascii="Times New Roman" w:eastAsia="Times New Roman" w:hAnsi="Times New Roman"/>
                <w:color w:val="000000" w:themeColor="text1"/>
                <w:sz w:val="20"/>
                <w:szCs w:val="20"/>
                <w:lang w:val="ro-RO"/>
              </w:rPr>
              <w:t>contribuie</w:t>
            </w:r>
            <w:r w:rsidRPr="00C24162">
              <w:rPr>
                <w:rFonts w:ascii="Times New Roman" w:eastAsia="Times New Roman" w:hAnsi="Times New Roman"/>
                <w:color w:val="000000" w:themeColor="text1"/>
                <w:sz w:val="20"/>
                <w:szCs w:val="20"/>
                <w:lang w:val="ro-RO"/>
              </w:rPr>
              <w:t xml:space="preserve"> la realizarea modelului de creştere economică descris în Programul de activitate al Guvernului „Integrarea Europeană: Libertate, Democraţie, Bunăstare” pentru anii 2013-2014. Proiectul sprijină o gamă largă de acţiuni a programului reformă, care vizează creşterea competitivităţii mediului de afaceri. În special, agenda de reforme a Guvernului în domeniul politicii de competitivitate a mediului de afaceri.</w:t>
            </w:r>
          </w:p>
          <w:p w:rsidR="001D0D1D" w:rsidRPr="00C24162" w:rsidRDefault="001D0D1D" w:rsidP="001D0D1D">
            <w:pPr>
              <w:pStyle w:val="Listparagraf"/>
              <w:numPr>
                <w:ilvl w:val="0"/>
                <w:numId w:val="7"/>
              </w:numPr>
              <w:spacing w:line="254"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Proiectul "Reforma sectorului energetic şi sporirea eficienţei în sectorul energeticii"</w:t>
            </w:r>
            <w:r w:rsidR="00731157" w:rsidRPr="00C24162">
              <w:rPr>
                <w:rFonts w:ascii="Times New Roman" w:eastAsia="Times New Roman" w:hAnsi="Times New Roman"/>
                <w:sz w:val="20"/>
                <w:szCs w:val="20"/>
                <w:lang w:val="ro-RO"/>
              </w:rPr>
              <w:t>(ESREI)</w:t>
            </w:r>
            <w:r w:rsidRPr="00C24162">
              <w:rPr>
                <w:rFonts w:ascii="Times New Roman" w:eastAsia="Times New Roman" w:hAnsi="Times New Roman"/>
                <w:color w:val="000000" w:themeColor="text1"/>
                <w:sz w:val="20"/>
                <w:szCs w:val="20"/>
                <w:lang w:val="ro-RO"/>
              </w:rPr>
              <w:t xml:space="preserve"> este direcționat sa asigure dezvoltarea sistemului termoenergetic prin restructurarea economică, instituţională şi tehnică a acestuia, inclusiv reorganizarea prin fuziune a societăţilor pe acţiuni CET-1, CET-2 şi </w:t>
            </w:r>
            <w:proofErr w:type="spellStart"/>
            <w:r w:rsidRPr="00C24162">
              <w:rPr>
                <w:rFonts w:ascii="Times New Roman" w:eastAsia="Times New Roman" w:hAnsi="Times New Roman"/>
                <w:color w:val="000000" w:themeColor="text1"/>
                <w:sz w:val="20"/>
                <w:szCs w:val="20"/>
                <w:lang w:val="ro-RO"/>
              </w:rPr>
              <w:t>Termocom</w:t>
            </w:r>
            <w:proofErr w:type="spellEnd"/>
            <w:r w:rsidRPr="00C24162">
              <w:rPr>
                <w:rFonts w:ascii="Times New Roman" w:eastAsia="Times New Roman" w:hAnsi="Times New Roman"/>
                <w:color w:val="000000" w:themeColor="text1"/>
                <w:sz w:val="20"/>
                <w:szCs w:val="20"/>
                <w:lang w:val="ro-RO"/>
              </w:rPr>
              <w:t xml:space="preserve"> conform acțiunilor prioritare ale Programului de activitate a Guvernului 2011-2014, Compartimentul Politici economice și financiare, Transport și infrastructură.</w:t>
            </w:r>
          </w:p>
          <w:p w:rsidR="001508DD" w:rsidRPr="00C24162" w:rsidRDefault="001508DD" w:rsidP="001508DD">
            <w:pPr>
              <w:pStyle w:val="Listparagraf"/>
              <w:numPr>
                <w:ilvl w:val="0"/>
                <w:numId w:val="7"/>
              </w:numPr>
              <w:spacing w:line="254"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Programul de Suport Bugetar „Stimular</w:t>
            </w:r>
            <w:r w:rsidR="002056A8" w:rsidRPr="00C24162">
              <w:rPr>
                <w:rFonts w:ascii="Times New Roman" w:eastAsia="Times New Roman" w:hAnsi="Times New Roman"/>
                <w:color w:val="000000" w:themeColor="text1"/>
                <w:sz w:val="20"/>
                <w:szCs w:val="20"/>
                <w:lang w:val="ro-RO"/>
              </w:rPr>
              <w:t xml:space="preserve">ea Economică în Zonele Rurale” </w:t>
            </w:r>
            <w:r w:rsidRPr="00C24162">
              <w:rPr>
                <w:rFonts w:ascii="Times New Roman" w:eastAsia="Times New Roman" w:hAnsi="Times New Roman"/>
                <w:color w:val="000000" w:themeColor="text1"/>
                <w:sz w:val="20"/>
                <w:szCs w:val="20"/>
                <w:lang w:val="ro-RO"/>
              </w:rPr>
              <w:t>(ESRA)</w:t>
            </w:r>
            <w:r w:rsidR="002056A8" w:rsidRPr="00C24162">
              <w:rPr>
                <w:rFonts w:ascii="Times New Roman" w:eastAsia="Times New Roman" w:hAnsi="Times New Roman"/>
                <w:color w:val="000000" w:themeColor="text1"/>
                <w:sz w:val="20"/>
                <w:szCs w:val="20"/>
                <w:lang w:val="ro-RO"/>
              </w:rPr>
              <w:t xml:space="preserve">  contribuie la îndeplinirea</w:t>
            </w:r>
            <w:r w:rsidRPr="00C24162">
              <w:rPr>
                <w:rFonts w:ascii="Times New Roman" w:eastAsia="Times New Roman" w:hAnsi="Times New Roman"/>
                <w:color w:val="000000" w:themeColor="text1"/>
                <w:sz w:val="20"/>
                <w:szCs w:val="20"/>
                <w:lang w:val="ro-RO"/>
              </w:rPr>
              <w:t xml:space="preserve"> obiective</w:t>
            </w:r>
            <w:r w:rsidR="002056A8" w:rsidRPr="00C24162">
              <w:rPr>
                <w:rFonts w:ascii="Times New Roman" w:eastAsia="Times New Roman" w:hAnsi="Times New Roman"/>
                <w:color w:val="000000" w:themeColor="text1"/>
                <w:sz w:val="20"/>
                <w:szCs w:val="20"/>
                <w:lang w:val="ro-RO"/>
              </w:rPr>
              <w:t>lor</w:t>
            </w:r>
            <w:r w:rsidRPr="00C24162">
              <w:rPr>
                <w:rFonts w:ascii="Times New Roman" w:eastAsia="Times New Roman" w:hAnsi="Times New Roman"/>
                <w:color w:val="000000" w:themeColor="text1"/>
                <w:sz w:val="20"/>
                <w:szCs w:val="20"/>
                <w:lang w:val="ro-RO"/>
              </w:rPr>
              <w:t xml:space="preserve"> de guvernare Capitolul II</w:t>
            </w:r>
            <w:r w:rsidR="002056A8" w:rsidRPr="00C24162">
              <w:rPr>
                <w:rFonts w:ascii="Times New Roman" w:eastAsia="Times New Roman" w:hAnsi="Times New Roman"/>
                <w:color w:val="000000" w:themeColor="text1"/>
                <w:sz w:val="20"/>
                <w:szCs w:val="20"/>
                <w:lang w:val="ro-RO"/>
              </w:rPr>
              <w:t xml:space="preserve"> al Programului de activitate al Guvernului 2013-2014</w:t>
            </w:r>
            <w:r w:rsidRPr="00C24162">
              <w:rPr>
                <w:rFonts w:ascii="Times New Roman" w:eastAsia="Times New Roman" w:hAnsi="Times New Roman"/>
                <w:color w:val="000000" w:themeColor="text1"/>
                <w:sz w:val="20"/>
                <w:szCs w:val="20"/>
                <w:lang w:val="ro-RO"/>
              </w:rPr>
              <w:t xml:space="preserve">, </w:t>
            </w:r>
            <w:r w:rsidR="002056A8" w:rsidRPr="00C24162">
              <w:rPr>
                <w:rFonts w:ascii="Times New Roman" w:eastAsia="Times New Roman" w:hAnsi="Times New Roman"/>
                <w:color w:val="000000" w:themeColor="text1"/>
                <w:sz w:val="20"/>
                <w:szCs w:val="20"/>
                <w:lang w:val="ro-RO"/>
              </w:rPr>
              <w:t>„</w:t>
            </w:r>
            <w:r w:rsidRPr="00C24162">
              <w:rPr>
                <w:rFonts w:ascii="Times New Roman" w:eastAsia="Times New Roman" w:hAnsi="Times New Roman"/>
                <w:color w:val="000000" w:themeColor="text1"/>
                <w:sz w:val="20"/>
                <w:szCs w:val="20"/>
                <w:lang w:val="ro-RO"/>
              </w:rPr>
              <w:t>Dezvoltarea întreprinderilor mici şi mijlocii</w:t>
            </w:r>
            <w:r w:rsidR="002056A8" w:rsidRPr="00C24162">
              <w:rPr>
                <w:rFonts w:ascii="Times New Roman" w:eastAsia="Times New Roman" w:hAnsi="Times New Roman"/>
                <w:color w:val="000000" w:themeColor="text1"/>
                <w:sz w:val="20"/>
                <w:szCs w:val="20"/>
                <w:lang w:val="ro-RO"/>
              </w:rPr>
              <w:t>”</w:t>
            </w:r>
            <w:r w:rsidRPr="00C24162">
              <w:rPr>
                <w:rFonts w:ascii="Times New Roman" w:eastAsia="Times New Roman" w:hAnsi="Times New Roman"/>
                <w:color w:val="000000" w:themeColor="text1"/>
                <w:sz w:val="20"/>
                <w:szCs w:val="20"/>
                <w:lang w:val="ro-RO"/>
              </w:rPr>
              <w:t xml:space="preserve"> </w:t>
            </w:r>
            <w:r w:rsidR="002056A8" w:rsidRPr="00C24162">
              <w:rPr>
                <w:rFonts w:ascii="Times New Roman" w:eastAsia="Times New Roman" w:hAnsi="Times New Roman"/>
                <w:color w:val="000000" w:themeColor="text1"/>
                <w:sz w:val="20"/>
                <w:szCs w:val="20"/>
                <w:lang w:val="ro-RO"/>
              </w:rPr>
              <w:t xml:space="preserve">: </w:t>
            </w:r>
            <w:r w:rsidRPr="00C24162">
              <w:rPr>
                <w:rFonts w:ascii="Times New Roman" w:eastAsia="Times New Roman" w:hAnsi="Times New Roman"/>
                <w:color w:val="000000" w:themeColor="text1"/>
                <w:sz w:val="20"/>
                <w:szCs w:val="20"/>
                <w:lang w:val="ro-RO"/>
              </w:rPr>
              <w:t>dezvoltarea infrastructurii de suport pentru activitatea întreprinderilor, simplificarea condiţiilor de garantare a creditelor şi împrumuturilor.</w:t>
            </w:r>
          </w:p>
          <w:p w:rsidR="001508DD" w:rsidRPr="00C24162" w:rsidRDefault="001508DD" w:rsidP="002056A8">
            <w:pPr>
              <w:pStyle w:val="Listparagraf"/>
              <w:numPr>
                <w:ilvl w:val="0"/>
                <w:numId w:val="7"/>
              </w:numPr>
              <w:spacing w:line="254"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sz w:val="20"/>
                <w:szCs w:val="20"/>
                <w:lang w:val="ro-RO"/>
              </w:rPr>
              <w:t xml:space="preserve">Programul BRITE/USAID, Proiectul de ameliorarea a competitivității  ajută la atingerea obiectivelor expuse în </w:t>
            </w:r>
            <w:r w:rsidRPr="00C24162">
              <w:rPr>
                <w:rFonts w:ascii="Times New Roman" w:eastAsia="Times New Roman" w:hAnsi="Times New Roman"/>
                <w:color w:val="000000" w:themeColor="text1"/>
                <w:sz w:val="20"/>
                <w:szCs w:val="20"/>
                <w:lang w:val="ro-RO"/>
              </w:rPr>
              <w:t xml:space="preserve">Capitolul II, </w:t>
            </w:r>
            <w:r w:rsidR="002056A8" w:rsidRPr="00C24162">
              <w:rPr>
                <w:rFonts w:ascii="Times New Roman" w:eastAsia="Times New Roman" w:hAnsi="Times New Roman"/>
                <w:color w:val="000000" w:themeColor="text1"/>
                <w:sz w:val="20"/>
                <w:szCs w:val="20"/>
                <w:lang w:val="ro-RO"/>
              </w:rPr>
              <w:t xml:space="preserve">Crearea locurilor de muncă prin impulsionarea activităţii economice - </w:t>
            </w:r>
            <w:r w:rsidRPr="00C24162">
              <w:rPr>
                <w:rFonts w:ascii="Times New Roman" w:eastAsia="Times New Roman" w:hAnsi="Times New Roman"/>
                <w:color w:val="000000" w:themeColor="text1"/>
                <w:sz w:val="20"/>
                <w:szCs w:val="20"/>
                <w:lang w:val="ro-RO"/>
              </w:rPr>
              <w:t>acțiuni ce țin de eliminarea constrângerilor de ordin administrativ pentru mediul de afaceri.</w:t>
            </w:r>
          </w:p>
          <w:p w:rsidR="001508DD" w:rsidRPr="00C24162" w:rsidRDefault="001508DD" w:rsidP="002056A8">
            <w:pPr>
              <w:pStyle w:val="Listparagraf"/>
              <w:numPr>
                <w:ilvl w:val="0"/>
                <w:numId w:val="7"/>
              </w:numPr>
              <w:spacing w:line="254"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sz w:val="20"/>
                <w:szCs w:val="20"/>
                <w:lang w:val="ro-RO"/>
              </w:rPr>
              <w:t xml:space="preserve">Reforma în domeniul climatului investițional răspunde la necesitățile de implementarea a priorităților din capitolul II al programului, </w:t>
            </w:r>
            <w:r w:rsidR="002056A8" w:rsidRPr="00C24162">
              <w:rPr>
                <w:rFonts w:ascii="Times New Roman" w:eastAsia="Times New Roman" w:hAnsi="Times New Roman"/>
                <w:sz w:val="20"/>
                <w:szCs w:val="20"/>
                <w:lang w:val="ro-RO"/>
              </w:rPr>
              <w:t xml:space="preserve">Crearea locurilor de muncă prin impulsionarea activităţii economice - </w:t>
            </w:r>
            <w:r w:rsidRPr="00C24162">
              <w:rPr>
                <w:rFonts w:ascii="Times New Roman" w:eastAsia="Times New Roman" w:hAnsi="Times New Roman"/>
                <w:sz w:val="20"/>
                <w:szCs w:val="20"/>
                <w:lang w:val="ro-RO"/>
              </w:rPr>
              <w:t xml:space="preserve">obiectiv de guvernare - </w:t>
            </w:r>
            <w:r w:rsidRPr="00C24162">
              <w:rPr>
                <w:rFonts w:ascii="Times New Roman" w:hAnsi="Times New Roman"/>
                <w:sz w:val="20"/>
                <w:szCs w:val="20"/>
              </w:rPr>
              <w:t xml:space="preserve"> Promovarea exporturilor şi atragerea investiţiilor.</w:t>
            </w:r>
          </w:p>
          <w:p w:rsidR="002056A8" w:rsidRPr="00C24162" w:rsidRDefault="002056A8" w:rsidP="002056A8">
            <w:pPr>
              <w:pStyle w:val="Listparagraf"/>
              <w:numPr>
                <w:ilvl w:val="0"/>
                <w:numId w:val="7"/>
              </w:numPr>
              <w:spacing w:line="254"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color w:val="000000" w:themeColor="text1"/>
                <w:sz w:val="20"/>
                <w:szCs w:val="20"/>
                <w:lang w:val="ro-RO"/>
              </w:rPr>
              <w:t>Politici de cluster inteligente pentru Europa de sud est contribuie la realizarea unei acțiuni prioritare din cadrul compartimentului II al Programului „Dezvoltarea întreprinderilor mici şi mijlocii” - Promovarea inovaţiilor şi dezvoltării tehnologice a întreprinderilor și anume încurajarea creării clusterelor tehnologice naţionale/internaţionale şi susţinerea aplicării practicilor moderne de management industrial.</w:t>
            </w:r>
          </w:p>
          <w:p w:rsidR="002D3315" w:rsidRPr="00C24162" w:rsidRDefault="002D3315" w:rsidP="002056A8">
            <w:pPr>
              <w:pStyle w:val="Listparagraf"/>
              <w:numPr>
                <w:ilvl w:val="0"/>
                <w:numId w:val="7"/>
              </w:numPr>
              <w:spacing w:line="254" w:lineRule="auto"/>
              <w:jc w:val="both"/>
              <w:rPr>
                <w:rFonts w:ascii="Times New Roman" w:eastAsia="Times New Roman" w:hAnsi="Times New Roman"/>
                <w:color w:val="000000" w:themeColor="text1"/>
                <w:sz w:val="20"/>
                <w:szCs w:val="20"/>
                <w:lang w:val="ro-RO"/>
              </w:rPr>
            </w:pPr>
            <w:r w:rsidRPr="00C24162">
              <w:rPr>
                <w:rFonts w:ascii="Times New Roman" w:eastAsia="Times New Roman" w:hAnsi="Times New Roman"/>
                <w:sz w:val="20"/>
                <w:szCs w:val="20"/>
                <w:lang w:val="ro-RO"/>
              </w:rPr>
              <w:t>Proiectele „</w:t>
            </w:r>
            <w:proofErr w:type="spellStart"/>
            <w:r w:rsidRPr="00C24162">
              <w:rPr>
                <w:rFonts w:ascii="Times New Roman" w:eastAsia="Times New Roman" w:hAnsi="Times New Roman"/>
                <w:sz w:val="20"/>
                <w:szCs w:val="20"/>
                <w:lang w:val="ro-RO"/>
              </w:rPr>
              <w:t>Antreprenoriat</w:t>
            </w:r>
            <w:proofErr w:type="spellEnd"/>
            <w:r w:rsidRPr="00C24162">
              <w:rPr>
                <w:rFonts w:ascii="Times New Roman" w:eastAsia="Times New Roman" w:hAnsi="Times New Roman"/>
                <w:sz w:val="20"/>
                <w:szCs w:val="20"/>
                <w:lang w:val="ro-RO"/>
              </w:rPr>
              <w:t xml:space="preserve"> inovativ pentru ocuparea durabilă a forţei de muncă (SYSLAB)” și „Dezvoltarea afacerilor inovatoare pentru o creștere economică durabilă la nivel local (LED)” vine cu suport necesar în vederea promovării inovaţiilor şi dezvoltării tehnologice a întreprinderilor, obiectiv prioritar din cadrul capitolului II,  „Dezvoltarea întreprinderilor mici şi mijlocii” al Programului Guvernului 2013-</w:t>
            </w:r>
            <w:r w:rsidRPr="00C24162">
              <w:rPr>
                <w:rFonts w:ascii="Times New Roman" w:eastAsia="Times New Roman" w:hAnsi="Times New Roman"/>
                <w:sz w:val="20"/>
                <w:szCs w:val="20"/>
                <w:lang w:val="ro-RO"/>
              </w:rPr>
              <w:lastRenderedPageBreak/>
              <w:t>2014.</w:t>
            </w:r>
          </w:p>
        </w:tc>
      </w:tr>
      <w:tr w:rsidR="00C75450" w:rsidRPr="00C24162" w:rsidTr="00C24162">
        <w:tc>
          <w:tcPr>
            <w:tcW w:w="2510" w:type="dxa"/>
            <w:gridSpan w:val="2"/>
            <w:tcBorders>
              <w:top w:val="single" w:sz="4" w:space="0" w:color="auto"/>
              <w:left w:val="single" w:sz="4" w:space="0" w:color="auto"/>
              <w:bottom w:val="single" w:sz="4" w:space="0" w:color="auto"/>
              <w:right w:val="single" w:sz="4" w:space="0" w:color="auto"/>
            </w:tcBorders>
            <w:hideMark/>
          </w:tcPr>
          <w:p w:rsidR="00D84BEE" w:rsidRPr="00C24162" w:rsidRDefault="00D84BEE">
            <w:pPr>
              <w:jc w:val="both"/>
              <w:rPr>
                <w:rFonts w:ascii="Times New Roman" w:eastAsia="Times New Roman" w:hAnsi="Times New Roman"/>
                <w:i/>
                <w:sz w:val="20"/>
                <w:szCs w:val="20"/>
                <w:lang w:val="ro-RO"/>
              </w:rPr>
            </w:pPr>
            <w:r w:rsidRPr="00C24162">
              <w:rPr>
                <w:rFonts w:ascii="Times New Roman" w:eastAsia="Times New Roman" w:hAnsi="Times New Roman"/>
                <w:i/>
                <w:sz w:val="20"/>
                <w:szCs w:val="20"/>
                <w:lang w:val="ro-RO"/>
              </w:rPr>
              <w:lastRenderedPageBreak/>
              <w:t>Care este impactul asistenței externe asupra strategiilor sectoriale?</w:t>
            </w:r>
          </w:p>
        </w:tc>
        <w:tc>
          <w:tcPr>
            <w:tcW w:w="12482" w:type="dxa"/>
            <w:gridSpan w:val="21"/>
            <w:tcBorders>
              <w:top w:val="single" w:sz="4" w:space="0" w:color="auto"/>
              <w:left w:val="single" w:sz="4" w:space="0" w:color="auto"/>
              <w:bottom w:val="single" w:sz="4" w:space="0" w:color="auto"/>
              <w:right w:val="single" w:sz="4" w:space="0" w:color="auto"/>
            </w:tcBorders>
          </w:tcPr>
          <w:p w:rsidR="00B77F4D" w:rsidRPr="00C24162" w:rsidRDefault="00B77F4D" w:rsidP="00B77F4D">
            <w:pPr>
              <w:pStyle w:val="Listparagraf"/>
              <w:numPr>
                <w:ilvl w:val="0"/>
                <w:numId w:val="6"/>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Programul de suport bugetar în sectorul energetic „Asistenţă pentru reforma sectorului energetic” a impulsionat semnificativ implementarea Strategiei Energetice, cu accent special pe Planul de acţiuni în domeniul eficienţei energetice (inclusiv identificarea proiectelor de investiţii), armonizarea legislaţiei primare şi secundare în contextul Tratatului Comunităţii Energetice, elaborarea metodologiilor de stabilire a tarifelor la energie la nivelul de recuperare a costurilor şi investiţiilor şi implementarea acestor tarife, promovarea eficienţei energetice şi energiei regenerabile şi dezvoltarea şi implementarea mecanismelor de finanţare dedicate. </w:t>
            </w:r>
          </w:p>
          <w:p w:rsidR="00B77F4D" w:rsidRPr="00C24162" w:rsidRDefault="00B77F4D" w:rsidP="00B77F4D">
            <w:pPr>
              <w:pStyle w:val="Listparagraf"/>
              <w:numPr>
                <w:ilvl w:val="0"/>
                <w:numId w:val="6"/>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Prin Proiectul „Dezvoltarea afacerilor inovatoare pentru o creștere economică durabilă la nivel local (LED)”, măsuri concrete din Planul de Acțiuni al Strategiei Inovaţionale a Republicii Moldova pentru perioada 2013-2020 „Inovaţii pentru Competitivitate” vor fi pilotate și ulterior vor fi transferate bunele practici către Ministerul Economiei.</w:t>
            </w:r>
          </w:p>
          <w:p w:rsidR="00B77F4D" w:rsidRPr="00C24162" w:rsidRDefault="00806E86" w:rsidP="00806E86">
            <w:pPr>
              <w:pStyle w:val="Listparagraf"/>
              <w:numPr>
                <w:ilvl w:val="0"/>
                <w:numId w:val="6"/>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Proiectul „Consolidarea capacităţilor Ministerului Economiei în domeniul eficienţei energetice şi energiei regenerabile” acordă asistență la actualizarea Strategiei energetice 2030, precum și a cadrului legal în domeniul eficienței energetice și promovarea energiei regenerabile pentru a fi în conformitate cu standardele UE și acquis-ul comunitar, și sprijină instituțiile guvernamentale în realizarea obiectivelor strategice și obiectivelor orientate spre creșterea siguranței aprovizionării cu energie și efic</w:t>
            </w:r>
            <w:r w:rsidR="00433063" w:rsidRPr="00C24162">
              <w:rPr>
                <w:rFonts w:ascii="Times New Roman" w:eastAsia="Times New Roman" w:hAnsi="Times New Roman"/>
                <w:sz w:val="20"/>
                <w:szCs w:val="20"/>
                <w:lang w:val="ro-RO"/>
              </w:rPr>
              <w:t>iența economică și energetică conform Programului naţional pentru eficienţă energetică 2011-2020.</w:t>
            </w:r>
          </w:p>
          <w:p w:rsidR="00812D33" w:rsidRPr="00C24162" w:rsidRDefault="00812D33" w:rsidP="00812D33">
            <w:pPr>
              <w:pStyle w:val="Listparagraf"/>
              <w:numPr>
                <w:ilvl w:val="0"/>
                <w:numId w:val="6"/>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Proiectul Ameliorarea Competitivităţii II acorda asistență pentru a îmbunătăţi capacitatea Ministerului Economiei şi a altor autorităţi relevante în vederea implementării Strategiei reformei cadrului de reglementare a activităţii de întreprinzător 2013-2020 şi a Planului de acţiuni pentru implementarea acesteia în anii 2013-2016, precum şi pentru identificarea domeniilor pentru reformele ulterioare şi de a stimula autorităţile publice de a îmbunătăţi interacţiunea lor cu sectorul de afaceri (de exemplu, luând măsuri pentru a reduce timpul, costul şi numărul de proceduri necesare).</w:t>
            </w:r>
            <w:r w:rsidR="00790395">
              <w:rPr>
                <w:rFonts w:ascii="Times New Roman" w:eastAsia="Times New Roman" w:hAnsi="Times New Roman"/>
                <w:sz w:val="20"/>
                <w:szCs w:val="20"/>
                <w:lang w:val="ro-RO"/>
              </w:rPr>
              <w:t xml:space="preserve"> Totodată vine ca suport pentru implementarea acțiunilor incluse in Foaia de parcurs pentru ameliorarea competitivității.</w:t>
            </w:r>
          </w:p>
          <w:p w:rsidR="00812D33" w:rsidRPr="00C24162" w:rsidRDefault="00812D33" w:rsidP="00C24162">
            <w:pPr>
              <w:pStyle w:val="Listparagraf"/>
              <w:numPr>
                <w:ilvl w:val="0"/>
                <w:numId w:val="6"/>
              </w:numPr>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Programul Comerţ, investiţii şi reglementarea activităţii de întreprinzător (BRITE). Activităţile programului au contribuit la realizarea </w:t>
            </w:r>
            <w:proofErr w:type="spellStart"/>
            <w:r w:rsidRPr="00C24162">
              <w:rPr>
                <w:rFonts w:ascii="Times New Roman" w:eastAsia="Times New Roman" w:hAnsi="Times New Roman"/>
                <w:sz w:val="20"/>
                <w:szCs w:val="20"/>
                <w:lang w:val="ro-RO"/>
              </w:rPr>
              <w:t>cîtorva</w:t>
            </w:r>
            <w:proofErr w:type="spellEnd"/>
            <w:r w:rsidRPr="00C24162">
              <w:rPr>
                <w:rFonts w:ascii="Times New Roman" w:eastAsia="Times New Roman" w:hAnsi="Times New Roman"/>
                <w:sz w:val="20"/>
                <w:szCs w:val="20"/>
                <w:lang w:val="ro-RO"/>
              </w:rPr>
              <w:t xml:space="preserve"> acţiuni ale Planului de acţiuni privind implementarea Strategiei reformei cadrului de reglementare a activităţii de întreprinzător, în special în ceea ce ţine</w:t>
            </w:r>
            <w:r w:rsidR="005E1419" w:rsidRPr="00C24162">
              <w:rPr>
                <w:rFonts w:ascii="Times New Roman" w:eastAsia="Times New Roman" w:hAnsi="Times New Roman"/>
                <w:sz w:val="20"/>
                <w:szCs w:val="20"/>
                <w:lang w:val="ro-RO"/>
              </w:rPr>
              <w:t xml:space="preserve"> de reducerea actelor permisive și implementarea ghișeului</w:t>
            </w:r>
            <w:r w:rsidR="006A1660" w:rsidRPr="00C24162">
              <w:rPr>
                <w:rFonts w:ascii="Times New Roman" w:eastAsia="Times New Roman" w:hAnsi="Times New Roman"/>
                <w:sz w:val="20"/>
                <w:szCs w:val="20"/>
                <w:lang w:val="ro-RO"/>
              </w:rPr>
              <w:t xml:space="preserve"> unic (eliberarea a cel puţin 30% din volumul total al actelor permisive în baza ghişeului unic </w:t>
            </w:r>
            <w:proofErr w:type="spellStart"/>
            <w:r w:rsidR="006A1660" w:rsidRPr="00C24162">
              <w:rPr>
                <w:rFonts w:ascii="Times New Roman" w:eastAsia="Times New Roman" w:hAnsi="Times New Roman"/>
                <w:sz w:val="20"/>
                <w:szCs w:val="20"/>
                <w:lang w:val="ro-RO"/>
              </w:rPr>
              <w:t>pînă</w:t>
            </w:r>
            <w:proofErr w:type="spellEnd"/>
            <w:r w:rsidR="006A1660" w:rsidRPr="00C24162">
              <w:rPr>
                <w:rFonts w:ascii="Times New Roman" w:eastAsia="Times New Roman" w:hAnsi="Times New Roman"/>
                <w:sz w:val="20"/>
                <w:szCs w:val="20"/>
                <w:lang w:val="ro-RO"/>
              </w:rPr>
              <w:t xml:space="preserve"> în 2017</w:t>
            </w:r>
            <w:r w:rsidR="00C24162">
              <w:rPr>
                <w:rFonts w:ascii="Times New Roman" w:eastAsia="Times New Roman" w:hAnsi="Times New Roman"/>
                <w:sz w:val="20"/>
                <w:szCs w:val="20"/>
                <w:lang w:val="ro-RO"/>
              </w:rPr>
              <w:t xml:space="preserve">, </w:t>
            </w:r>
            <w:r w:rsidR="00C24162" w:rsidRPr="00C24162">
              <w:rPr>
                <w:rFonts w:ascii="Times New Roman" w:eastAsia="Times New Roman" w:hAnsi="Times New Roman"/>
                <w:sz w:val="20"/>
                <w:szCs w:val="20"/>
                <w:lang w:val="ro-RO"/>
              </w:rPr>
              <w:t>revizuirea metodologiei şi publicarea manualului AIR</w:t>
            </w:r>
            <w:r w:rsidR="006A1660" w:rsidRPr="00C24162">
              <w:rPr>
                <w:rFonts w:ascii="Times New Roman" w:eastAsia="Times New Roman" w:hAnsi="Times New Roman"/>
                <w:sz w:val="20"/>
                <w:szCs w:val="20"/>
                <w:lang w:val="ro-RO"/>
              </w:rPr>
              <w:t>).</w:t>
            </w:r>
          </w:p>
          <w:p w:rsidR="005E1419" w:rsidRPr="00790395" w:rsidRDefault="005E1419" w:rsidP="00790395">
            <w:pPr>
              <w:pStyle w:val="Listparagraf"/>
              <w:numPr>
                <w:ilvl w:val="0"/>
                <w:numId w:val="6"/>
              </w:numPr>
              <w:jc w:val="both"/>
              <w:rPr>
                <w:rFonts w:ascii="Times New Roman" w:eastAsia="Times New Roman" w:hAnsi="Times New Roman"/>
                <w:sz w:val="20"/>
                <w:szCs w:val="20"/>
                <w:lang w:val="ro-RO"/>
              </w:rPr>
            </w:pPr>
            <w:r w:rsidRPr="00C24162">
              <w:rPr>
                <w:rFonts w:ascii="Times New Roman" w:eastAsia="Times New Roman" w:hAnsi="Times New Roman"/>
                <w:color w:val="000000" w:themeColor="text1"/>
                <w:sz w:val="20"/>
                <w:szCs w:val="20"/>
                <w:lang w:val="ro-RO"/>
              </w:rPr>
              <w:t>Programul de Suport Bugetar „Stimularea Economică în Zonele Rurale” (ESRA)  și asistența tehnică, precum și  proiectul „</w:t>
            </w:r>
            <w:proofErr w:type="spellStart"/>
            <w:r w:rsidRPr="00C24162">
              <w:rPr>
                <w:rFonts w:ascii="Times New Roman" w:eastAsia="Times New Roman" w:hAnsi="Times New Roman"/>
                <w:color w:val="000000" w:themeColor="text1"/>
                <w:sz w:val="20"/>
                <w:szCs w:val="20"/>
                <w:lang w:val="ro-RO"/>
              </w:rPr>
              <w:t>Antreprenoriat</w:t>
            </w:r>
            <w:proofErr w:type="spellEnd"/>
            <w:r w:rsidRPr="00C24162">
              <w:rPr>
                <w:rFonts w:ascii="Times New Roman" w:eastAsia="Times New Roman" w:hAnsi="Times New Roman"/>
                <w:color w:val="000000" w:themeColor="text1"/>
                <w:sz w:val="20"/>
                <w:szCs w:val="20"/>
                <w:lang w:val="ro-RO"/>
              </w:rPr>
              <w:t xml:space="preserve"> inovativ pentru ocuparea durabilă a forţei de muncă (SYSLAB)” contribuie la implementarea acțiunilor conform Strategiei de Dezvoltarea a Sectorului IMM 2012-2020</w:t>
            </w:r>
            <w:r w:rsidR="00790395">
              <w:rPr>
                <w:rFonts w:ascii="Times New Roman" w:eastAsia="Times New Roman" w:hAnsi="Times New Roman"/>
                <w:color w:val="000000" w:themeColor="text1"/>
                <w:sz w:val="20"/>
                <w:szCs w:val="20"/>
                <w:lang w:val="ro-RO"/>
              </w:rPr>
              <w:t xml:space="preserve">, precum și </w:t>
            </w:r>
            <w:r w:rsidR="00790395">
              <w:rPr>
                <w:rFonts w:ascii="Times New Roman" w:eastAsia="Times New Roman" w:hAnsi="Times New Roman"/>
                <w:sz w:val="20"/>
                <w:szCs w:val="20"/>
                <w:lang w:val="ro-RO"/>
              </w:rPr>
              <w:t xml:space="preserve">Foaia de parcurs pentru ameliorarea competitivității (capitolul II, accesul al resurse financiare, </w:t>
            </w:r>
            <w:r w:rsidR="00790395" w:rsidRPr="00790395">
              <w:rPr>
                <w:rFonts w:ascii="Times New Roman" w:eastAsia="Times New Roman" w:hAnsi="Times New Roman"/>
                <w:sz w:val="20"/>
                <w:szCs w:val="20"/>
                <w:lang w:val="ro-RO"/>
              </w:rPr>
              <w:t>Obiectivul 4: Atragerea şi creşterea eficienţei resurselor financiare externe acordate de partenerii de dezvoltare pentru sectorul real al economiei</w:t>
            </w:r>
            <w:r w:rsidR="00790395">
              <w:rPr>
                <w:rFonts w:ascii="Times New Roman" w:eastAsia="Times New Roman" w:hAnsi="Times New Roman"/>
                <w:sz w:val="20"/>
                <w:szCs w:val="20"/>
                <w:lang w:val="ro-RO"/>
              </w:rPr>
              <w:t>)</w:t>
            </w:r>
            <w:r w:rsidR="00790395">
              <w:rPr>
                <w:rFonts w:ascii="Times New Roman" w:eastAsia="Times New Roman" w:hAnsi="Times New Roman"/>
                <w:color w:val="000000" w:themeColor="text1"/>
                <w:sz w:val="20"/>
                <w:szCs w:val="20"/>
                <w:lang w:val="ro-RO"/>
              </w:rPr>
              <w:t xml:space="preserve"> acțiunea - s</w:t>
            </w:r>
            <w:r w:rsidR="00790395" w:rsidRPr="00790395">
              <w:rPr>
                <w:rFonts w:ascii="Times New Roman" w:eastAsia="Times New Roman" w:hAnsi="Times New Roman"/>
                <w:color w:val="000000" w:themeColor="text1"/>
                <w:sz w:val="20"/>
                <w:szCs w:val="20"/>
                <w:lang w:val="ro-RO"/>
              </w:rPr>
              <w:t>usţinerea activităţilor inovative ale întreprinderilor mici şi mijlocii şi de implementare a inovaţiilor de către acestea prin intermediul aplicării programelor speciale cu atragerea liniilor de credit pe termen lung de la instituţiile financiare internaţionale</w:t>
            </w:r>
            <w:r w:rsidR="00790395">
              <w:rPr>
                <w:rFonts w:ascii="Times New Roman" w:eastAsia="Times New Roman" w:hAnsi="Times New Roman"/>
                <w:color w:val="000000" w:themeColor="text1"/>
                <w:sz w:val="20"/>
                <w:szCs w:val="20"/>
                <w:lang w:val="ro-RO"/>
              </w:rPr>
              <w:t>.</w:t>
            </w:r>
          </w:p>
          <w:p w:rsidR="00433063" w:rsidRPr="00790395" w:rsidRDefault="00790395" w:rsidP="002E2042">
            <w:pPr>
              <w:pStyle w:val="Listparagraf"/>
              <w:numPr>
                <w:ilvl w:val="0"/>
                <w:numId w:val="6"/>
              </w:numPr>
              <w:jc w:val="both"/>
              <w:rPr>
                <w:rFonts w:ascii="Times New Roman" w:eastAsia="Times New Roman" w:hAnsi="Times New Roman"/>
                <w:sz w:val="20"/>
                <w:szCs w:val="20"/>
                <w:lang w:val="ro-RO"/>
              </w:rPr>
            </w:pPr>
            <w:r w:rsidRPr="00790395">
              <w:rPr>
                <w:rFonts w:ascii="Times New Roman" w:eastAsia="Times New Roman" w:hAnsi="Times New Roman"/>
                <w:sz w:val="20"/>
                <w:szCs w:val="20"/>
                <w:lang w:val="ro-RO"/>
              </w:rPr>
              <w:t xml:space="preserve">Conducta de interconectare a sistemului naţional de transport gaze din România cu sistemul de transport gaze din RM pe direcţia </w:t>
            </w:r>
            <w:proofErr w:type="spellStart"/>
            <w:r w:rsidRPr="00790395">
              <w:rPr>
                <w:rFonts w:ascii="Times New Roman" w:eastAsia="Times New Roman" w:hAnsi="Times New Roman"/>
                <w:sz w:val="20"/>
                <w:szCs w:val="20"/>
                <w:lang w:val="ro-RO"/>
              </w:rPr>
              <w:t>rîul</w:t>
            </w:r>
            <w:proofErr w:type="spellEnd"/>
            <w:r w:rsidRPr="00790395">
              <w:rPr>
                <w:rFonts w:ascii="Times New Roman" w:eastAsia="Times New Roman" w:hAnsi="Times New Roman"/>
                <w:sz w:val="20"/>
                <w:szCs w:val="20"/>
                <w:lang w:val="ro-RO"/>
              </w:rPr>
              <w:t xml:space="preserve"> Prut –s. Todireşti, Ungheni”, precum și </w:t>
            </w:r>
            <w:r w:rsidR="002E2042" w:rsidRPr="002E2042">
              <w:rPr>
                <w:rFonts w:ascii="Times New Roman" w:eastAsia="Times New Roman" w:hAnsi="Times New Roman"/>
                <w:sz w:val="20"/>
                <w:szCs w:val="20"/>
                <w:lang w:val="ro-RO"/>
              </w:rPr>
              <w:t xml:space="preserve">Proiectul  "Studiul de Fezabilitate privind interconectarea Sistemelor electroenergetice ale Republicii Moldova si Ucrainei la Comunitatea Europeana a Operatorilor de Rețele  Electroenergetice (ENTSO-E) </w:t>
            </w:r>
            <w:r w:rsidR="002E2042">
              <w:rPr>
                <w:rFonts w:ascii="Times New Roman" w:eastAsia="Times New Roman" w:hAnsi="Times New Roman"/>
                <w:sz w:val="20"/>
                <w:szCs w:val="20"/>
                <w:lang w:val="ro-RO"/>
              </w:rPr>
              <w:t>are impact direct asupra obiectivelor trasate conform Strategiei Energetice 2030, precum și conform Foii de parcurs pentru ameliorarea competitivității,</w:t>
            </w:r>
            <w:r w:rsidR="002E2042" w:rsidRPr="00790395">
              <w:rPr>
                <w:rFonts w:ascii="Times New Roman" w:eastAsia="Times New Roman" w:hAnsi="Times New Roman"/>
                <w:sz w:val="20"/>
                <w:szCs w:val="20"/>
                <w:lang w:val="ro-RO"/>
              </w:rPr>
              <w:t xml:space="preserve"> </w:t>
            </w:r>
            <w:r w:rsidRPr="00790395">
              <w:rPr>
                <w:rFonts w:ascii="Times New Roman" w:eastAsia="Times New Roman" w:hAnsi="Times New Roman"/>
                <w:sz w:val="20"/>
                <w:szCs w:val="20"/>
                <w:lang w:val="ro-RO"/>
              </w:rPr>
              <w:t>Obiectivul 2: Asigurarea securităţii aprovizionării cu energie electrică</w:t>
            </w:r>
            <w:r>
              <w:rPr>
                <w:rFonts w:ascii="Times New Roman" w:eastAsia="Times New Roman" w:hAnsi="Times New Roman"/>
                <w:sz w:val="20"/>
                <w:szCs w:val="20"/>
                <w:lang w:val="ro-RO"/>
              </w:rPr>
              <w:t xml:space="preserve"> din cadrul Capitolului IV. Infrastructura energetică.</w:t>
            </w:r>
          </w:p>
        </w:tc>
      </w:tr>
      <w:tr w:rsidR="00D84BEE" w:rsidRPr="00C24162" w:rsidTr="00360444">
        <w:tc>
          <w:tcPr>
            <w:tcW w:w="14992" w:type="dxa"/>
            <w:gridSpan w:val="23"/>
            <w:tcBorders>
              <w:top w:val="single" w:sz="4" w:space="0" w:color="auto"/>
              <w:left w:val="single" w:sz="4" w:space="0" w:color="auto"/>
              <w:bottom w:val="single" w:sz="4" w:space="0" w:color="auto"/>
              <w:right w:val="single" w:sz="4" w:space="0" w:color="auto"/>
            </w:tcBorders>
            <w:shd w:val="clear" w:color="auto" w:fill="C4BC96"/>
          </w:tcPr>
          <w:p w:rsidR="00D84BEE" w:rsidRPr="00C24162" w:rsidRDefault="00D84BEE">
            <w:pPr>
              <w:jc w:val="center"/>
              <w:rPr>
                <w:rFonts w:ascii="Times New Roman" w:eastAsia="Times New Roman" w:hAnsi="Times New Roman"/>
                <w:b/>
                <w:sz w:val="20"/>
                <w:szCs w:val="20"/>
                <w:lang w:val="ro-RO"/>
              </w:rPr>
            </w:pPr>
          </w:p>
        </w:tc>
      </w:tr>
      <w:tr w:rsidR="00F62075" w:rsidRPr="00C24162" w:rsidTr="00C24162">
        <w:tc>
          <w:tcPr>
            <w:tcW w:w="3792" w:type="dxa"/>
            <w:gridSpan w:val="5"/>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lastRenderedPageBreak/>
              <w:t>Măsuri de vizibilitate (ex. plasare pe pagina web, panouri stradale, etc.)</w:t>
            </w:r>
          </w:p>
        </w:tc>
        <w:tc>
          <w:tcPr>
            <w:tcW w:w="11200" w:type="dxa"/>
            <w:gridSpan w:val="18"/>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Acțiunea întreprinsă</w:t>
            </w:r>
          </w:p>
        </w:tc>
      </w:tr>
      <w:tr w:rsidR="00F62075" w:rsidRPr="00C24162" w:rsidTr="00C24162">
        <w:tc>
          <w:tcPr>
            <w:tcW w:w="3792" w:type="dxa"/>
            <w:gridSpan w:val="5"/>
            <w:tcBorders>
              <w:top w:val="single" w:sz="4" w:space="0" w:color="auto"/>
              <w:left w:val="single" w:sz="4" w:space="0" w:color="auto"/>
              <w:bottom w:val="single" w:sz="4" w:space="0" w:color="auto"/>
              <w:right w:val="single" w:sz="4" w:space="0" w:color="auto"/>
            </w:tcBorders>
          </w:tcPr>
          <w:p w:rsidR="00D84BEE" w:rsidRPr="00C24162" w:rsidRDefault="00D84BEE">
            <w:pPr>
              <w:jc w:val="center"/>
              <w:rPr>
                <w:rFonts w:ascii="Times New Roman" w:eastAsia="Times New Roman" w:hAnsi="Times New Roman"/>
                <w:b/>
                <w:sz w:val="20"/>
                <w:szCs w:val="20"/>
                <w:lang w:val="ro-RO"/>
              </w:rPr>
            </w:pPr>
          </w:p>
        </w:tc>
        <w:tc>
          <w:tcPr>
            <w:tcW w:w="11200" w:type="dxa"/>
            <w:gridSpan w:val="18"/>
            <w:tcBorders>
              <w:top w:val="single" w:sz="4" w:space="0" w:color="auto"/>
              <w:left w:val="single" w:sz="4" w:space="0" w:color="auto"/>
              <w:bottom w:val="single" w:sz="4" w:space="0" w:color="auto"/>
              <w:right w:val="single" w:sz="4" w:space="0" w:color="auto"/>
            </w:tcBorders>
          </w:tcPr>
          <w:p w:rsidR="007E14D9" w:rsidRPr="00C24162" w:rsidRDefault="003169E2" w:rsidP="007A2853">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Î</w:t>
            </w:r>
            <w:r w:rsidR="007E14D9" w:rsidRPr="00C24162">
              <w:rPr>
                <w:rFonts w:ascii="Times New Roman" w:eastAsia="Times New Roman" w:hAnsi="Times New Roman"/>
                <w:sz w:val="20"/>
                <w:szCs w:val="20"/>
                <w:lang w:val="ro-RO"/>
              </w:rPr>
              <w:t xml:space="preserve">n cadrul </w:t>
            </w:r>
            <w:r w:rsidR="007E14D9" w:rsidRPr="00C24162">
              <w:rPr>
                <w:rFonts w:ascii="Times New Roman" w:eastAsia="Times New Roman" w:hAnsi="Times New Roman"/>
                <w:b/>
                <w:sz w:val="20"/>
                <w:szCs w:val="20"/>
                <w:lang w:val="ro-RO"/>
              </w:rPr>
              <w:t>Proiectului SYSLAB</w:t>
            </w:r>
            <w:r w:rsidR="007E14D9" w:rsidRPr="00C24162">
              <w:rPr>
                <w:rFonts w:ascii="Times New Roman" w:eastAsia="Times New Roman" w:hAnsi="Times New Roman"/>
                <w:sz w:val="20"/>
                <w:szCs w:val="20"/>
                <w:lang w:val="ro-RO"/>
              </w:rPr>
              <w:t>:</w:t>
            </w:r>
          </w:p>
          <w:p w:rsidR="007A2853" w:rsidRPr="00C24162" w:rsidRDefault="007E14D9" w:rsidP="007A2853">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este utilizat un set standard de materiale promoționale, care include leaflet informativ, anunț de re</w:t>
            </w:r>
            <w:r w:rsidR="007A2853" w:rsidRPr="00C24162">
              <w:rPr>
                <w:rFonts w:ascii="Times New Roman" w:eastAsia="Times New Roman" w:hAnsi="Times New Roman"/>
                <w:sz w:val="20"/>
                <w:szCs w:val="20"/>
                <w:lang w:val="ro-RO"/>
              </w:rPr>
              <w:t>crutare beneficiari, banner s.a;</w:t>
            </w:r>
          </w:p>
          <w:p w:rsidR="007E14D9" w:rsidRPr="00C24162" w:rsidRDefault="007A2853" w:rsidP="007A2853">
            <w:pPr>
              <w:spacing w:after="0"/>
              <w:jc w:val="both"/>
              <w:rPr>
                <w:rFonts w:ascii="Times New Roman" w:eastAsia="Times New Roman" w:hAnsi="Times New Roman"/>
                <w:sz w:val="20"/>
                <w:szCs w:val="20"/>
                <w:lang w:val="en-US"/>
              </w:rPr>
            </w:pPr>
            <w:r w:rsidRPr="00C24162">
              <w:rPr>
                <w:rFonts w:ascii="Times New Roman" w:eastAsia="Times New Roman" w:hAnsi="Times New Roman"/>
                <w:sz w:val="20"/>
                <w:szCs w:val="20"/>
                <w:lang w:val="ro-RO"/>
              </w:rPr>
              <w:t>- informație detailată</w:t>
            </w:r>
            <w:r w:rsidR="007E14D9" w:rsidRPr="00C24162">
              <w:rPr>
                <w:rFonts w:ascii="Times New Roman" w:eastAsia="Times New Roman" w:hAnsi="Times New Roman"/>
                <w:sz w:val="20"/>
                <w:szCs w:val="20"/>
                <w:lang w:val="ro-RO"/>
              </w:rPr>
              <w:t xml:space="preserve"> despre proiectul SYSLAB este plasata pe </w:t>
            </w:r>
            <w:hyperlink r:id="rId8" w:history="1">
              <w:r w:rsidRPr="00C24162">
                <w:rPr>
                  <w:rStyle w:val="Hyperlink"/>
                  <w:rFonts w:ascii="Times New Roman" w:eastAsia="Times New Roman" w:hAnsi="Times New Roman"/>
                  <w:sz w:val="20"/>
                  <w:szCs w:val="20"/>
                  <w:lang w:val="ro-RO"/>
                </w:rPr>
                <w:t>www.md.undp.org</w:t>
              </w:r>
            </w:hyperlink>
            <w:r w:rsidRPr="00C24162">
              <w:rPr>
                <w:rFonts w:ascii="Times New Roman" w:eastAsia="Times New Roman" w:hAnsi="Times New Roman"/>
                <w:sz w:val="20"/>
                <w:szCs w:val="20"/>
                <w:lang w:val="ro-RO"/>
              </w:rPr>
              <w:t xml:space="preserve"> . O pagina dedicată</w:t>
            </w:r>
            <w:r w:rsidR="007E14D9" w:rsidRPr="00C24162">
              <w:rPr>
                <w:rFonts w:ascii="Times New Roman" w:eastAsia="Times New Roman" w:hAnsi="Times New Roman"/>
                <w:sz w:val="20"/>
                <w:szCs w:val="20"/>
                <w:lang w:val="ro-RO"/>
              </w:rPr>
              <w:t xml:space="preserve"> pentru Proiect va fi disponibila la </w:t>
            </w:r>
            <w:hyperlink r:id="rId9" w:history="1">
              <w:r w:rsidRPr="00C24162">
                <w:rPr>
                  <w:rStyle w:val="Hyperlink"/>
                  <w:rFonts w:ascii="Times New Roman" w:eastAsia="Times New Roman" w:hAnsi="Times New Roman"/>
                  <w:sz w:val="20"/>
                  <w:szCs w:val="20"/>
                  <w:lang w:val="ro-RO"/>
                </w:rPr>
                <w:t>www.syslab.md</w:t>
              </w:r>
            </w:hyperlink>
            <w:r w:rsidRPr="00C24162">
              <w:rPr>
                <w:rFonts w:ascii="Times New Roman" w:eastAsia="Times New Roman" w:hAnsi="Times New Roman"/>
                <w:sz w:val="20"/>
                <w:szCs w:val="20"/>
                <w:lang w:val="ro-RO"/>
              </w:rPr>
              <w:t xml:space="preserve"> </w:t>
            </w:r>
            <w:r w:rsidRPr="00C24162">
              <w:rPr>
                <w:rFonts w:ascii="Times New Roman" w:eastAsia="Times New Roman" w:hAnsi="Times New Roman"/>
                <w:sz w:val="20"/>
                <w:szCs w:val="20"/>
                <w:lang w:val="en-US"/>
              </w:rPr>
              <w:t>;</w:t>
            </w:r>
          </w:p>
          <w:p w:rsidR="00D84BEE" w:rsidRPr="00C24162" w:rsidRDefault="007A2853" w:rsidP="007A2853">
            <w:pPr>
              <w:spacing w:after="0"/>
              <w:jc w:val="both"/>
              <w:rPr>
                <w:rFonts w:ascii="Times New Roman" w:eastAsia="Times New Roman" w:hAnsi="Times New Roman"/>
                <w:sz w:val="20"/>
                <w:szCs w:val="20"/>
                <w:lang w:val="en-US"/>
              </w:rPr>
            </w:pPr>
            <w:r w:rsidRPr="00C24162">
              <w:rPr>
                <w:rFonts w:ascii="Times New Roman" w:eastAsia="Times New Roman" w:hAnsi="Times New Roman"/>
                <w:sz w:val="20"/>
                <w:szCs w:val="20"/>
                <w:lang w:val="ro-RO"/>
              </w:rPr>
              <w:t>- p</w:t>
            </w:r>
            <w:r w:rsidR="007E14D9" w:rsidRPr="00C24162">
              <w:rPr>
                <w:rFonts w:ascii="Times New Roman" w:eastAsia="Times New Roman" w:hAnsi="Times New Roman"/>
                <w:sz w:val="20"/>
                <w:szCs w:val="20"/>
                <w:lang w:val="ro-RO"/>
              </w:rPr>
              <w:t xml:space="preserve">roiectul dispune de un spot video care </w:t>
            </w:r>
            <w:r w:rsidRPr="00C24162">
              <w:rPr>
                <w:rFonts w:ascii="Times New Roman" w:eastAsia="Times New Roman" w:hAnsi="Times New Roman"/>
                <w:sz w:val="20"/>
                <w:szCs w:val="20"/>
                <w:lang w:val="ro-RO"/>
              </w:rPr>
              <w:t>rulează</w:t>
            </w:r>
            <w:r w:rsidR="007E14D9" w:rsidRPr="00C24162">
              <w:rPr>
                <w:rFonts w:ascii="Times New Roman" w:eastAsia="Times New Roman" w:hAnsi="Times New Roman"/>
                <w:sz w:val="20"/>
                <w:szCs w:val="20"/>
                <w:lang w:val="ro-RO"/>
              </w:rPr>
              <w:t xml:space="preserve"> la principalele canale TV </w:t>
            </w:r>
            <w:r w:rsidRPr="00C24162">
              <w:rPr>
                <w:rFonts w:ascii="Times New Roman" w:eastAsia="Times New Roman" w:hAnsi="Times New Roman"/>
                <w:sz w:val="20"/>
                <w:szCs w:val="20"/>
                <w:lang w:val="ro-RO"/>
              </w:rPr>
              <w:t>naționale, disponibil ș</w:t>
            </w:r>
            <w:r w:rsidR="007E14D9" w:rsidRPr="00C24162">
              <w:rPr>
                <w:rFonts w:ascii="Times New Roman" w:eastAsia="Times New Roman" w:hAnsi="Times New Roman"/>
                <w:sz w:val="20"/>
                <w:szCs w:val="20"/>
                <w:lang w:val="ro-RO"/>
              </w:rPr>
              <w:t xml:space="preserve">i pe </w:t>
            </w:r>
            <w:hyperlink r:id="rId10" w:history="1">
              <w:r w:rsidR="007E14D9" w:rsidRPr="00C24162">
                <w:rPr>
                  <w:rStyle w:val="Hyperlink"/>
                  <w:rFonts w:ascii="Times New Roman" w:eastAsia="Times New Roman" w:hAnsi="Times New Roman"/>
                  <w:sz w:val="20"/>
                  <w:szCs w:val="20"/>
                  <w:lang w:val="ro-RO"/>
                </w:rPr>
                <w:t>www.md.undp.org</w:t>
              </w:r>
            </w:hyperlink>
            <w:r w:rsidRPr="00C24162">
              <w:rPr>
                <w:rFonts w:ascii="Times New Roman" w:eastAsia="Times New Roman" w:hAnsi="Times New Roman"/>
                <w:sz w:val="20"/>
                <w:szCs w:val="20"/>
                <w:lang w:val="en-US"/>
              </w:rPr>
              <w:t>;</w:t>
            </w:r>
          </w:p>
          <w:p w:rsidR="007E14D9" w:rsidRPr="00C24162" w:rsidRDefault="007A2853" w:rsidP="007A2853">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p</w:t>
            </w:r>
            <w:r w:rsidR="007E14D9" w:rsidRPr="00C24162">
              <w:rPr>
                <w:rFonts w:ascii="Times New Roman" w:eastAsia="Times New Roman" w:hAnsi="Times New Roman"/>
                <w:sz w:val="20"/>
                <w:szCs w:val="20"/>
                <w:lang w:val="ro-RO"/>
              </w:rPr>
              <w:t xml:space="preserve">latforma online pentru promovarea </w:t>
            </w:r>
            <w:r w:rsidRPr="00C24162">
              <w:rPr>
                <w:rFonts w:ascii="Times New Roman" w:eastAsia="Times New Roman" w:hAnsi="Times New Roman"/>
                <w:sz w:val="20"/>
                <w:szCs w:val="20"/>
                <w:lang w:val="ro-RO"/>
              </w:rPr>
              <w:t>inovațiilor în start-ups și IMM-urile</w:t>
            </w:r>
            <w:r w:rsidR="007E14D9" w:rsidRPr="00C24162">
              <w:rPr>
                <w:rFonts w:ascii="Times New Roman" w:eastAsia="Times New Roman" w:hAnsi="Times New Roman"/>
                <w:sz w:val="20"/>
                <w:szCs w:val="20"/>
                <w:lang w:val="ro-RO"/>
              </w:rPr>
              <w:t xml:space="preserve"> existente</w:t>
            </w:r>
            <w:r w:rsidRPr="00C24162">
              <w:rPr>
                <w:rFonts w:ascii="Times New Roman" w:eastAsia="Times New Roman" w:hAnsi="Times New Roman"/>
                <w:sz w:val="20"/>
                <w:szCs w:val="20"/>
                <w:lang w:val="ro-RO"/>
              </w:rPr>
              <w:t>.</w:t>
            </w:r>
          </w:p>
          <w:p w:rsidR="003169E2" w:rsidRPr="00C24162" w:rsidRDefault="003169E2" w:rsidP="007A2853">
            <w:pPr>
              <w:spacing w:after="0"/>
              <w:jc w:val="both"/>
              <w:rPr>
                <w:rFonts w:ascii="Times New Roman" w:eastAsia="Times New Roman" w:hAnsi="Times New Roman"/>
                <w:sz w:val="20"/>
                <w:szCs w:val="20"/>
                <w:lang w:val="ro-RO"/>
              </w:rPr>
            </w:pPr>
          </w:p>
          <w:p w:rsidR="003169E2" w:rsidRPr="00C24162" w:rsidRDefault="003169E2" w:rsidP="007A2853">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În cadrul </w:t>
            </w:r>
            <w:r w:rsidRPr="00C24162">
              <w:rPr>
                <w:rFonts w:ascii="Times New Roman" w:eastAsia="Times New Roman" w:hAnsi="Times New Roman"/>
                <w:b/>
                <w:sz w:val="20"/>
                <w:szCs w:val="20"/>
                <w:lang w:val="ro-RO"/>
              </w:rPr>
              <w:t>Proiectului „Energie și biomasă”</w:t>
            </w:r>
            <w:r w:rsidRPr="00C24162">
              <w:rPr>
                <w:rFonts w:ascii="Times New Roman" w:eastAsia="Times New Roman" w:hAnsi="Times New Roman"/>
                <w:sz w:val="20"/>
                <w:szCs w:val="20"/>
                <w:lang w:val="ro-RO"/>
              </w:rPr>
              <w:t>:</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u w:val="single"/>
                <w:lang w:val="ro-RO"/>
              </w:rPr>
              <w:t>Video &amp; Audio:</w:t>
            </w:r>
            <w:r w:rsidRPr="00C24162">
              <w:rPr>
                <w:rFonts w:ascii="Times New Roman" w:eastAsia="Times New Roman" w:hAnsi="Times New Roman"/>
                <w:sz w:val="20"/>
                <w:szCs w:val="20"/>
                <w:lang w:val="ro-RO"/>
              </w:rPr>
              <w:t xml:space="preserve"> 12 Spoturi video şi audio  &amp; infografice &amp; cartoons produse şi difuzate la TV, Radio, reţele web (estimările Proiectului realizate în baza intensităţii difuzării materialelor video arată că acestea au acoperit un eşantion de peste 1 milion populaţie). Produsele video pot fi accesate aici: http://biomasa.md/video-ro/</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u w:val="single"/>
                <w:lang w:val="ro-RO"/>
              </w:rPr>
              <w:t>Print:</w:t>
            </w:r>
            <w:r w:rsidRPr="00C24162">
              <w:rPr>
                <w:rFonts w:ascii="Times New Roman" w:eastAsia="Times New Roman" w:hAnsi="Times New Roman"/>
                <w:sz w:val="20"/>
                <w:szCs w:val="20"/>
                <w:lang w:val="ro-RO"/>
              </w:rPr>
              <w:t xml:space="preserve"> broşuri, postere, pliante, infografice produse în RO, RU, cu tiraj total de 50.000 ex.  (ce promovează  beneficiile economice, sociale şi de mediu  ale producerii şi utilizării energiei din biomasă şi încurajează oamenii să valorifice sursele locale de energie. </w:t>
            </w:r>
            <w:r w:rsidRPr="00C24162">
              <w:rPr>
                <w:rFonts w:ascii="Times New Roman" w:eastAsia="Times New Roman" w:hAnsi="Times New Roman"/>
                <w:sz w:val="20"/>
                <w:szCs w:val="20"/>
                <w:u w:val="single"/>
                <w:lang w:val="ro-RO"/>
              </w:rPr>
              <w:t>Materialele print pot fi accesate aici:</w:t>
            </w:r>
            <w:r w:rsidRPr="00C24162">
              <w:rPr>
                <w:rFonts w:ascii="Times New Roman" w:eastAsia="Times New Roman" w:hAnsi="Times New Roman"/>
                <w:sz w:val="20"/>
                <w:szCs w:val="20"/>
                <w:lang w:val="ro-RO"/>
              </w:rPr>
              <w:t xml:space="preserve"> http://biomasa.md/communication-materials-ro/</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u w:val="single"/>
                <w:lang w:val="ro-RO"/>
              </w:rPr>
              <w:t>Evenimente publice:</w:t>
            </w:r>
            <w:r w:rsidRPr="00C24162">
              <w:rPr>
                <w:rFonts w:ascii="Times New Roman" w:eastAsia="Times New Roman" w:hAnsi="Times New Roman"/>
                <w:sz w:val="20"/>
                <w:szCs w:val="20"/>
                <w:lang w:val="ro-RO"/>
              </w:rPr>
              <w:t xml:space="preserve"> 70. Toate evenimentele Proiectului, cu mici excepţii, au fost organizate în teren sau în locaţii demonstrative pentru tehnologiile energiei din biomasă.</w:t>
            </w:r>
          </w:p>
          <w:p w:rsidR="003169E2" w:rsidRPr="00C24162" w:rsidRDefault="003169E2" w:rsidP="003169E2">
            <w:pPr>
              <w:spacing w:after="0"/>
              <w:jc w:val="both"/>
              <w:rPr>
                <w:rFonts w:ascii="Times New Roman" w:eastAsia="Times New Roman" w:hAnsi="Times New Roman"/>
                <w:sz w:val="20"/>
                <w:szCs w:val="20"/>
                <w:u w:val="single"/>
                <w:lang w:val="ro-RO"/>
              </w:rPr>
            </w:pPr>
            <w:r w:rsidRPr="00C24162">
              <w:rPr>
                <w:rFonts w:ascii="Times New Roman" w:eastAsia="Times New Roman" w:hAnsi="Times New Roman"/>
                <w:sz w:val="20"/>
                <w:szCs w:val="20"/>
                <w:u w:val="single"/>
                <w:lang w:val="ro-RO"/>
              </w:rPr>
              <w:t xml:space="preserve">Inițiative inovative: </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•Sun Da-I Fest: primul concert alimentat de la energie solară, edţiile 2013, 2014. </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•Caravana cazanelor pe biomasă: a cuprins mai multe raioane din nordul, sudul si centrul R. Moldova.</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•Campania SMS: de promovare a programului de subvenţionare a achiziţionării cazanelor pe biomasă pentru gospodăriile casnice.</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u w:val="single"/>
                <w:lang w:val="ro-RO"/>
              </w:rPr>
              <w:t>www.biomasa.md</w:t>
            </w:r>
            <w:r w:rsidRPr="00C24162">
              <w:rPr>
                <w:rFonts w:ascii="Times New Roman" w:eastAsia="Times New Roman" w:hAnsi="Times New Roman"/>
                <w:sz w:val="20"/>
                <w:szCs w:val="20"/>
                <w:lang w:val="ro-RO"/>
              </w:rPr>
              <w:t xml:space="preserve"> - elaborată în cadrul paginii web a AEE şi concepută drept o platformă unică de comunicare web dedicată energiei din biomasă în Republica Moldova. Toată informaţia despre activitatea Proiectului Energie şi Biomasă este plasată pe </w:t>
            </w:r>
            <w:hyperlink r:id="rId11" w:history="1">
              <w:r w:rsidRPr="00C24162">
                <w:rPr>
                  <w:rStyle w:val="Hyperlink"/>
                  <w:rFonts w:ascii="Times New Roman" w:eastAsia="Times New Roman" w:hAnsi="Times New Roman"/>
                  <w:sz w:val="20"/>
                  <w:szCs w:val="20"/>
                  <w:lang w:val="ro-RO"/>
                </w:rPr>
                <w:t>www.biomasa.md</w:t>
              </w:r>
            </w:hyperlink>
            <w:r w:rsidRPr="00C24162">
              <w:rPr>
                <w:rFonts w:ascii="Times New Roman" w:eastAsia="Times New Roman" w:hAnsi="Times New Roman"/>
                <w:sz w:val="20"/>
                <w:szCs w:val="20"/>
                <w:lang w:val="ro-RO"/>
              </w:rPr>
              <w:t xml:space="preserve"> </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u w:val="single"/>
                <w:lang w:val="ro-RO"/>
              </w:rPr>
              <w:t>Buletine electronice</w:t>
            </w:r>
            <w:r w:rsidRPr="00C24162">
              <w:rPr>
                <w:rFonts w:ascii="Times New Roman" w:eastAsia="Times New Roman" w:hAnsi="Times New Roman"/>
                <w:sz w:val="20"/>
                <w:szCs w:val="20"/>
                <w:lang w:val="ro-RO"/>
              </w:rPr>
              <w:t xml:space="preserve"> ale proiectului: 19 ediţii au fost elaborate şi difuzate în RO, RU şi EN. Buletinul electronic este elaborat cu o periodicitate o dată în două luni,</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u w:val="single"/>
                <w:lang w:val="ro-RO"/>
              </w:rPr>
              <w:t>Comunicate de presă &amp; ştiri elaborate de proiect:</w:t>
            </w:r>
            <w:r w:rsidRPr="00C24162">
              <w:rPr>
                <w:rFonts w:ascii="Times New Roman" w:eastAsia="Times New Roman" w:hAnsi="Times New Roman"/>
                <w:sz w:val="20"/>
                <w:szCs w:val="20"/>
                <w:lang w:val="ro-RO"/>
              </w:rPr>
              <w:t xml:space="preserve"> peste 100 au fost difuzate mass media şi plasate pe pagina web, reţele de socializare, pagini web ale partenerilor. </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u w:val="single"/>
                <w:lang w:val="ro-RO"/>
              </w:rPr>
              <w:t>Panouri stradale:</w:t>
            </w:r>
            <w:r w:rsidRPr="00C24162">
              <w:rPr>
                <w:rFonts w:ascii="Times New Roman" w:eastAsia="Times New Roman" w:hAnsi="Times New Roman"/>
                <w:sz w:val="20"/>
                <w:szCs w:val="20"/>
                <w:lang w:val="ro-RO"/>
              </w:rPr>
              <w:t xml:space="preserve"> ce promovează energia din biomasă şi prezintă rezultatele activităţii proiectului au fost elaborate şi plasate în regiunile ţintă. </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Moldova Eco-Energetică (competiţia şi ceremonia de premiere) a fost lansată în 2011 la iniţiativa Proiectului Energie şi Biomasă şi realizată de la început în parteneriat cu Ministerul Economiei şi Agenţia pentru Eficienţă Energetică. Până în prezent, competiţia Moldova Eco-Energetică a adunat peste 200 de proiecte  de succes în domeniul energiei regenerabile şi eficienţei energetice, dintre care 52 au fost desemnate câştigătoare. Din 2015, organizarea şi desfăşurarea Moldova Eco-Energetică a fost preluată de AEE şi ME. </w:t>
            </w:r>
          </w:p>
          <w:p w:rsidR="003169E2" w:rsidRPr="00C24162" w:rsidRDefault="003169E2" w:rsidP="003169E2">
            <w:pPr>
              <w:spacing w:after="0"/>
              <w:jc w:val="both"/>
              <w:rPr>
                <w:rFonts w:ascii="Times New Roman" w:eastAsia="Times New Roman" w:hAnsi="Times New Roman"/>
                <w:sz w:val="20"/>
                <w:szCs w:val="20"/>
                <w:u w:val="single"/>
                <w:lang w:val="ro-RO"/>
              </w:rPr>
            </w:pPr>
            <w:r w:rsidRPr="00C24162">
              <w:rPr>
                <w:rFonts w:ascii="Times New Roman" w:eastAsia="Times New Roman" w:hAnsi="Times New Roman"/>
                <w:sz w:val="20"/>
                <w:szCs w:val="20"/>
                <w:u w:val="single"/>
                <w:lang w:val="ro-RO"/>
              </w:rPr>
              <w:t>Vizibilitatea Proiectului Energie şi Biomasă în afara ţării:</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•Istoria de succes a Proiectului  în  publicația UNDP regional  “Empowering Lives. Building Resilience”: doi ani consecutiv, realizările Proiectului  Energie şi Biomasă au fost regăsite în  publicația “Empowering Lives. Building Resilience”, elaborată de Biroul Regional </w:t>
            </w:r>
            <w:r w:rsidRPr="00C24162">
              <w:rPr>
                <w:rFonts w:ascii="Times New Roman" w:eastAsia="Times New Roman" w:hAnsi="Times New Roman"/>
                <w:sz w:val="20"/>
                <w:szCs w:val="20"/>
                <w:lang w:val="ro-RO"/>
              </w:rPr>
              <w:lastRenderedPageBreak/>
              <w:t>PNUD din Europa şi CSI</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•Istoria primei femei ce conduce o afacere de brichetare în R. Moldova promovată la New York: Ludmila Abramciuc, managerul liniei de brichetare „Ecobricheta”, beneficiara Programului de Leasing, a fost parte a campaniei globale de promovare a egalităţii gender, lansată pe 8 martie de oficiul PNUD de la New York</w:t>
            </w:r>
          </w:p>
          <w:p w:rsidR="003169E2" w:rsidRPr="00C24162" w:rsidRDefault="003169E2"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•SUN Da-I Fest la UN Radio din New York</w:t>
            </w:r>
            <w:r w:rsidR="00B50668" w:rsidRPr="00C24162">
              <w:rPr>
                <w:rFonts w:ascii="Times New Roman" w:eastAsia="Times New Roman" w:hAnsi="Times New Roman"/>
                <w:sz w:val="20"/>
                <w:szCs w:val="20"/>
                <w:lang w:val="ro-RO"/>
              </w:rPr>
              <w:t>.</w:t>
            </w:r>
          </w:p>
          <w:p w:rsidR="00B50668" w:rsidRPr="00C24162" w:rsidRDefault="00B50668" w:rsidP="003169E2">
            <w:pPr>
              <w:spacing w:after="0"/>
              <w:jc w:val="both"/>
              <w:rPr>
                <w:rFonts w:ascii="Times New Roman" w:eastAsia="Times New Roman" w:hAnsi="Times New Roman"/>
                <w:sz w:val="20"/>
                <w:szCs w:val="20"/>
                <w:lang w:val="ro-RO"/>
              </w:rPr>
            </w:pPr>
          </w:p>
          <w:p w:rsidR="00B50668" w:rsidRPr="00C24162" w:rsidRDefault="00B50668" w:rsidP="003169E2">
            <w:pPr>
              <w:spacing w:after="0"/>
              <w:jc w:val="both"/>
              <w:rPr>
                <w:rFonts w:ascii="Times New Roman" w:eastAsia="Times New Roman" w:hAnsi="Times New Roman"/>
                <w:b/>
                <w:i/>
                <w:sz w:val="20"/>
                <w:szCs w:val="20"/>
                <w:lang w:val="ro-RO"/>
              </w:rPr>
            </w:pPr>
            <w:r w:rsidRPr="00C24162">
              <w:rPr>
                <w:rFonts w:ascii="Times New Roman" w:eastAsia="Times New Roman" w:hAnsi="Times New Roman"/>
                <w:sz w:val="20"/>
                <w:szCs w:val="20"/>
                <w:lang w:val="ro-RO"/>
              </w:rPr>
              <w:t xml:space="preserve">În cadrul proiectului </w:t>
            </w:r>
            <w:r w:rsidRPr="00C24162">
              <w:rPr>
                <w:rFonts w:ascii="Times New Roman" w:eastAsia="Times New Roman" w:hAnsi="Times New Roman"/>
                <w:b/>
                <w:sz w:val="20"/>
                <w:szCs w:val="20"/>
                <w:lang w:val="ro-RO"/>
              </w:rPr>
              <w:t>Twinning „Consolidarea sistemului de parteneriat public-privat în Republica Moldova”:</w:t>
            </w:r>
          </w:p>
          <w:p w:rsidR="00B50668" w:rsidRPr="00C24162" w:rsidRDefault="00B50668" w:rsidP="003169E2">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Pe site-ul </w:t>
            </w:r>
            <w:hyperlink r:id="rId12" w:history="1">
              <w:r w:rsidRPr="00C24162">
                <w:rPr>
                  <w:rStyle w:val="Hyperlink"/>
                  <w:rFonts w:ascii="Times New Roman" w:eastAsia="Times New Roman" w:hAnsi="Times New Roman"/>
                  <w:sz w:val="20"/>
                  <w:szCs w:val="20"/>
                  <w:lang w:val="ro-RO"/>
                </w:rPr>
                <w:t>www.app.gov.md</w:t>
              </w:r>
            </w:hyperlink>
            <w:r w:rsidRPr="00C24162">
              <w:rPr>
                <w:rFonts w:ascii="Times New Roman" w:eastAsia="Times New Roman" w:hAnsi="Times New Roman"/>
                <w:sz w:val="20"/>
                <w:szCs w:val="20"/>
                <w:lang w:val="ro-RO"/>
              </w:rPr>
              <w:t xml:space="preserve">  au fost plasate 5 Comunicate informative privind acţiunile implementate în cadrul Proiectului Twinning „Consolidarea sistemului de parteneriat public-privat în Republica Moldova”</w:t>
            </w:r>
            <w:r w:rsidR="00812D33" w:rsidRPr="00C24162">
              <w:rPr>
                <w:rFonts w:ascii="Times New Roman" w:eastAsia="Times New Roman" w:hAnsi="Times New Roman"/>
                <w:sz w:val="20"/>
                <w:szCs w:val="20"/>
                <w:lang w:val="ro-RO"/>
              </w:rPr>
              <w:t>.</w:t>
            </w:r>
          </w:p>
          <w:p w:rsidR="00812D33" w:rsidRPr="00C24162" w:rsidRDefault="00812D33" w:rsidP="003169E2">
            <w:pPr>
              <w:spacing w:after="0"/>
              <w:jc w:val="both"/>
              <w:rPr>
                <w:rFonts w:ascii="Times New Roman" w:eastAsia="Times New Roman" w:hAnsi="Times New Roman"/>
                <w:sz w:val="20"/>
                <w:szCs w:val="20"/>
                <w:lang w:val="ro-RO"/>
              </w:rPr>
            </w:pPr>
          </w:p>
          <w:p w:rsidR="00812D33" w:rsidRPr="00C24162" w:rsidRDefault="00812D33" w:rsidP="00812D33">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În cadrul </w:t>
            </w:r>
            <w:r w:rsidRPr="00C24162">
              <w:rPr>
                <w:rFonts w:ascii="Times New Roman" w:eastAsia="Times New Roman" w:hAnsi="Times New Roman"/>
                <w:b/>
                <w:sz w:val="20"/>
                <w:szCs w:val="20"/>
                <w:lang w:val="ro-RO"/>
              </w:rPr>
              <w:t>Proiectului Ameliorarea Competitivităţii II</w:t>
            </w:r>
            <w:r w:rsidRPr="00C24162">
              <w:rPr>
                <w:rFonts w:ascii="Times New Roman" w:eastAsia="Times New Roman" w:hAnsi="Times New Roman"/>
                <w:sz w:val="20"/>
                <w:szCs w:val="20"/>
                <w:lang w:val="ro-RO"/>
              </w:rPr>
              <w:t>:</w:t>
            </w:r>
          </w:p>
          <w:p w:rsidR="003169E2" w:rsidRPr="00C24162" w:rsidRDefault="00812D33" w:rsidP="00812D33">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Comunicatele de presă plasate pe pagina web a Ministerului Economiei (</w:t>
            </w:r>
            <w:hyperlink r:id="rId13" w:history="1">
              <w:r w:rsidRPr="00C24162">
                <w:rPr>
                  <w:rStyle w:val="Hyperlink"/>
                  <w:rFonts w:ascii="Times New Roman" w:eastAsia="Times New Roman" w:hAnsi="Times New Roman"/>
                  <w:sz w:val="20"/>
                  <w:szCs w:val="20"/>
                  <w:lang w:val="ro-RO"/>
                </w:rPr>
                <w:t>www.mec.gov.md</w:t>
              </w:r>
            </w:hyperlink>
            <w:r w:rsidRPr="00C24162">
              <w:rPr>
                <w:rFonts w:ascii="Times New Roman" w:eastAsia="Times New Roman" w:hAnsi="Times New Roman"/>
                <w:sz w:val="20"/>
                <w:szCs w:val="20"/>
                <w:lang w:val="ro-RO"/>
              </w:rPr>
              <w:t xml:space="preserve"> ) cu informaţie despre proiect au fost preluate şi difuzate de către instituţiile mass-media. Consecutiv, au fost plasate  anunţurile privind efectuarea concursurilor pentru procurări de bunuri şi servicii de consultanţă, precum şi rezultatele.</w:t>
            </w:r>
          </w:p>
          <w:p w:rsidR="00783E56" w:rsidRPr="00C24162" w:rsidRDefault="00783E56" w:rsidP="00812D33">
            <w:pPr>
              <w:spacing w:after="0"/>
              <w:jc w:val="both"/>
              <w:rPr>
                <w:rFonts w:ascii="Times New Roman" w:eastAsia="Times New Roman" w:hAnsi="Times New Roman"/>
                <w:sz w:val="20"/>
                <w:szCs w:val="20"/>
                <w:lang w:val="ro-RO"/>
              </w:rPr>
            </w:pPr>
          </w:p>
          <w:p w:rsidR="00783E56" w:rsidRPr="00C24162" w:rsidRDefault="00783E56" w:rsidP="00783E56">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 xml:space="preserve">În cadrul </w:t>
            </w:r>
            <w:r w:rsidRPr="00C24162">
              <w:rPr>
                <w:rFonts w:ascii="Times New Roman" w:eastAsia="Times New Roman" w:hAnsi="Times New Roman"/>
                <w:b/>
                <w:sz w:val="20"/>
                <w:szCs w:val="20"/>
                <w:lang w:val="ro-RO"/>
              </w:rPr>
              <w:t>„</w:t>
            </w:r>
            <w:r w:rsidRPr="00C24162">
              <w:rPr>
                <w:rFonts w:ascii="Times New Roman" w:eastAsia="Times New Roman" w:hAnsi="Times New Roman"/>
                <w:b/>
                <w:i/>
                <w:sz w:val="20"/>
                <w:szCs w:val="20"/>
                <w:lang w:val="ro-RO"/>
              </w:rPr>
              <w:t>Sprijin pentru Republica Moldova în procesul de implementare a zonei de liber schimb aprofundată şi cuprinzătoare”</w:t>
            </w:r>
          </w:p>
          <w:p w:rsidR="00783E56" w:rsidRPr="00C24162" w:rsidRDefault="00783E56" w:rsidP="00783E56">
            <w:pPr>
              <w:spacing w:after="0"/>
              <w:jc w:val="both"/>
              <w:rPr>
                <w:rFonts w:ascii="Times New Roman" w:eastAsia="Times New Roman" w:hAnsi="Times New Roman"/>
                <w:sz w:val="20"/>
                <w:szCs w:val="20"/>
                <w:lang w:val="ro-RO"/>
              </w:rPr>
            </w:pPr>
            <w:r w:rsidRPr="00C24162">
              <w:rPr>
                <w:rFonts w:ascii="Times New Roman" w:eastAsia="Times New Roman" w:hAnsi="Times New Roman"/>
                <w:sz w:val="20"/>
                <w:szCs w:val="20"/>
                <w:lang w:val="ro-RO"/>
              </w:rPr>
              <w:t>A fost dezvoltată pagina web ZLSAC, precum şi o Strategie de Comunicare şi sensibilizare publică.</w:t>
            </w:r>
          </w:p>
          <w:p w:rsidR="00783E56" w:rsidRPr="00C24162" w:rsidRDefault="00783E56" w:rsidP="00812D33">
            <w:pPr>
              <w:spacing w:after="0"/>
              <w:jc w:val="both"/>
              <w:rPr>
                <w:rFonts w:ascii="Times New Roman" w:eastAsia="Times New Roman" w:hAnsi="Times New Roman"/>
                <w:sz w:val="20"/>
                <w:szCs w:val="20"/>
                <w:lang w:val="ro-RO"/>
              </w:rPr>
            </w:pPr>
          </w:p>
          <w:p w:rsidR="007A2853" w:rsidRPr="00C24162" w:rsidRDefault="007A2853" w:rsidP="007A2853">
            <w:pPr>
              <w:spacing w:after="0"/>
              <w:jc w:val="both"/>
              <w:rPr>
                <w:rFonts w:ascii="Times New Roman" w:eastAsia="Times New Roman" w:hAnsi="Times New Roman"/>
                <w:sz w:val="20"/>
                <w:szCs w:val="20"/>
                <w:lang w:val="ro-RO"/>
              </w:rPr>
            </w:pPr>
          </w:p>
        </w:tc>
      </w:tr>
      <w:tr w:rsidR="00D84BEE" w:rsidRPr="00C24162" w:rsidTr="00360444">
        <w:tc>
          <w:tcPr>
            <w:tcW w:w="14992" w:type="dxa"/>
            <w:gridSpan w:val="23"/>
            <w:tcBorders>
              <w:top w:val="single" w:sz="4" w:space="0" w:color="auto"/>
              <w:left w:val="single" w:sz="4" w:space="0" w:color="auto"/>
              <w:bottom w:val="single" w:sz="4" w:space="0" w:color="auto"/>
              <w:right w:val="single" w:sz="4" w:space="0" w:color="auto"/>
            </w:tcBorders>
            <w:shd w:val="clear" w:color="auto" w:fill="C4BC96"/>
          </w:tcPr>
          <w:p w:rsidR="00D84BEE" w:rsidRPr="00C24162" w:rsidRDefault="00D84BEE">
            <w:pPr>
              <w:jc w:val="center"/>
              <w:rPr>
                <w:rFonts w:ascii="Times New Roman" w:eastAsia="Times New Roman" w:hAnsi="Times New Roman"/>
                <w:b/>
                <w:sz w:val="20"/>
                <w:szCs w:val="20"/>
                <w:lang w:val="ro-RO"/>
              </w:rPr>
            </w:pPr>
          </w:p>
        </w:tc>
      </w:tr>
      <w:tr w:rsidR="00F62075" w:rsidRPr="00C24162" w:rsidTr="00C24162">
        <w:tc>
          <w:tcPr>
            <w:tcW w:w="4903" w:type="dxa"/>
            <w:gridSpan w:val="10"/>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 xml:space="preserve">Revizuirea anuală de către consiliile sectoriale a proiectelor în derulare de asistență externă în derulare </w:t>
            </w:r>
          </w:p>
        </w:tc>
        <w:tc>
          <w:tcPr>
            <w:tcW w:w="10089" w:type="dxa"/>
            <w:gridSpan w:val="13"/>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i/>
                <w:sz w:val="20"/>
                <w:szCs w:val="20"/>
                <w:lang w:val="ro-RO"/>
              </w:rPr>
            </w:pPr>
            <w:r w:rsidRPr="00C24162">
              <w:rPr>
                <w:rFonts w:ascii="Times New Roman" w:eastAsia="Times New Roman" w:hAnsi="Times New Roman"/>
                <w:i/>
                <w:sz w:val="20"/>
                <w:szCs w:val="20"/>
                <w:lang w:val="ro-RO"/>
              </w:rPr>
              <w:t xml:space="preserve">Data evenimentului, </w:t>
            </w:r>
            <w:r w:rsidR="00C02D83" w:rsidRPr="00C24162">
              <w:rPr>
                <w:rFonts w:ascii="Times New Roman" w:eastAsia="Times New Roman" w:hAnsi="Times New Roman"/>
                <w:i/>
                <w:sz w:val="20"/>
                <w:szCs w:val="20"/>
                <w:lang w:val="ro-RO"/>
              </w:rPr>
              <w:t>(</w:t>
            </w:r>
            <w:r w:rsidRPr="00C24162">
              <w:rPr>
                <w:rFonts w:ascii="Times New Roman" w:eastAsia="Times New Roman" w:hAnsi="Times New Roman"/>
                <w:i/>
                <w:sz w:val="20"/>
                <w:szCs w:val="20"/>
                <w:lang w:val="ro-RO"/>
              </w:rPr>
              <w:t>numărul și data procesului verbal</w:t>
            </w:r>
            <w:r w:rsidR="00C02D83" w:rsidRPr="00C24162">
              <w:rPr>
                <w:rFonts w:ascii="Times New Roman" w:eastAsia="Times New Roman" w:hAnsi="Times New Roman"/>
                <w:i/>
                <w:sz w:val="20"/>
                <w:szCs w:val="20"/>
                <w:lang w:val="ro-RO"/>
              </w:rPr>
              <w:t xml:space="preserve"> este opțional)</w:t>
            </w:r>
          </w:p>
          <w:p w:rsidR="00F84AF2" w:rsidRPr="00C24162" w:rsidRDefault="00F84AF2">
            <w:pPr>
              <w:jc w:val="center"/>
              <w:rPr>
                <w:rFonts w:ascii="Times New Roman" w:eastAsia="Times New Roman" w:hAnsi="Times New Roman"/>
                <w:b/>
                <w:sz w:val="20"/>
                <w:szCs w:val="20"/>
                <w:u w:val="single"/>
                <w:lang w:val="ro-RO"/>
              </w:rPr>
            </w:pPr>
            <w:r w:rsidRPr="00C24162">
              <w:rPr>
                <w:rFonts w:ascii="Times New Roman" w:eastAsia="Times New Roman" w:hAnsi="Times New Roman"/>
                <w:sz w:val="20"/>
                <w:szCs w:val="20"/>
                <w:u w:val="single"/>
                <w:lang w:val="ro-RO"/>
              </w:rPr>
              <w:t>30 iulie 2013 –ultima ședință a Consiliului</w:t>
            </w:r>
          </w:p>
        </w:tc>
      </w:tr>
      <w:tr w:rsidR="00D84BEE" w:rsidRPr="00C24162" w:rsidTr="00360444">
        <w:tc>
          <w:tcPr>
            <w:tcW w:w="14992" w:type="dxa"/>
            <w:gridSpan w:val="23"/>
            <w:tcBorders>
              <w:top w:val="single" w:sz="4" w:space="0" w:color="auto"/>
              <w:left w:val="single" w:sz="4" w:space="0" w:color="auto"/>
              <w:bottom w:val="single" w:sz="4" w:space="0" w:color="auto"/>
              <w:right w:val="single" w:sz="4" w:space="0" w:color="auto"/>
            </w:tcBorders>
            <w:shd w:val="clear" w:color="auto" w:fill="C4BC96"/>
          </w:tcPr>
          <w:p w:rsidR="00D84BEE" w:rsidRPr="00C24162" w:rsidRDefault="00D84BEE">
            <w:pPr>
              <w:jc w:val="center"/>
              <w:rPr>
                <w:rFonts w:ascii="Times New Roman" w:eastAsia="Times New Roman" w:hAnsi="Times New Roman"/>
                <w:b/>
                <w:sz w:val="20"/>
                <w:szCs w:val="20"/>
                <w:lang w:val="ro-RO"/>
              </w:rPr>
            </w:pPr>
          </w:p>
        </w:tc>
      </w:tr>
      <w:tr w:rsidR="00C75450" w:rsidRPr="00C24162" w:rsidTr="00C24162">
        <w:tc>
          <w:tcPr>
            <w:tcW w:w="2643" w:type="dxa"/>
            <w:gridSpan w:val="4"/>
            <w:tcBorders>
              <w:top w:val="single" w:sz="4" w:space="0" w:color="auto"/>
              <w:left w:val="single" w:sz="4" w:space="0" w:color="auto"/>
              <w:bottom w:val="single" w:sz="4" w:space="0" w:color="auto"/>
              <w:right w:val="single" w:sz="4" w:space="0" w:color="auto"/>
            </w:tcBorders>
            <w:hideMark/>
          </w:tcPr>
          <w:p w:rsidR="00D84BEE" w:rsidRPr="00C24162" w:rsidRDefault="00D84BEE">
            <w:pPr>
              <w:jc w:val="center"/>
              <w:rPr>
                <w:rFonts w:ascii="Times New Roman" w:eastAsia="Times New Roman" w:hAnsi="Times New Roman"/>
                <w:b/>
                <w:sz w:val="20"/>
                <w:szCs w:val="20"/>
                <w:lang w:val="ro-RO"/>
              </w:rPr>
            </w:pPr>
            <w:r w:rsidRPr="00C24162">
              <w:rPr>
                <w:rFonts w:ascii="Times New Roman" w:eastAsia="Times New Roman" w:hAnsi="Times New Roman"/>
                <w:b/>
                <w:sz w:val="20"/>
                <w:szCs w:val="20"/>
                <w:lang w:val="ro-RO"/>
              </w:rPr>
              <w:t>Recomandări</w:t>
            </w:r>
          </w:p>
        </w:tc>
        <w:tc>
          <w:tcPr>
            <w:tcW w:w="12349" w:type="dxa"/>
            <w:gridSpan w:val="19"/>
            <w:tcBorders>
              <w:top w:val="single" w:sz="4" w:space="0" w:color="auto"/>
              <w:left w:val="single" w:sz="4" w:space="0" w:color="auto"/>
              <w:bottom w:val="single" w:sz="4" w:space="0" w:color="auto"/>
              <w:right w:val="single" w:sz="4" w:space="0" w:color="auto"/>
            </w:tcBorders>
          </w:tcPr>
          <w:p w:rsidR="00D84BEE" w:rsidRPr="00C24162" w:rsidRDefault="00D84BEE">
            <w:pPr>
              <w:jc w:val="center"/>
              <w:rPr>
                <w:rFonts w:ascii="Times New Roman" w:eastAsia="Times New Roman" w:hAnsi="Times New Roman"/>
                <w:i/>
                <w:sz w:val="20"/>
                <w:szCs w:val="20"/>
                <w:lang w:val="ro-RO"/>
              </w:rPr>
            </w:pPr>
          </w:p>
        </w:tc>
      </w:tr>
    </w:tbl>
    <w:p w:rsidR="00D84BEE" w:rsidRPr="00C24162" w:rsidRDefault="00D84BEE" w:rsidP="00D84BEE">
      <w:pPr>
        <w:spacing w:after="0" w:line="240" w:lineRule="auto"/>
        <w:ind w:firstLine="709"/>
        <w:jc w:val="center"/>
        <w:rPr>
          <w:rFonts w:ascii="Times New Roman" w:eastAsia="Times New Roman" w:hAnsi="Times New Roman"/>
          <w:b/>
          <w:sz w:val="20"/>
          <w:szCs w:val="20"/>
          <w:lang w:val="ro-RO"/>
        </w:rPr>
      </w:pPr>
    </w:p>
    <w:p w:rsidR="00D84BEE" w:rsidRPr="00C24162" w:rsidRDefault="00D84BEE" w:rsidP="00D84BEE">
      <w:pPr>
        <w:rPr>
          <w:rFonts w:ascii="Times New Roman" w:hAnsi="Times New Roman"/>
          <w:sz w:val="20"/>
          <w:szCs w:val="20"/>
          <w:lang w:val="ro-RO"/>
        </w:rPr>
      </w:pPr>
      <w:r w:rsidRPr="00C24162">
        <w:rPr>
          <w:rFonts w:ascii="Times New Roman" w:hAnsi="Times New Roman"/>
          <w:sz w:val="20"/>
          <w:szCs w:val="20"/>
          <w:lang w:val="ro-RO"/>
        </w:rPr>
        <w:t>* Indicatorul 9b al Ghidului privind cadrul de monitorizare al Parteneriatului Global (www.amp.gov.md / documente-utile);</w:t>
      </w:r>
    </w:p>
    <w:p w:rsidR="00D84BEE" w:rsidRPr="00C24162" w:rsidRDefault="00D84BEE" w:rsidP="00D84BEE">
      <w:pPr>
        <w:rPr>
          <w:rFonts w:ascii="Times New Roman" w:hAnsi="Times New Roman"/>
          <w:sz w:val="20"/>
          <w:szCs w:val="20"/>
          <w:lang w:val="ro-RO"/>
        </w:rPr>
      </w:pPr>
      <w:r w:rsidRPr="00C24162">
        <w:rPr>
          <w:rFonts w:ascii="Times New Roman" w:hAnsi="Times New Roman"/>
          <w:sz w:val="20"/>
          <w:szCs w:val="20"/>
          <w:lang w:val="ro-RO"/>
        </w:rPr>
        <w:t>** Relevă informația privind atingerea obiectivelor și indicatorilor prevăzuți de documentul oficial;</w:t>
      </w:r>
    </w:p>
    <w:p w:rsidR="00CD174D" w:rsidRPr="00C24162" w:rsidRDefault="00CD174D">
      <w:pPr>
        <w:rPr>
          <w:rFonts w:ascii="Times New Roman" w:hAnsi="Times New Roman"/>
          <w:sz w:val="20"/>
          <w:szCs w:val="20"/>
          <w:lang w:val="en-US"/>
        </w:rPr>
      </w:pPr>
    </w:p>
    <w:sectPr w:rsidR="00CD174D" w:rsidRPr="00C24162" w:rsidSect="00D84BE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F7F"/>
    <w:multiLevelType w:val="hybridMultilevel"/>
    <w:tmpl w:val="3B6ACBA0"/>
    <w:lvl w:ilvl="0" w:tplc="3E9C3562">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9536ADD"/>
    <w:multiLevelType w:val="hybridMultilevel"/>
    <w:tmpl w:val="025CC7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E5222B2"/>
    <w:multiLevelType w:val="hybridMultilevel"/>
    <w:tmpl w:val="6D9463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E6F6066"/>
    <w:multiLevelType w:val="hybridMultilevel"/>
    <w:tmpl w:val="0AC6B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6AB5D8C"/>
    <w:multiLevelType w:val="hybridMultilevel"/>
    <w:tmpl w:val="FAAC439E"/>
    <w:lvl w:ilvl="0" w:tplc="04180001">
      <w:start w:val="1"/>
      <w:numFmt w:val="bullet"/>
      <w:lvlText w:val=""/>
      <w:lvlJc w:val="left"/>
      <w:pPr>
        <w:ind w:left="393" w:hanging="360"/>
      </w:pPr>
      <w:rPr>
        <w:rFonts w:ascii="Symbol" w:hAnsi="Symbol" w:hint="default"/>
      </w:rPr>
    </w:lvl>
    <w:lvl w:ilvl="1" w:tplc="04180003" w:tentative="1">
      <w:start w:val="1"/>
      <w:numFmt w:val="bullet"/>
      <w:lvlText w:val="o"/>
      <w:lvlJc w:val="left"/>
      <w:pPr>
        <w:ind w:left="1113" w:hanging="360"/>
      </w:pPr>
      <w:rPr>
        <w:rFonts w:ascii="Courier New" w:hAnsi="Courier New" w:cs="Courier New" w:hint="default"/>
      </w:rPr>
    </w:lvl>
    <w:lvl w:ilvl="2" w:tplc="04180005" w:tentative="1">
      <w:start w:val="1"/>
      <w:numFmt w:val="bullet"/>
      <w:lvlText w:val=""/>
      <w:lvlJc w:val="left"/>
      <w:pPr>
        <w:ind w:left="1833" w:hanging="360"/>
      </w:pPr>
      <w:rPr>
        <w:rFonts w:ascii="Wingdings" w:hAnsi="Wingdings" w:hint="default"/>
      </w:rPr>
    </w:lvl>
    <w:lvl w:ilvl="3" w:tplc="04180001" w:tentative="1">
      <w:start w:val="1"/>
      <w:numFmt w:val="bullet"/>
      <w:lvlText w:val=""/>
      <w:lvlJc w:val="left"/>
      <w:pPr>
        <w:ind w:left="2553" w:hanging="360"/>
      </w:pPr>
      <w:rPr>
        <w:rFonts w:ascii="Symbol" w:hAnsi="Symbol" w:hint="default"/>
      </w:rPr>
    </w:lvl>
    <w:lvl w:ilvl="4" w:tplc="04180003" w:tentative="1">
      <w:start w:val="1"/>
      <w:numFmt w:val="bullet"/>
      <w:lvlText w:val="o"/>
      <w:lvlJc w:val="left"/>
      <w:pPr>
        <w:ind w:left="3273" w:hanging="360"/>
      </w:pPr>
      <w:rPr>
        <w:rFonts w:ascii="Courier New" w:hAnsi="Courier New" w:cs="Courier New" w:hint="default"/>
      </w:rPr>
    </w:lvl>
    <w:lvl w:ilvl="5" w:tplc="04180005" w:tentative="1">
      <w:start w:val="1"/>
      <w:numFmt w:val="bullet"/>
      <w:lvlText w:val=""/>
      <w:lvlJc w:val="left"/>
      <w:pPr>
        <w:ind w:left="3993" w:hanging="360"/>
      </w:pPr>
      <w:rPr>
        <w:rFonts w:ascii="Wingdings" w:hAnsi="Wingdings" w:hint="default"/>
      </w:rPr>
    </w:lvl>
    <w:lvl w:ilvl="6" w:tplc="04180001" w:tentative="1">
      <w:start w:val="1"/>
      <w:numFmt w:val="bullet"/>
      <w:lvlText w:val=""/>
      <w:lvlJc w:val="left"/>
      <w:pPr>
        <w:ind w:left="4713" w:hanging="360"/>
      </w:pPr>
      <w:rPr>
        <w:rFonts w:ascii="Symbol" w:hAnsi="Symbol" w:hint="default"/>
      </w:rPr>
    </w:lvl>
    <w:lvl w:ilvl="7" w:tplc="04180003" w:tentative="1">
      <w:start w:val="1"/>
      <w:numFmt w:val="bullet"/>
      <w:lvlText w:val="o"/>
      <w:lvlJc w:val="left"/>
      <w:pPr>
        <w:ind w:left="5433" w:hanging="360"/>
      </w:pPr>
      <w:rPr>
        <w:rFonts w:ascii="Courier New" w:hAnsi="Courier New" w:cs="Courier New" w:hint="default"/>
      </w:rPr>
    </w:lvl>
    <w:lvl w:ilvl="8" w:tplc="04180005" w:tentative="1">
      <w:start w:val="1"/>
      <w:numFmt w:val="bullet"/>
      <w:lvlText w:val=""/>
      <w:lvlJc w:val="left"/>
      <w:pPr>
        <w:ind w:left="6153" w:hanging="360"/>
      </w:pPr>
      <w:rPr>
        <w:rFonts w:ascii="Wingdings" w:hAnsi="Wingdings" w:hint="default"/>
      </w:rPr>
    </w:lvl>
  </w:abstractNum>
  <w:abstractNum w:abstractNumId="5">
    <w:nsid w:val="17776ACF"/>
    <w:multiLevelType w:val="hybridMultilevel"/>
    <w:tmpl w:val="CD6A06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79B58B2"/>
    <w:multiLevelType w:val="hybridMultilevel"/>
    <w:tmpl w:val="85744578"/>
    <w:lvl w:ilvl="0" w:tplc="48D4496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E333927"/>
    <w:multiLevelType w:val="hybridMultilevel"/>
    <w:tmpl w:val="AAFCFD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07F562D"/>
    <w:multiLevelType w:val="hybridMultilevel"/>
    <w:tmpl w:val="9716B96C"/>
    <w:lvl w:ilvl="0" w:tplc="3BA81DF8">
      <w:start w:val="1"/>
      <w:numFmt w:val="bullet"/>
      <w:lvlText w:val=""/>
      <w:lvlJc w:val="left"/>
      <w:pPr>
        <w:ind w:left="720" w:hanging="360"/>
      </w:pPr>
      <w:rPr>
        <w:rFonts w:ascii="Symbol" w:hAnsi="Symbol"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48417D5"/>
    <w:multiLevelType w:val="hybridMultilevel"/>
    <w:tmpl w:val="08FE7C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6610D30"/>
    <w:multiLevelType w:val="hybridMultilevel"/>
    <w:tmpl w:val="0AE2E832"/>
    <w:lvl w:ilvl="0" w:tplc="3BA81DF8">
      <w:start w:val="1"/>
      <w:numFmt w:val="bullet"/>
      <w:lvlText w:val=""/>
      <w:lvlJc w:val="left"/>
      <w:pPr>
        <w:ind w:left="720" w:hanging="360"/>
      </w:pPr>
      <w:rPr>
        <w:rFonts w:ascii="Symbol" w:hAnsi="Symbol"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0F14168"/>
    <w:multiLevelType w:val="hybridMultilevel"/>
    <w:tmpl w:val="EB0025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35E53C6"/>
    <w:multiLevelType w:val="hybridMultilevel"/>
    <w:tmpl w:val="230C0CE8"/>
    <w:lvl w:ilvl="0" w:tplc="3E9C3562">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A451C60"/>
    <w:multiLevelType w:val="hybridMultilevel"/>
    <w:tmpl w:val="013E1250"/>
    <w:lvl w:ilvl="0" w:tplc="8C4CA7CE">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E335FCB"/>
    <w:multiLevelType w:val="hybridMultilevel"/>
    <w:tmpl w:val="9794B1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E8B1925"/>
    <w:multiLevelType w:val="hybridMultilevel"/>
    <w:tmpl w:val="CA7C99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F7D6DAD"/>
    <w:multiLevelType w:val="hybridMultilevel"/>
    <w:tmpl w:val="B6D480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9B9769B"/>
    <w:multiLevelType w:val="hybridMultilevel"/>
    <w:tmpl w:val="24DC9324"/>
    <w:lvl w:ilvl="0" w:tplc="D93207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2D0499F"/>
    <w:multiLevelType w:val="hybridMultilevel"/>
    <w:tmpl w:val="251643FE"/>
    <w:lvl w:ilvl="0" w:tplc="3E9C3562">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43C3CD0"/>
    <w:multiLevelType w:val="hybridMultilevel"/>
    <w:tmpl w:val="7A4ACF48"/>
    <w:lvl w:ilvl="0" w:tplc="3E9C3562">
      <w:start w:val="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5C8B07E2"/>
    <w:multiLevelType w:val="hybridMultilevel"/>
    <w:tmpl w:val="3FE0D5E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60A42EF2"/>
    <w:multiLevelType w:val="hybridMultilevel"/>
    <w:tmpl w:val="805CC35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62287237"/>
    <w:multiLevelType w:val="hybridMultilevel"/>
    <w:tmpl w:val="CC161EE0"/>
    <w:lvl w:ilvl="0" w:tplc="3E9C3562">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D936714"/>
    <w:multiLevelType w:val="hybridMultilevel"/>
    <w:tmpl w:val="7FCE8960"/>
    <w:lvl w:ilvl="0" w:tplc="3BA81DF8">
      <w:start w:val="1"/>
      <w:numFmt w:val="bullet"/>
      <w:lvlText w:val=""/>
      <w:lvlJc w:val="left"/>
      <w:pPr>
        <w:ind w:left="720" w:hanging="360"/>
      </w:pPr>
      <w:rPr>
        <w:rFonts w:ascii="Symbol" w:hAnsi="Symbol"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E8366E2"/>
    <w:multiLevelType w:val="hybridMultilevel"/>
    <w:tmpl w:val="493A8B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7ACF3270"/>
    <w:multiLevelType w:val="hybridMultilevel"/>
    <w:tmpl w:val="6E120D7C"/>
    <w:lvl w:ilvl="0" w:tplc="3BA81DF8">
      <w:start w:val="1"/>
      <w:numFmt w:val="bullet"/>
      <w:lvlText w:val=""/>
      <w:lvlJc w:val="left"/>
      <w:pPr>
        <w:ind w:left="720" w:hanging="360"/>
      </w:pPr>
      <w:rPr>
        <w:rFonts w:ascii="Symbol" w:hAnsi="Symbol"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0"/>
  </w:num>
  <w:num w:numId="4">
    <w:abstractNumId w:val="12"/>
  </w:num>
  <w:num w:numId="5">
    <w:abstractNumId w:val="15"/>
  </w:num>
  <w:num w:numId="6">
    <w:abstractNumId w:val="14"/>
  </w:num>
  <w:num w:numId="7">
    <w:abstractNumId w:val="9"/>
  </w:num>
  <w:num w:numId="8">
    <w:abstractNumId w:val="16"/>
  </w:num>
  <w:num w:numId="9">
    <w:abstractNumId w:val="18"/>
  </w:num>
  <w:num w:numId="10">
    <w:abstractNumId w:val="7"/>
  </w:num>
  <w:num w:numId="11">
    <w:abstractNumId w:val="13"/>
  </w:num>
  <w:num w:numId="12">
    <w:abstractNumId w:val="20"/>
  </w:num>
  <w:num w:numId="13">
    <w:abstractNumId w:val="19"/>
  </w:num>
  <w:num w:numId="14">
    <w:abstractNumId w:val="2"/>
  </w:num>
  <w:num w:numId="15">
    <w:abstractNumId w:val="5"/>
  </w:num>
  <w:num w:numId="16">
    <w:abstractNumId w:val="10"/>
  </w:num>
  <w:num w:numId="17">
    <w:abstractNumId w:val="8"/>
  </w:num>
  <w:num w:numId="18">
    <w:abstractNumId w:val="23"/>
  </w:num>
  <w:num w:numId="19">
    <w:abstractNumId w:val="25"/>
  </w:num>
  <w:num w:numId="20">
    <w:abstractNumId w:val="22"/>
  </w:num>
  <w:num w:numId="21">
    <w:abstractNumId w:val="3"/>
  </w:num>
  <w:num w:numId="22">
    <w:abstractNumId w:val="21"/>
  </w:num>
  <w:num w:numId="23">
    <w:abstractNumId w:val="6"/>
  </w:num>
  <w:num w:numId="24">
    <w:abstractNumId w:val="9"/>
  </w:num>
  <w:num w:numId="25">
    <w:abstractNumId w:val="24"/>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F4A"/>
    <w:rsid w:val="00011616"/>
    <w:rsid w:val="00011EC8"/>
    <w:rsid w:val="00031F8C"/>
    <w:rsid w:val="00047448"/>
    <w:rsid w:val="00055255"/>
    <w:rsid w:val="00062799"/>
    <w:rsid w:val="000635C6"/>
    <w:rsid w:val="00075E8B"/>
    <w:rsid w:val="0008280A"/>
    <w:rsid w:val="00083A39"/>
    <w:rsid w:val="000A0FFE"/>
    <w:rsid w:val="000B45BE"/>
    <w:rsid w:val="000D3FFE"/>
    <w:rsid w:val="000D5794"/>
    <w:rsid w:val="001030EA"/>
    <w:rsid w:val="0010651C"/>
    <w:rsid w:val="00144B4F"/>
    <w:rsid w:val="001508DD"/>
    <w:rsid w:val="00173A3D"/>
    <w:rsid w:val="001753A9"/>
    <w:rsid w:val="001776ED"/>
    <w:rsid w:val="00177920"/>
    <w:rsid w:val="00177999"/>
    <w:rsid w:val="00192D6F"/>
    <w:rsid w:val="001A263F"/>
    <w:rsid w:val="001B331F"/>
    <w:rsid w:val="001D0D1D"/>
    <w:rsid w:val="001D5A9C"/>
    <w:rsid w:val="001D7664"/>
    <w:rsid w:val="001E2590"/>
    <w:rsid w:val="001F0910"/>
    <w:rsid w:val="00205309"/>
    <w:rsid w:val="002056A8"/>
    <w:rsid w:val="00235447"/>
    <w:rsid w:val="00240F45"/>
    <w:rsid w:val="00254E52"/>
    <w:rsid w:val="00263EA5"/>
    <w:rsid w:val="00270CCF"/>
    <w:rsid w:val="002834A8"/>
    <w:rsid w:val="002957E5"/>
    <w:rsid w:val="002B6FF4"/>
    <w:rsid w:val="002C7B9C"/>
    <w:rsid w:val="002D3315"/>
    <w:rsid w:val="002D625D"/>
    <w:rsid w:val="002E2042"/>
    <w:rsid w:val="002E2BC1"/>
    <w:rsid w:val="00316657"/>
    <w:rsid w:val="003169E2"/>
    <w:rsid w:val="003227AD"/>
    <w:rsid w:val="00330B79"/>
    <w:rsid w:val="00360444"/>
    <w:rsid w:val="003657E5"/>
    <w:rsid w:val="00367EED"/>
    <w:rsid w:val="00392B76"/>
    <w:rsid w:val="00393609"/>
    <w:rsid w:val="003B6F19"/>
    <w:rsid w:val="003B742F"/>
    <w:rsid w:val="003E330B"/>
    <w:rsid w:val="00400AC1"/>
    <w:rsid w:val="00404B9E"/>
    <w:rsid w:val="004171C4"/>
    <w:rsid w:val="00433063"/>
    <w:rsid w:val="004356DF"/>
    <w:rsid w:val="00441CD0"/>
    <w:rsid w:val="004422FE"/>
    <w:rsid w:val="004427EF"/>
    <w:rsid w:val="00443518"/>
    <w:rsid w:val="004467CB"/>
    <w:rsid w:val="004574CC"/>
    <w:rsid w:val="00466FBF"/>
    <w:rsid w:val="00472B3A"/>
    <w:rsid w:val="004852C7"/>
    <w:rsid w:val="004B0D32"/>
    <w:rsid w:val="004C3D1A"/>
    <w:rsid w:val="004D45BE"/>
    <w:rsid w:val="004E16AB"/>
    <w:rsid w:val="004F3A22"/>
    <w:rsid w:val="00505A2F"/>
    <w:rsid w:val="00517344"/>
    <w:rsid w:val="005212F1"/>
    <w:rsid w:val="00543718"/>
    <w:rsid w:val="00545B63"/>
    <w:rsid w:val="00554A57"/>
    <w:rsid w:val="005560A9"/>
    <w:rsid w:val="00575A81"/>
    <w:rsid w:val="005A635E"/>
    <w:rsid w:val="005D2CDB"/>
    <w:rsid w:val="005D4435"/>
    <w:rsid w:val="005D78D1"/>
    <w:rsid w:val="005E03A5"/>
    <w:rsid w:val="005E1419"/>
    <w:rsid w:val="005F0224"/>
    <w:rsid w:val="006020E7"/>
    <w:rsid w:val="0061143D"/>
    <w:rsid w:val="00613AF3"/>
    <w:rsid w:val="006224E2"/>
    <w:rsid w:val="00623790"/>
    <w:rsid w:val="00636AC6"/>
    <w:rsid w:val="00644355"/>
    <w:rsid w:val="00656093"/>
    <w:rsid w:val="0066269B"/>
    <w:rsid w:val="00692293"/>
    <w:rsid w:val="006A1660"/>
    <w:rsid w:val="006D7F40"/>
    <w:rsid w:val="007253DA"/>
    <w:rsid w:val="00731157"/>
    <w:rsid w:val="0073385A"/>
    <w:rsid w:val="00761DE5"/>
    <w:rsid w:val="00765D25"/>
    <w:rsid w:val="00777909"/>
    <w:rsid w:val="00783E56"/>
    <w:rsid w:val="00790395"/>
    <w:rsid w:val="007A2853"/>
    <w:rsid w:val="007A40C9"/>
    <w:rsid w:val="007B64B6"/>
    <w:rsid w:val="007C56EA"/>
    <w:rsid w:val="007C6939"/>
    <w:rsid w:val="007D0F7A"/>
    <w:rsid w:val="007D56EF"/>
    <w:rsid w:val="007E14D9"/>
    <w:rsid w:val="007E1CBE"/>
    <w:rsid w:val="007E2E45"/>
    <w:rsid w:val="007E6E87"/>
    <w:rsid w:val="007F2700"/>
    <w:rsid w:val="00802D99"/>
    <w:rsid w:val="00804838"/>
    <w:rsid w:val="008055A2"/>
    <w:rsid w:val="00806E86"/>
    <w:rsid w:val="00812D33"/>
    <w:rsid w:val="00814E0B"/>
    <w:rsid w:val="0081518D"/>
    <w:rsid w:val="00820F48"/>
    <w:rsid w:val="00834F11"/>
    <w:rsid w:val="00845488"/>
    <w:rsid w:val="00846996"/>
    <w:rsid w:val="00853E00"/>
    <w:rsid w:val="00861FC1"/>
    <w:rsid w:val="00866F8F"/>
    <w:rsid w:val="00876FB1"/>
    <w:rsid w:val="00891C53"/>
    <w:rsid w:val="00897D95"/>
    <w:rsid w:val="008A3320"/>
    <w:rsid w:val="008C58EB"/>
    <w:rsid w:val="008C66F0"/>
    <w:rsid w:val="008C74CA"/>
    <w:rsid w:val="008D46A4"/>
    <w:rsid w:val="008E623B"/>
    <w:rsid w:val="00904819"/>
    <w:rsid w:val="009135F6"/>
    <w:rsid w:val="00916C9A"/>
    <w:rsid w:val="00924A72"/>
    <w:rsid w:val="00942B21"/>
    <w:rsid w:val="00953C25"/>
    <w:rsid w:val="009655DE"/>
    <w:rsid w:val="009733B1"/>
    <w:rsid w:val="00975437"/>
    <w:rsid w:val="009A54CD"/>
    <w:rsid w:val="009B4C94"/>
    <w:rsid w:val="009C11AF"/>
    <w:rsid w:val="009C5D19"/>
    <w:rsid w:val="009E0699"/>
    <w:rsid w:val="009F0001"/>
    <w:rsid w:val="009F0E7C"/>
    <w:rsid w:val="00A00A20"/>
    <w:rsid w:val="00A06B15"/>
    <w:rsid w:val="00A301D2"/>
    <w:rsid w:val="00A345C9"/>
    <w:rsid w:val="00A37EF3"/>
    <w:rsid w:val="00A50EE9"/>
    <w:rsid w:val="00A646FA"/>
    <w:rsid w:val="00A92C31"/>
    <w:rsid w:val="00A976CC"/>
    <w:rsid w:val="00AA1AD3"/>
    <w:rsid w:val="00AA49E4"/>
    <w:rsid w:val="00AC4BD9"/>
    <w:rsid w:val="00AD5AE7"/>
    <w:rsid w:val="00AE733C"/>
    <w:rsid w:val="00AF42AB"/>
    <w:rsid w:val="00B009C4"/>
    <w:rsid w:val="00B13E2D"/>
    <w:rsid w:val="00B1670D"/>
    <w:rsid w:val="00B25D06"/>
    <w:rsid w:val="00B3556A"/>
    <w:rsid w:val="00B36D0B"/>
    <w:rsid w:val="00B46DBE"/>
    <w:rsid w:val="00B50668"/>
    <w:rsid w:val="00B523C4"/>
    <w:rsid w:val="00B74567"/>
    <w:rsid w:val="00B76A72"/>
    <w:rsid w:val="00B77F4D"/>
    <w:rsid w:val="00BA1F4A"/>
    <w:rsid w:val="00BC20B2"/>
    <w:rsid w:val="00BC3A98"/>
    <w:rsid w:val="00BC63FD"/>
    <w:rsid w:val="00C02D83"/>
    <w:rsid w:val="00C24162"/>
    <w:rsid w:val="00C274A1"/>
    <w:rsid w:val="00C41D20"/>
    <w:rsid w:val="00C46568"/>
    <w:rsid w:val="00C74DFC"/>
    <w:rsid w:val="00C75450"/>
    <w:rsid w:val="00C90A59"/>
    <w:rsid w:val="00C94A90"/>
    <w:rsid w:val="00CA6AB8"/>
    <w:rsid w:val="00CB3FC5"/>
    <w:rsid w:val="00CC290A"/>
    <w:rsid w:val="00CC6555"/>
    <w:rsid w:val="00CD174D"/>
    <w:rsid w:val="00CD5D0D"/>
    <w:rsid w:val="00CD73D6"/>
    <w:rsid w:val="00D20CE4"/>
    <w:rsid w:val="00D3416E"/>
    <w:rsid w:val="00D43640"/>
    <w:rsid w:val="00D53207"/>
    <w:rsid w:val="00D61708"/>
    <w:rsid w:val="00D7560A"/>
    <w:rsid w:val="00D828FC"/>
    <w:rsid w:val="00D83551"/>
    <w:rsid w:val="00D84BEE"/>
    <w:rsid w:val="00D85E91"/>
    <w:rsid w:val="00D97ED7"/>
    <w:rsid w:val="00DA396F"/>
    <w:rsid w:val="00DA4935"/>
    <w:rsid w:val="00DC364B"/>
    <w:rsid w:val="00E04660"/>
    <w:rsid w:val="00E05B2E"/>
    <w:rsid w:val="00E25A98"/>
    <w:rsid w:val="00E303BF"/>
    <w:rsid w:val="00E32878"/>
    <w:rsid w:val="00E362B6"/>
    <w:rsid w:val="00E41E3E"/>
    <w:rsid w:val="00E51BF3"/>
    <w:rsid w:val="00E56045"/>
    <w:rsid w:val="00E64BE4"/>
    <w:rsid w:val="00E777BD"/>
    <w:rsid w:val="00E83B09"/>
    <w:rsid w:val="00E84A04"/>
    <w:rsid w:val="00EA4C8C"/>
    <w:rsid w:val="00EB6EC1"/>
    <w:rsid w:val="00EB7D01"/>
    <w:rsid w:val="00EC052B"/>
    <w:rsid w:val="00EC7E5D"/>
    <w:rsid w:val="00ED4DDC"/>
    <w:rsid w:val="00EE3D86"/>
    <w:rsid w:val="00F040A5"/>
    <w:rsid w:val="00F04B47"/>
    <w:rsid w:val="00F15F0E"/>
    <w:rsid w:val="00F179D4"/>
    <w:rsid w:val="00F62075"/>
    <w:rsid w:val="00F7104A"/>
    <w:rsid w:val="00F73493"/>
    <w:rsid w:val="00F82389"/>
    <w:rsid w:val="00F84AF2"/>
    <w:rsid w:val="00F87268"/>
    <w:rsid w:val="00F941D4"/>
    <w:rsid w:val="00FC4966"/>
    <w:rsid w:val="00FD156D"/>
    <w:rsid w:val="00FD6CAD"/>
    <w:rsid w:val="00FE320C"/>
    <w:rsid w:val="00FE3455"/>
    <w:rsid w:val="00FE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16"/>
    <w:pPr>
      <w:spacing w:after="160" w:line="25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9733B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733B1"/>
    <w:rPr>
      <w:rFonts w:ascii="Tahoma" w:eastAsia="Calibri" w:hAnsi="Tahoma" w:cs="Tahoma"/>
      <w:sz w:val="16"/>
      <w:szCs w:val="16"/>
    </w:rPr>
  </w:style>
  <w:style w:type="paragraph" w:styleId="Listparagraf">
    <w:name w:val="List Paragraph"/>
    <w:basedOn w:val="Normal"/>
    <w:uiPriority w:val="34"/>
    <w:qFormat/>
    <w:rsid w:val="00765D25"/>
    <w:pPr>
      <w:ind w:left="720"/>
      <w:contextualSpacing/>
    </w:pPr>
  </w:style>
  <w:style w:type="character" w:styleId="Hyperlink">
    <w:name w:val="Hyperlink"/>
    <w:basedOn w:val="Fontdeparagrafimplicit"/>
    <w:uiPriority w:val="99"/>
    <w:unhideWhenUsed/>
    <w:rsid w:val="007E14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16"/>
    <w:pPr>
      <w:spacing w:after="160" w:line="25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9733B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733B1"/>
    <w:rPr>
      <w:rFonts w:ascii="Tahoma" w:eastAsia="Calibri" w:hAnsi="Tahoma" w:cs="Tahoma"/>
      <w:sz w:val="16"/>
      <w:szCs w:val="16"/>
    </w:rPr>
  </w:style>
  <w:style w:type="paragraph" w:styleId="Listparagraf">
    <w:name w:val="List Paragraph"/>
    <w:basedOn w:val="Normal"/>
    <w:uiPriority w:val="34"/>
    <w:qFormat/>
    <w:rsid w:val="00765D25"/>
    <w:pPr>
      <w:ind w:left="720"/>
      <w:contextualSpacing/>
    </w:pPr>
  </w:style>
  <w:style w:type="character" w:styleId="Hyperlink">
    <w:name w:val="Hyperlink"/>
    <w:basedOn w:val="Fontdeparagrafimplicit"/>
    <w:uiPriority w:val="99"/>
    <w:unhideWhenUsed/>
    <w:rsid w:val="007E14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069">
      <w:bodyDiv w:val="1"/>
      <w:marLeft w:val="0"/>
      <w:marRight w:val="0"/>
      <w:marTop w:val="0"/>
      <w:marBottom w:val="0"/>
      <w:divBdr>
        <w:top w:val="none" w:sz="0" w:space="0" w:color="auto"/>
        <w:left w:val="none" w:sz="0" w:space="0" w:color="auto"/>
        <w:bottom w:val="none" w:sz="0" w:space="0" w:color="auto"/>
        <w:right w:val="none" w:sz="0" w:space="0" w:color="auto"/>
      </w:divBdr>
    </w:div>
    <w:div w:id="809589721">
      <w:bodyDiv w:val="1"/>
      <w:marLeft w:val="0"/>
      <w:marRight w:val="0"/>
      <w:marTop w:val="0"/>
      <w:marBottom w:val="0"/>
      <w:divBdr>
        <w:top w:val="none" w:sz="0" w:space="0" w:color="auto"/>
        <w:left w:val="none" w:sz="0" w:space="0" w:color="auto"/>
        <w:bottom w:val="none" w:sz="0" w:space="0" w:color="auto"/>
        <w:right w:val="none" w:sz="0" w:space="0" w:color="auto"/>
      </w:divBdr>
    </w:div>
    <w:div w:id="1314679764">
      <w:bodyDiv w:val="1"/>
      <w:marLeft w:val="0"/>
      <w:marRight w:val="0"/>
      <w:marTop w:val="0"/>
      <w:marBottom w:val="0"/>
      <w:divBdr>
        <w:top w:val="none" w:sz="0" w:space="0" w:color="auto"/>
        <w:left w:val="none" w:sz="0" w:space="0" w:color="auto"/>
        <w:bottom w:val="none" w:sz="0" w:space="0" w:color="auto"/>
        <w:right w:val="none" w:sz="0" w:space="0" w:color="auto"/>
      </w:divBdr>
    </w:div>
    <w:div w:id="18246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undp.org" TargetMode="External"/><Relationship Id="rId13" Type="http://schemas.openxmlformats.org/officeDocument/2006/relationships/hyperlink" Target="http://www.mec.gov.md" TargetMode="External"/><Relationship Id="rId3" Type="http://schemas.openxmlformats.org/officeDocument/2006/relationships/styles" Target="styles.xml"/><Relationship Id="rId7" Type="http://schemas.openxmlformats.org/officeDocument/2006/relationships/hyperlink" Target="http://www.app.gov.md" TargetMode="External"/><Relationship Id="rId12" Type="http://schemas.openxmlformats.org/officeDocument/2006/relationships/hyperlink" Target="http://www.ap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omasa.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d.undp.org" TargetMode="External"/><Relationship Id="rId4" Type="http://schemas.microsoft.com/office/2007/relationships/stylesWithEffects" Target="stylesWithEffects.xml"/><Relationship Id="rId9" Type="http://schemas.openxmlformats.org/officeDocument/2006/relationships/hyperlink" Target="http://www.syslab.m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45B8A-CF93-4005-8C5B-40BD53C0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25</Pages>
  <Words>8792</Words>
  <Characters>50994</Characters>
  <Application>Microsoft Office Word</Application>
  <DocSecurity>0</DocSecurity>
  <Lines>424</Lines>
  <Paragraphs>119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59667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ME-226-Aliona</cp:lastModifiedBy>
  <cp:revision>65</cp:revision>
  <cp:lastPrinted>2015-02-27T11:21:00Z</cp:lastPrinted>
  <dcterms:created xsi:type="dcterms:W3CDTF">2015-02-25T06:28:00Z</dcterms:created>
  <dcterms:modified xsi:type="dcterms:W3CDTF">2015-02-27T11:32:00Z</dcterms:modified>
</cp:coreProperties>
</file>