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846" w:rsidRPr="004C0446" w:rsidRDefault="00403A0F" w:rsidP="006E4846">
      <w:pPr>
        <w:pStyle w:val="4"/>
        <w:spacing w:after="0" w:line="240" w:lineRule="auto"/>
        <w:ind w:left="0"/>
        <w:jc w:val="center"/>
        <w:rPr>
          <w:rFonts w:ascii="Times New Roman" w:hAnsi="Times New Roman"/>
          <w:b/>
          <w:sz w:val="24"/>
          <w:szCs w:val="24"/>
          <w:lang w:val="ro-MD"/>
        </w:rPr>
      </w:pPr>
      <w:bookmarkStart w:id="0" w:name="_GoBack"/>
      <w:bookmarkEnd w:id="0"/>
      <w:r w:rsidRPr="004C0446">
        <w:rPr>
          <w:rFonts w:ascii="Times New Roman" w:hAnsi="Times New Roman"/>
          <w:b/>
          <w:sz w:val="24"/>
          <w:szCs w:val="24"/>
          <w:lang w:val="ro-MD"/>
        </w:rPr>
        <w:t>Raport privind implementarea Strategiei sectoriale de cheltuieli în domeniul infrastructurii calităţii şi protecţiei</w:t>
      </w:r>
      <w:r w:rsidR="006B033C" w:rsidRPr="004C0446">
        <w:rPr>
          <w:rFonts w:ascii="Times New Roman" w:hAnsi="Times New Roman"/>
          <w:b/>
          <w:sz w:val="24"/>
          <w:szCs w:val="24"/>
          <w:lang w:val="ro-MD"/>
        </w:rPr>
        <w:t xml:space="preserve"> consumatorilor </w:t>
      </w:r>
    </w:p>
    <w:p w:rsidR="00403A0F" w:rsidRPr="004C0446" w:rsidRDefault="006B033C" w:rsidP="006E4846">
      <w:pPr>
        <w:pStyle w:val="4"/>
        <w:spacing w:after="0" w:line="240" w:lineRule="auto"/>
        <w:ind w:left="0"/>
        <w:jc w:val="center"/>
        <w:rPr>
          <w:rFonts w:ascii="Times New Roman" w:hAnsi="Times New Roman"/>
          <w:b/>
          <w:sz w:val="24"/>
          <w:szCs w:val="24"/>
          <w:lang w:val="ro-MD"/>
        </w:rPr>
      </w:pPr>
      <w:r w:rsidRPr="004C0446">
        <w:rPr>
          <w:rFonts w:ascii="Times New Roman" w:hAnsi="Times New Roman"/>
          <w:b/>
          <w:sz w:val="24"/>
          <w:szCs w:val="24"/>
          <w:lang w:val="ro-MD"/>
        </w:rPr>
        <w:t>pentru anul 2016</w:t>
      </w:r>
    </w:p>
    <w:p w:rsidR="00C934E3" w:rsidRPr="004C0446" w:rsidRDefault="00C934E3" w:rsidP="0055522F">
      <w:pPr>
        <w:pStyle w:val="4"/>
        <w:spacing w:after="0" w:line="240" w:lineRule="auto"/>
        <w:ind w:left="0"/>
        <w:jc w:val="center"/>
        <w:rPr>
          <w:rFonts w:ascii="Times New Roman" w:hAnsi="Times New Roman"/>
          <w:b/>
          <w:sz w:val="24"/>
          <w:szCs w:val="24"/>
          <w:lang w:val="ro-MD"/>
        </w:rPr>
      </w:pPr>
    </w:p>
    <w:tbl>
      <w:tblPr>
        <w:tblW w:w="157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7"/>
        <w:gridCol w:w="2411"/>
        <w:gridCol w:w="12"/>
        <w:gridCol w:w="3627"/>
        <w:gridCol w:w="1135"/>
        <w:gridCol w:w="993"/>
        <w:gridCol w:w="1561"/>
        <w:gridCol w:w="1560"/>
        <w:gridCol w:w="1418"/>
        <w:gridCol w:w="16"/>
        <w:gridCol w:w="1215"/>
      </w:tblGrid>
      <w:tr w:rsidR="00347737" w:rsidRPr="004C0446" w:rsidTr="00FB650E">
        <w:tc>
          <w:tcPr>
            <w:tcW w:w="1802" w:type="dxa"/>
            <w:gridSpan w:val="2"/>
            <w:vMerge w:val="restart"/>
            <w:shd w:val="clear" w:color="auto" w:fill="DBE5F1"/>
            <w:vAlign w:val="center"/>
          </w:tcPr>
          <w:p w:rsidR="00347737" w:rsidRPr="004C0446" w:rsidRDefault="00347737" w:rsidP="0013401D">
            <w:pPr>
              <w:spacing w:after="0" w:line="240" w:lineRule="auto"/>
              <w:jc w:val="center"/>
              <w:rPr>
                <w:rFonts w:ascii="Times New Roman" w:eastAsia="Calibri" w:hAnsi="Times New Roman" w:cs="Times New Roman"/>
                <w:b/>
                <w:sz w:val="20"/>
                <w:szCs w:val="20"/>
                <w:lang w:val="ro-MD"/>
              </w:rPr>
            </w:pPr>
            <w:r w:rsidRPr="004C0446">
              <w:rPr>
                <w:rFonts w:ascii="Times New Roman" w:eastAsia="Calibri" w:hAnsi="Times New Roman" w:cs="Times New Roman"/>
                <w:b/>
                <w:bCs/>
                <w:sz w:val="20"/>
                <w:szCs w:val="20"/>
                <w:lang w:val="ro-MD" w:eastAsia="nl-NL"/>
              </w:rPr>
              <w:t>Obiective de politică pe termen mediu</w:t>
            </w:r>
          </w:p>
        </w:tc>
        <w:tc>
          <w:tcPr>
            <w:tcW w:w="6050" w:type="dxa"/>
            <w:gridSpan w:val="3"/>
            <w:shd w:val="clear" w:color="auto" w:fill="DBE5F1"/>
            <w:vAlign w:val="center"/>
          </w:tcPr>
          <w:p w:rsidR="00347737" w:rsidRPr="004C0446" w:rsidRDefault="00347737" w:rsidP="0078782E">
            <w:pPr>
              <w:spacing w:after="0" w:line="240" w:lineRule="auto"/>
              <w:jc w:val="center"/>
              <w:rPr>
                <w:rFonts w:ascii="Times New Roman" w:eastAsia="Calibri" w:hAnsi="Times New Roman" w:cs="Times New Roman"/>
                <w:b/>
                <w:sz w:val="20"/>
                <w:szCs w:val="20"/>
                <w:lang w:val="ro-MD"/>
              </w:rPr>
            </w:pPr>
            <w:r w:rsidRPr="004C0446">
              <w:rPr>
                <w:rFonts w:ascii="Times New Roman" w:eastAsia="Calibri" w:hAnsi="Times New Roman" w:cs="Times New Roman"/>
                <w:b/>
                <w:bCs/>
                <w:sz w:val="20"/>
                <w:szCs w:val="20"/>
                <w:lang w:val="ro-MD" w:eastAsia="nl-NL"/>
              </w:rPr>
              <w:t>Acţi</w:t>
            </w:r>
            <w:r w:rsidR="00386C01" w:rsidRPr="004C0446">
              <w:rPr>
                <w:rFonts w:ascii="Times New Roman" w:eastAsia="Calibri" w:hAnsi="Times New Roman" w:cs="Times New Roman"/>
                <w:b/>
                <w:bCs/>
                <w:sz w:val="20"/>
                <w:szCs w:val="20"/>
                <w:lang w:val="ro-MD" w:eastAsia="nl-NL"/>
              </w:rPr>
              <w:t xml:space="preserve">uni (măsuri) de politică </w:t>
            </w:r>
            <w:r w:rsidR="0078782E" w:rsidRPr="004C0446">
              <w:rPr>
                <w:rFonts w:ascii="Times New Roman" w:eastAsia="Calibri" w:hAnsi="Times New Roman" w:cs="Times New Roman"/>
                <w:b/>
                <w:bCs/>
                <w:sz w:val="20"/>
                <w:szCs w:val="20"/>
                <w:lang w:val="ro-MD" w:eastAsia="nl-NL"/>
              </w:rPr>
              <w:t xml:space="preserve">pentru </w:t>
            </w:r>
            <w:r w:rsidR="00386C01" w:rsidRPr="004C0446">
              <w:rPr>
                <w:rFonts w:ascii="Times New Roman" w:eastAsia="Calibri" w:hAnsi="Times New Roman" w:cs="Times New Roman"/>
                <w:b/>
                <w:bCs/>
                <w:sz w:val="20"/>
                <w:szCs w:val="20"/>
                <w:lang w:val="ro-MD" w:eastAsia="nl-NL"/>
              </w:rPr>
              <w:t>a</w:t>
            </w:r>
            <w:r w:rsidR="0078782E" w:rsidRPr="004C0446">
              <w:rPr>
                <w:rFonts w:ascii="Times New Roman" w:eastAsia="Calibri" w:hAnsi="Times New Roman" w:cs="Times New Roman"/>
                <w:b/>
                <w:bCs/>
                <w:sz w:val="20"/>
                <w:szCs w:val="20"/>
                <w:lang w:val="ro-MD" w:eastAsia="nl-NL"/>
              </w:rPr>
              <w:t>nul</w:t>
            </w:r>
            <w:r w:rsidR="00386C01" w:rsidRPr="004C0446">
              <w:rPr>
                <w:rFonts w:ascii="Times New Roman" w:eastAsia="Calibri" w:hAnsi="Times New Roman" w:cs="Times New Roman"/>
                <w:b/>
                <w:bCs/>
                <w:sz w:val="20"/>
                <w:szCs w:val="20"/>
                <w:lang w:val="ro-MD" w:eastAsia="nl-NL"/>
              </w:rPr>
              <w:t xml:space="preserve"> 2016</w:t>
            </w:r>
          </w:p>
        </w:tc>
        <w:tc>
          <w:tcPr>
            <w:tcW w:w="2128" w:type="dxa"/>
            <w:gridSpan w:val="2"/>
            <w:shd w:val="clear" w:color="auto" w:fill="DBE5F1"/>
            <w:vAlign w:val="center"/>
          </w:tcPr>
          <w:p w:rsidR="00347737" w:rsidRPr="004C0446" w:rsidRDefault="00347737" w:rsidP="0013401D">
            <w:pPr>
              <w:spacing w:after="0" w:line="240" w:lineRule="auto"/>
              <w:jc w:val="center"/>
              <w:rPr>
                <w:rFonts w:ascii="Times New Roman" w:eastAsia="Calibri" w:hAnsi="Times New Roman" w:cs="Times New Roman"/>
                <w:b/>
                <w:sz w:val="20"/>
                <w:szCs w:val="20"/>
                <w:lang w:val="ro-MD"/>
              </w:rPr>
            </w:pPr>
            <w:r w:rsidRPr="004C0446">
              <w:rPr>
                <w:rFonts w:ascii="Times New Roman" w:eastAsia="Calibri" w:hAnsi="Times New Roman" w:cs="Times New Roman"/>
                <w:b/>
                <w:bCs/>
                <w:sz w:val="20"/>
                <w:szCs w:val="20"/>
                <w:lang w:val="ro-MD" w:eastAsia="nl-NL"/>
              </w:rPr>
              <w:t xml:space="preserve">Cheltuieli bugetare în anul </w:t>
            </w:r>
            <w:r w:rsidR="00386C01" w:rsidRPr="004C0446">
              <w:rPr>
                <w:rFonts w:ascii="Times New Roman" w:eastAsia="Calibri" w:hAnsi="Times New Roman" w:cs="Times New Roman"/>
                <w:b/>
                <w:bCs/>
                <w:sz w:val="20"/>
                <w:szCs w:val="20"/>
                <w:lang w:val="ro-MD" w:eastAsia="nl-NL"/>
              </w:rPr>
              <w:t>2016</w:t>
            </w:r>
            <w:r w:rsidRPr="004C0446">
              <w:rPr>
                <w:rFonts w:ascii="Times New Roman" w:eastAsia="Calibri" w:hAnsi="Times New Roman" w:cs="Times New Roman"/>
                <w:b/>
                <w:bCs/>
                <w:sz w:val="20"/>
                <w:szCs w:val="20"/>
                <w:lang w:val="ro-MD" w:eastAsia="nl-NL"/>
              </w:rPr>
              <w:t>, mii lei</w:t>
            </w:r>
          </w:p>
        </w:tc>
        <w:tc>
          <w:tcPr>
            <w:tcW w:w="4539" w:type="dxa"/>
            <w:gridSpan w:val="3"/>
            <w:shd w:val="clear" w:color="auto" w:fill="DBE5F1"/>
            <w:vAlign w:val="center"/>
          </w:tcPr>
          <w:p w:rsidR="00347737" w:rsidRPr="004C0446" w:rsidRDefault="00347737" w:rsidP="0013401D">
            <w:pPr>
              <w:spacing w:after="0" w:line="240" w:lineRule="auto"/>
              <w:jc w:val="center"/>
              <w:rPr>
                <w:rFonts w:ascii="Times New Roman" w:eastAsia="Calibri" w:hAnsi="Times New Roman" w:cs="Times New Roman"/>
                <w:b/>
                <w:sz w:val="20"/>
                <w:szCs w:val="20"/>
                <w:lang w:val="ro-MD"/>
              </w:rPr>
            </w:pPr>
            <w:r w:rsidRPr="004C0446">
              <w:rPr>
                <w:rFonts w:ascii="Times New Roman" w:eastAsia="Calibri" w:hAnsi="Times New Roman" w:cs="Times New Roman"/>
                <w:b/>
                <w:bCs/>
                <w:sz w:val="20"/>
                <w:szCs w:val="20"/>
                <w:lang w:val="ro-MD" w:eastAsia="nl-NL"/>
              </w:rPr>
              <w:t>Rezultate/ indicatori de monitorizare pentru anul precedent</w:t>
            </w:r>
          </w:p>
        </w:tc>
        <w:tc>
          <w:tcPr>
            <w:tcW w:w="1231" w:type="dxa"/>
            <w:gridSpan w:val="2"/>
            <w:vMerge w:val="restart"/>
            <w:shd w:val="clear" w:color="auto" w:fill="DBE5F1"/>
            <w:vAlign w:val="center"/>
          </w:tcPr>
          <w:p w:rsidR="00347737" w:rsidRPr="004C0446" w:rsidRDefault="00347737" w:rsidP="00C67AF7">
            <w:pPr>
              <w:spacing w:after="0" w:line="240" w:lineRule="auto"/>
              <w:jc w:val="center"/>
              <w:rPr>
                <w:rFonts w:ascii="Times New Roman" w:eastAsia="Calibri" w:hAnsi="Times New Roman" w:cs="Times New Roman"/>
                <w:b/>
                <w:bCs/>
                <w:sz w:val="20"/>
                <w:szCs w:val="20"/>
                <w:lang w:val="ro-MD" w:eastAsia="nl-NL"/>
              </w:rPr>
            </w:pPr>
            <w:r w:rsidRPr="004C0446">
              <w:rPr>
                <w:rFonts w:ascii="Times New Roman" w:eastAsia="Calibri" w:hAnsi="Times New Roman" w:cs="Times New Roman"/>
                <w:b/>
                <w:bCs/>
                <w:sz w:val="20"/>
                <w:szCs w:val="20"/>
                <w:lang w:val="ro-MD" w:eastAsia="nl-NL"/>
              </w:rPr>
              <w:t>Acţiuni pe viitor</w:t>
            </w:r>
          </w:p>
        </w:tc>
      </w:tr>
      <w:tr w:rsidR="00347737" w:rsidRPr="004C0446" w:rsidTr="00FB650E">
        <w:tc>
          <w:tcPr>
            <w:tcW w:w="1802" w:type="dxa"/>
            <w:gridSpan w:val="2"/>
            <w:vMerge/>
            <w:shd w:val="clear" w:color="auto" w:fill="DBE5F1"/>
            <w:vAlign w:val="center"/>
          </w:tcPr>
          <w:p w:rsidR="00347737" w:rsidRPr="004C0446" w:rsidRDefault="00347737" w:rsidP="0013401D">
            <w:pPr>
              <w:spacing w:after="0" w:line="240" w:lineRule="auto"/>
              <w:jc w:val="center"/>
              <w:rPr>
                <w:rFonts w:ascii="Times New Roman" w:eastAsia="Calibri" w:hAnsi="Times New Roman" w:cs="Times New Roman"/>
                <w:b/>
                <w:sz w:val="20"/>
                <w:szCs w:val="20"/>
                <w:lang w:val="ro-MD"/>
              </w:rPr>
            </w:pPr>
          </w:p>
        </w:tc>
        <w:tc>
          <w:tcPr>
            <w:tcW w:w="2411" w:type="dxa"/>
            <w:shd w:val="clear" w:color="auto" w:fill="DBE5F1"/>
            <w:vAlign w:val="center"/>
          </w:tcPr>
          <w:p w:rsidR="00347737" w:rsidRPr="004C0446" w:rsidRDefault="00347737" w:rsidP="0013401D">
            <w:pPr>
              <w:spacing w:after="0" w:line="240" w:lineRule="auto"/>
              <w:jc w:val="center"/>
              <w:rPr>
                <w:rFonts w:ascii="Times New Roman" w:eastAsia="Calibri" w:hAnsi="Times New Roman" w:cs="Times New Roman"/>
                <w:b/>
                <w:bCs/>
                <w:sz w:val="20"/>
                <w:szCs w:val="20"/>
                <w:lang w:val="ro-MD" w:eastAsia="nl-NL"/>
              </w:rPr>
            </w:pPr>
            <w:r w:rsidRPr="004C0446">
              <w:rPr>
                <w:rFonts w:ascii="Times New Roman" w:eastAsia="Calibri" w:hAnsi="Times New Roman" w:cs="Times New Roman"/>
                <w:b/>
                <w:bCs/>
                <w:sz w:val="20"/>
                <w:szCs w:val="20"/>
                <w:lang w:val="ro-MD" w:eastAsia="nl-NL"/>
              </w:rPr>
              <w:t>Planificat</w:t>
            </w:r>
          </w:p>
        </w:tc>
        <w:tc>
          <w:tcPr>
            <w:tcW w:w="3639" w:type="dxa"/>
            <w:gridSpan w:val="2"/>
            <w:shd w:val="clear" w:color="auto" w:fill="DBE5F1"/>
            <w:vAlign w:val="center"/>
          </w:tcPr>
          <w:p w:rsidR="00347737" w:rsidRPr="004C0446" w:rsidRDefault="00347737" w:rsidP="0013401D">
            <w:pPr>
              <w:spacing w:after="0" w:line="240" w:lineRule="auto"/>
              <w:jc w:val="center"/>
              <w:rPr>
                <w:rFonts w:ascii="Times New Roman" w:eastAsia="Calibri" w:hAnsi="Times New Roman" w:cs="Times New Roman"/>
                <w:b/>
                <w:bCs/>
                <w:sz w:val="20"/>
                <w:szCs w:val="20"/>
                <w:lang w:val="ro-MD" w:eastAsia="nl-NL"/>
              </w:rPr>
            </w:pPr>
            <w:r w:rsidRPr="004C0446">
              <w:rPr>
                <w:rFonts w:ascii="Times New Roman" w:eastAsia="Calibri" w:hAnsi="Times New Roman" w:cs="Times New Roman"/>
                <w:b/>
                <w:bCs/>
                <w:sz w:val="20"/>
                <w:szCs w:val="20"/>
                <w:lang w:val="ro-MD" w:eastAsia="nl-NL"/>
              </w:rPr>
              <w:t>Realizat</w:t>
            </w:r>
          </w:p>
        </w:tc>
        <w:tc>
          <w:tcPr>
            <w:tcW w:w="1135" w:type="dxa"/>
            <w:shd w:val="clear" w:color="auto" w:fill="DBE5F1"/>
            <w:vAlign w:val="center"/>
          </w:tcPr>
          <w:p w:rsidR="00347737" w:rsidRPr="004C0446" w:rsidRDefault="00347737" w:rsidP="0013401D">
            <w:pPr>
              <w:spacing w:after="0" w:line="240" w:lineRule="auto"/>
              <w:jc w:val="center"/>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Planificat</w:t>
            </w:r>
          </w:p>
        </w:tc>
        <w:tc>
          <w:tcPr>
            <w:tcW w:w="993" w:type="dxa"/>
            <w:shd w:val="clear" w:color="auto" w:fill="DBE5F1"/>
            <w:vAlign w:val="center"/>
          </w:tcPr>
          <w:p w:rsidR="00347737" w:rsidRPr="004C0446" w:rsidRDefault="00347737" w:rsidP="0013401D">
            <w:pPr>
              <w:spacing w:after="0" w:line="240" w:lineRule="auto"/>
              <w:jc w:val="center"/>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 xml:space="preserve">Executat </w:t>
            </w:r>
          </w:p>
        </w:tc>
        <w:tc>
          <w:tcPr>
            <w:tcW w:w="1561" w:type="dxa"/>
            <w:shd w:val="clear" w:color="auto" w:fill="DBE5F1"/>
            <w:vAlign w:val="center"/>
          </w:tcPr>
          <w:p w:rsidR="00347737" w:rsidRPr="004C0446" w:rsidRDefault="00347737" w:rsidP="0013401D">
            <w:pPr>
              <w:spacing w:after="0" w:line="240" w:lineRule="auto"/>
              <w:jc w:val="center"/>
              <w:rPr>
                <w:rFonts w:ascii="Times New Roman" w:eastAsia="Calibri" w:hAnsi="Times New Roman" w:cs="Times New Roman"/>
                <w:b/>
                <w:bCs/>
                <w:sz w:val="20"/>
                <w:szCs w:val="20"/>
                <w:lang w:val="ro-MD" w:eastAsia="nl-NL"/>
              </w:rPr>
            </w:pPr>
            <w:r w:rsidRPr="004C0446">
              <w:rPr>
                <w:rFonts w:ascii="Times New Roman" w:eastAsia="Calibri" w:hAnsi="Times New Roman" w:cs="Times New Roman"/>
                <w:b/>
                <w:bCs/>
                <w:sz w:val="20"/>
                <w:szCs w:val="20"/>
                <w:lang w:val="ro-MD" w:eastAsia="nl-NL"/>
              </w:rPr>
              <w:t>Planificat</w:t>
            </w:r>
          </w:p>
        </w:tc>
        <w:tc>
          <w:tcPr>
            <w:tcW w:w="1560" w:type="dxa"/>
            <w:shd w:val="clear" w:color="auto" w:fill="DBE5F1"/>
            <w:vAlign w:val="center"/>
          </w:tcPr>
          <w:p w:rsidR="00347737" w:rsidRPr="004C0446" w:rsidRDefault="00347737" w:rsidP="0013401D">
            <w:pPr>
              <w:spacing w:after="0" w:line="240" w:lineRule="auto"/>
              <w:jc w:val="center"/>
              <w:rPr>
                <w:rFonts w:ascii="Times New Roman" w:eastAsia="Calibri" w:hAnsi="Times New Roman" w:cs="Times New Roman"/>
                <w:b/>
                <w:bCs/>
                <w:sz w:val="20"/>
                <w:szCs w:val="20"/>
                <w:lang w:val="ro-MD" w:eastAsia="nl-NL"/>
              </w:rPr>
            </w:pPr>
            <w:r w:rsidRPr="004C0446">
              <w:rPr>
                <w:rFonts w:ascii="Times New Roman" w:eastAsia="Calibri" w:hAnsi="Times New Roman" w:cs="Times New Roman"/>
                <w:b/>
                <w:bCs/>
                <w:sz w:val="20"/>
                <w:szCs w:val="20"/>
                <w:lang w:val="ro-MD" w:eastAsia="nl-NL"/>
              </w:rPr>
              <w:t>Realizat</w:t>
            </w:r>
          </w:p>
        </w:tc>
        <w:tc>
          <w:tcPr>
            <w:tcW w:w="1418" w:type="dxa"/>
            <w:shd w:val="clear" w:color="auto" w:fill="DBE5F1"/>
            <w:vAlign w:val="center"/>
          </w:tcPr>
          <w:p w:rsidR="00347737" w:rsidRPr="004C0446" w:rsidRDefault="00347737" w:rsidP="00FC10F6">
            <w:pPr>
              <w:spacing w:after="0" w:line="240" w:lineRule="auto"/>
              <w:jc w:val="center"/>
              <w:rPr>
                <w:rFonts w:ascii="Times New Roman" w:eastAsia="Calibri" w:hAnsi="Times New Roman" w:cs="Times New Roman"/>
                <w:b/>
                <w:bCs/>
                <w:sz w:val="20"/>
                <w:szCs w:val="20"/>
                <w:lang w:val="ro-MD" w:eastAsia="nl-NL"/>
              </w:rPr>
            </w:pPr>
            <w:r w:rsidRPr="004C0446">
              <w:rPr>
                <w:rFonts w:ascii="Times New Roman" w:eastAsia="Calibri" w:hAnsi="Times New Roman" w:cs="Times New Roman"/>
                <w:b/>
                <w:bCs/>
                <w:sz w:val="20"/>
                <w:szCs w:val="20"/>
                <w:lang w:val="ro-MD" w:eastAsia="nl-NL"/>
              </w:rPr>
              <w:t xml:space="preserve">Devieri </w:t>
            </w:r>
          </w:p>
        </w:tc>
        <w:tc>
          <w:tcPr>
            <w:tcW w:w="1231" w:type="dxa"/>
            <w:gridSpan w:val="2"/>
            <w:vMerge/>
            <w:shd w:val="clear" w:color="auto" w:fill="DBE5F1"/>
          </w:tcPr>
          <w:p w:rsidR="00347737" w:rsidRPr="004C0446" w:rsidRDefault="00347737" w:rsidP="0013401D">
            <w:pPr>
              <w:spacing w:after="0" w:line="240" w:lineRule="auto"/>
              <w:jc w:val="center"/>
              <w:rPr>
                <w:rFonts w:ascii="Times New Roman" w:eastAsia="Calibri" w:hAnsi="Times New Roman" w:cs="Times New Roman"/>
                <w:b/>
                <w:bCs/>
                <w:sz w:val="20"/>
                <w:szCs w:val="20"/>
                <w:lang w:val="ro-MD" w:eastAsia="nl-NL"/>
              </w:rPr>
            </w:pPr>
          </w:p>
        </w:tc>
      </w:tr>
      <w:tr w:rsidR="003545BC" w:rsidRPr="00E943D3" w:rsidTr="00FB650E">
        <w:trPr>
          <w:trHeight w:val="639"/>
        </w:trPr>
        <w:tc>
          <w:tcPr>
            <w:tcW w:w="15750" w:type="dxa"/>
            <w:gridSpan w:val="12"/>
            <w:shd w:val="clear" w:color="auto" w:fill="FDE9D9" w:themeFill="accent6" w:themeFillTint="33"/>
            <w:vAlign w:val="center"/>
          </w:tcPr>
          <w:p w:rsidR="003545BC" w:rsidRPr="004C0446" w:rsidRDefault="003545BC" w:rsidP="0013401D">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Programul 6800 ”Dezvoltarea reglementărilor tehnice naţionale”</w:t>
            </w:r>
          </w:p>
          <w:p w:rsidR="003545BC" w:rsidRPr="004C0446" w:rsidRDefault="003545BC" w:rsidP="0013401D">
            <w:pPr>
              <w:spacing w:after="0" w:line="240" w:lineRule="auto"/>
              <w:rPr>
                <w:rFonts w:ascii="Times New Roman" w:eastAsia="Calibri" w:hAnsi="Times New Roman" w:cs="Times New Roman"/>
                <w:i/>
                <w:sz w:val="20"/>
                <w:szCs w:val="20"/>
                <w:lang w:val="ro-MD"/>
              </w:rPr>
            </w:pPr>
            <w:r w:rsidRPr="004C0446">
              <w:rPr>
                <w:rFonts w:ascii="Times New Roman" w:eastAsia="Calibri" w:hAnsi="Times New Roman" w:cs="Times New Roman"/>
                <w:i/>
                <w:sz w:val="20"/>
                <w:szCs w:val="20"/>
                <w:lang w:val="ro-MD"/>
              </w:rPr>
              <w:t>Subprogramul 6802 ”Dezvoltarea sistemului naţional de standardizare”</w:t>
            </w:r>
          </w:p>
        </w:tc>
      </w:tr>
      <w:tr w:rsidR="006E05EB" w:rsidRPr="004C0446" w:rsidTr="00FB650E">
        <w:trPr>
          <w:trHeight w:val="640"/>
        </w:trPr>
        <w:tc>
          <w:tcPr>
            <w:tcW w:w="1802" w:type="dxa"/>
            <w:gridSpan w:val="2"/>
            <w:vMerge w:val="restart"/>
          </w:tcPr>
          <w:p w:rsidR="006E05EB" w:rsidRPr="004C0446" w:rsidRDefault="006E05EB" w:rsidP="000407C1">
            <w:pPr>
              <w:pStyle w:val="ListParagraph"/>
              <w:numPr>
                <w:ilvl w:val="0"/>
                <w:numId w:val="19"/>
              </w:numPr>
              <w:tabs>
                <w:tab w:val="left" w:pos="143"/>
              </w:tabs>
              <w:spacing w:after="40" w:line="240" w:lineRule="auto"/>
              <w:ind w:left="204" w:hanging="204"/>
              <w:contextualSpacing w:val="0"/>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Majorarea pînă în anul 2018 a ratei de preluare a standardelor europene pînă la 90% din numărul total al acestora;</w:t>
            </w:r>
          </w:p>
          <w:p w:rsidR="006E05EB" w:rsidRPr="004C0446" w:rsidRDefault="006E05EB" w:rsidP="000407C1">
            <w:pPr>
              <w:pStyle w:val="ListParagraph"/>
              <w:numPr>
                <w:ilvl w:val="0"/>
                <w:numId w:val="19"/>
              </w:numPr>
              <w:tabs>
                <w:tab w:val="left" w:pos="143"/>
              </w:tabs>
              <w:spacing w:after="40" w:line="240" w:lineRule="auto"/>
              <w:ind w:left="204" w:hanging="204"/>
              <w:contextualSpacing w:val="0"/>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Reducerea la minimum a numărului standardelor naţionale conflictuale cu standardele europene pe măsura adoptării acestora;</w:t>
            </w:r>
          </w:p>
          <w:p w:rsidR="006E05EB" w:rsidRPr="004C0446" w:rsidRDefault="006E05EB" w:rsidP="000407C1">
            <w:pPr>
              <w:pStyle w:val="ListParagraph"/>
              <w:numPr>
                <w:ilvl w:val="0"/>
                <w:numId w:val="19"/>
              </w:numPr>
              <w:tabs>
                <w:tab w:val="left" w:pos="143"/>
              </w:tabs>
              <w:spacing w:after="40" w:line="240" w:lineRule="auto"/>
              <w:ind w:left="204" w:hanging="204"/>
              <w:contextualSpacing w:val="0"/>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Menţinerea în stare actuală a corpului de standarde naţionale;</w:t>
            </w:r>
          </w:p>
          <w:p w:rsidR="006E05EB" w:rsidRPr="004C0446" w:rsidRDefault="006E05EB" w:rsidP="000407C1">
            <w:pPr>
              <w:pStyle w:val="ListParagraph"/>
              <w:numPr>
                <w:ilvl w:val="0"/>
                <w:numId w:val="19"/>
              </w:numPr>
              <w:tabs>
                <w:tab w:val="left" w:pos="143"/>
              </w:tabs>
              <w:spacing w:after="40" w:line="240" w:lineRule="auto"/>
              <w:ind w:left="204" w:hanging="204"/>
              <w:contextualSpacing w:val="0"/>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Sporirea gradului de conştientizare a beneficiilor standardizării şi ale aplicării  standardelor;</w:t>
            </w:r>
          </w:p>
          <w:p w:rsidR="006E05EB" w:rsidRPr="004C0446" w:rsidRDefault="006E05EB" w:rsidP="000407C1">
            <w:pPr>
              <w:pStyle w:val="ListParagraph"/>
              <w:numPr>
                <w:ilvl w:val="0"/>
                <w:numId w:val="19"/>
              </w:numPr>
              <w:tabs>
                <w:tab w:val="left" w:pos="143"/>
              </w:tabs>
              <w:spacing w:after="40" w:line="240" w:lineRule="auto"/>
              <w:ind w:left="204" w:hanging="204"/>
              <w:contextualSpacing w:val="0"/>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Eficientizarea participării Republicii Moldova la standardizarea </w:t>
            </w:r>
            <w:r w:rsidRPr="004C0446">
              <w:rPr>
                <w:rFonts w:ascii="Times New Roman" w:eastAsia="Calibri" w:hAnsi="Times New Roman" w:cs="Times New Roman"/>
                <w:sz w:val="20"/>
                <w:szCs w:val="20"/>
                <w:lang w:val="ro-MD"/>
              </w:rPr>
              <w:lastRenderedPageBreak/>
              <w:t>regională şi internaţională;</w:t>
            </w:r>
          </w:p>
          <w:p w:rsidR="006E05EB" w:rsidRPr="004C0446" w:rsidRDefault="006E05EB" w:rsidP="000407C1">
            <w:pPr>
              <w:pStyle w:val="ListParagraph"/>
              <w:numPr>
                <w:ilvl w:val="0"/>
                <w:numId w:val="19"/>
              </w:numPr>
              <w:tabs>
                <w:tab w:val="left" w:pos="143"/>
              </w:tabs>
              <w:spacing w:after="40" w:line="240" w:lineRule="auto"/>
              <w:ind w:left="204" w:hanging="204"/>
              <w:contextualSpacing w:val="0"/>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Consolidarea sistemului naţional de standardizare.</w:t>
            </w:r>
          </w:p>
          <w:p w:rsidR="006E05EB" w:rsidRPr="004C0446" w:rsidRDefault="006E05EB" w:rsidP="00547333">
            <w:pPr>
              <w:tabs>
                <w:tab w:val="left" w:pos="143"/>
              </w:tabs>
              <w:spacing w:after="40" w:line="240" w:lineRule="auto"/>
              <w:rPr>
                <w:rFonts w:ascii="Times New Roman" w:eastAsia="Calibri" w:hAnsi="Times New Roman" w:cs="Times New Roman"/>
                <w:sz w:val="20"/>
                <w:szCs w:val="20"/>
                <w:lang w:val="ro-MD"/>
              </w:rPr>
            </w:pPr>
          </w:p>
        </w:tc>
        <w:tc>
          <w:tcPr>
            <w:tcW w:w="2411" w:type="dxa"/>
            <w:vMerge w:val="restart"/>
          </w:tcPr>
          <w:p w:rsidR="006E05EB" w:rsidRPr="004C0446" w:rsidRDefault="006E05EB" w:rsidP="00547333">
            <w:pPr>
              <w:tabs>
                <w:tab w:val="left" w:pos="176"/>
              </w:tabs>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lastRenderedPageBreak/>
              <w:t>Adoptarea standardelor europene în calitate de standarde naţionale, inclusiv a standardelor europene relevante actelor normative st</w:t>
            </w:r>
            <w:r w:rsidR="005911BC">
              <w:rPr>
                <w:rFonts w:ascii="Times New Roman" w:eastAsia="Calibri" w:hAnsi="Times New Roman" w:cs="Times New Roman"/>
                <w:sz w:val="20"/>
                <w:szCs w:val="20"/>
                <w:lang w:val="ro-MD"/>
              </w:rPr>
              <w:t>abilite în Anexa nr.XVI a DCFTA.</w:t>
            </w:r>
          </w:p>
        </w:tc>
        <w:tc>
          <w:tcPr>
            <w:tcW w:w="3639" w:type="dxa"/>
            <w:gridSpan w:val="2"/>
            <w:vMerge w:val="restart"/>
          </w:tcPr>
          <w:p w:rsidR="006E05EB" w:rsidRPr="004C0446" w:rsidRDefault="006E05EB" w:rsidP="00547333">
            <w:pPr>
              <w:pStyle w:val="ListParagraph"/>
              <w:spacing w:after="0" w:line="240" w:lineRule="auto"/>
              <w:ind w:left="0"/>
              <w:rPr>
                <w:rFonts w:ascii="Times New Roman" w:eastAsia="Times New Roman" w:hAnsi="Times New Roman" w:cs="Times New Roman"/>
                <w:bCs/>
                <w:sz w:val="20"/>
                <w:szCs w:val="20"/>
                <w:lang w:val="ro-RO" w:eastAsia="ru-RU"/>
              </w:rPr>
            </w:pPr>
            <w:r w:rsidRPr="004C0446">
              <w:rPr>
                <w:rFonts w:ascii="Times New Roman" w:eastAsia="Times New Roman" w:hAnsi="Times New Roman" w:cs="Times New Roman"/>
                <w:bCs/>
                <w:sz w:val="20"/>
                <w:szCs w:val="20"/>
                <w:lang w:val="ro-RO" w:eastAsia="ru-RU"/>
              </w:rPr>
              <w:t>Pe parcursul anului 2016, Institutul de Standardizare din Moldova (ISM) a adoptat 5112 standarde moldovenești care preiau standarde europene, numărul total de standarde europene preluate în calitate de standarde moldovenești fiind de 14 544 de standarde din 24 900 standarde adoptate la nivel european.</w:t>
            </w:r>
          </w:p>
        </w:tc>
        <w:tc>
          <w:tcPr>
            <w:tcW w:w="1135" w:type="dxa"/>
            <w:vMerge w:val="restart"/>
          </w:tcPr>
          <w:p w:rsidR="006E05EB" w:rsidRPr="005911BC" w:rsidRDefault="006E05EB" w:rsidP="00547333">
            <w:pPr>
              <w:spacing w:after="0" w:line="240" w:lineRule="auto"/>
              <w:ind w:right="27"/>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3825,0</w:t>
            </w:r>
          </w:p>
        </w:tc>
        <w:tc>
          <w:tcPr>
            <w:tcW w:w="993" w:type="dxa"/>
            <w:vMerge w:val="restart"/>
          </w:tcPr>
          <w:p w:rsidR="006E05EB" w:rsidRPr="005911BC" w:rsidRDefault="006E05EB" w:rsidP="00547333">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3825,0</w:t>
            </w:r>
          </w:p>
        </w:tc>
        <w:tc>
          <w:tcPr>
            <w:tcW w:w="1561" w:type="dxa"/>
          </w:tcPr>
          <w:p w:rsidR="006E05EB" w:rsidRPr="004C0446" w:rsidRDefault="006E05EB" w:rsidP="0078782E">
            <w:pPr>
              <w:widowControl w:val="0"/>
              <w:tabs>
                <w:tab w:val="left" w:pos="396"/>
              </w:tabs>
              <w:spacing w:after="160" w:line="240" w:lineRule="auto"/>
              <w:rPr>
                <w:rFonts w:ascii="Times New Roman" w:eastAsia="Calibri" w:hAnsi="Times New Roman" w:cs="Times New Roman"/>
                <w:color w:val="000000"/>
                <w:sz w:val="20"/>
                <w:szCs w:val="20"/>
                <w:lang w:val="ro-RO" w:eastAsia="ro-RO"/>
              </w:rPr>
            </w:pPr>
            <w:r w:rsidRPr="004C0446">
              <w:rPr>
                <w:rFonts w:ascii="Times New Roman" w:eastAsia="Tahoma" w:hAnsi="Times New Roman" w:cs="Times New Roman"/>
                <w:color w:val="000000"/>
                <w:sz w:val="20"/>
                <w:szCs w:val="20"/>
                <w:lang w:val="ro-RO" w:eastAsia="ro-RO"/>
              </w:rPr>
              <w:t xml:space="preserve">Rata de preluare a standardelor europene </w:t>
            </w:r>
            <w:r w:rsidRPr="004C0446">
              <w:rPr>
                <w:rFonts w:ascii="Times New Roman" w:eastAsia="Calibri" w:hAnsi="Times New Roman" w:cs="Times New Roman"/>
                <w:color w:val="000000"/>
                <w:sz w:val="20"/>
                <w:szCs w:val="20"/>
                <w:lang w:val="ro-RO" w:eastAsia="ro-RO"/>
              </w:rPr>
              <w:t xml:space="preserve">- </w:t>
            </w:r>
            <w:r w:rsidRPr="004C0446">
              <w:rPr>
                <w:rFonts w:ascii="Times New Roman" w:eastAsia="Tahoma" w:hAnsi="Times New Roman" w:cs="Times New Roman"/>
                <w:color w:val="000000"/>
                <w:sz w:val="20"/>
                <w:szCs w:val="20"/>
                <w:lang w:val="ro-RO" w:eastAsia="ro-RO"/>
              </w:rPr>
              <w:t xml:space="preserve">55% </w:t>
            </w:r>
          </w:p>
        </w:tc>
        <w:tc>
          <w:tcPr>
            <w:tcW w:w="1560" w:type="dxa"/>
          </w:tcPr>
          <w:p w:rsidR="006E05EB" w:rsidRPr="004C0446" w:rsidRDefault="006E05EB" w:rsidP="00547333">
            <w:pPr>
              <w:spacing w:after="0" w:line="240" w:lineRule="auto"/>
              <w:ind w:right="-108"/>
              <w:rPr>
                <w:rFonts w:ascii="Times New Roman" w:eastAsia="Calibri" w:hAnsi="Times New Roman" w:cs="Times New Roman"/>
                <w:bCs/>
                <w:sz w:val="20"/>
                <w:szCs w:val="20"/>
                <w:lang w:val="ro-MD" w:eastAsia="nl-NL"/>
              </w:rPr>
            </w:pPr>
            <w:r w:rsidRPr="004C0446">
              <w:rPr>
                <w:rFonts w:ascii="Times New Roman" w:eastAsia="Calibri" w:hAnsi="Times New Roman" w:cs="Times New Roman"/>
                <w:bCs/>
                <w:sz w:val="20"/>
                <w:szCs w:val="20"/>
                <w:lang w:val="ro-MD" w:eastAsia="nl-NL"/>
              </w:rPr>
              <w:t>58,4%.</w:t>
            </w:r>
          </w:p>
          <w:p w:rsidR="006E05EB" w:rsidRPr="004C0446" w:rsidRDefault="006E05EB" w:rsidP="00547333">
            <w:pPr>
              <w:spacing w:after="0" w:line="240" w:lineRule="auto"/>
              <w:rPr>
                <w:rFonts w:ascii="Times New Roman" w:eastAsia="Calibri" w:hAnsi="Times New Roman" w:cs="Times New Roman"/>
                <w:bCs/>
                <w:sz w:val="20"/>
                <w:szCs w:val="20"/>
                <w:lang w:val="ro-MD" w:eastAsia="nl-NL"/>
              </w:rPr>
            </w:pPr>
          </w:p>
          <w:p w:rsidR="006E05EB" w:rsidRPr="004C0446" w:rsidRDefault="006E05EB" w:rsidP="00547333">
            <w:pPr>
              <w:spacing w:after="0" w:line="240" w:lineRule="auto"/>
              <w:rPr>
                <w:rFonts w:ascii="Times New Roman" w:hAnsi="Times New Roman" w:cs="Times New Roman"/>
                <w:lang w:val="ro-MD"/>
              </w:rPr>
            </w:pPr>
          </w:p>
        </w:tc>
        <w:tc>
          <w:tcPr>
            <w:tcW w:w="1434" w:type="dxa"/>
            <w:gridSpan w:val="2"/>
          </w:tcPr>
          <w:p w:rsidR="006E05EB" w:rsidRPr="004C0446" w:rsidRDefault="006E05EB" w:rsidP="00547333">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+3,4 p.p</w:t>
            </w:r>
          </w:p>
        </w:tc>
        <w:tc>
          <w:tcPr>
            <w:tcW w:w="1215" w:type="dxa"/>
            <w:vMerge w:val="restart"/>
          </w:tcPr>
          <w:p w:rsidR="006E05EB" w:rsidRPr="004C0446" w:rsidRDefault="006E05EB" w:rsidP="00547333">
            <w:pPr>
              <w:spacing w:after="0" w:line="240" w:lineRule="auto"/>
              <w:rPr>
                <w:rFonts w:ascii="Times New Roman" w:eastAsia="Calibri" w:hAnsi="Times New Roman" w:cs="Times New Roman"/>
                <w:sz w:val="20"/>
                <w:szCs w:val="20"/>
                <w:lang w:val="ro-MD"/>
              </w:rPr>
            </w:pPr>
          </w:p>
        </w:tc>
      </w:tr>
      <w:tr w:rsidR="006E05EB" w:rsidRPr="004C0446" w:rsidTr="00FB650E">
        <w:trPr>
          <w:trHeight w:val="1043"/>
        </w:trPr>
        <w:tc>
          <w:tcPr>
            <w:tcW w:w="1802" w:type="dxa"/>
            <w:gridSpan w:val="2"/>
            <w:vMerge/>
          </w:tcPr>
          <w:p w:rsidR="006E05EB" w:rsidRPr="004C0446" w:rsidRDefault="006E05EB" w:rsidP="008B0489">
            <w:pPr>
              <w:numPr>
                <w:ilvl w:val="0"/>
                <w:numId w:val="3"/>
              </w:numPr>
              <w:tabs>
                <w:tab w:val="clear" w:pos="360"/>
                <w:tab w:val="num" w:pos="142"/>
              </w:tabs>
              <w:spacing w:after="0" w:line="240" w:lineRule="auto"/>
              <w:ind w:left="142" w:right="-108" w:firstLine="0"/>
              <w:rPr>
                <w:rFonts w:ascii="Times New Roman" w:eastAsia="Calibri" w:hAnsi="Times New Roman" w:cs="Times New Roman"/>
                <w:bCs/>
                <w:color w:val="000000"/>
                <w:sz w:val="20"/>
                <w:szCs w:val="20"/>
                <w:lang w:val="ro-MD"/>
              </w:rPr>
            </w:pPr>
          </w:p>
        </w:tc>
        <w:tc>
          <w:tcPr>
            <w:tcW w:w="2411" w:type="dxa"/>
            <w:vMerge/>
          </w:tcPr>
          <w:p w:rsidR="006E05EB" w:rsidRPr="004C0446" w:rsidRDefault="006E05EB" w:rsidP="0013401D">
            <w:pPr>
              <w:numPr>
                <w:ilvl w:val="1"/>
                <w:numId w:val="1"/>
              </w:numPr>
              <w:spacing w:after="0" w:line="240" w:lineRule="auto"/>
              <w:ind w:left="169" w:hanging="169"/>
              <w:jc w:val="both"/>
              <w:rPr>
                <w:rFonts w:ascii="Times New Roman" w:eastAsia="Calibri" w:hAnsi="Times New Roman" w:cs="Times New Roman"/>
                <w:color w:val="000000"/>
                <w:sz w:val="20"/>
                <w:szCs w:val="20"/>
                <w:lang w:val="ro-MD"/>
              </w:rPr>
            </w:pPr>
          </w:p>
        </w:tc>
        <w:tc>
          <w:tcPr>
            <w:tcW w:w="3639" w:type="dxa"/>
            <w:gridSpan w:val="2"/>
            <w:vMerge/>
          </w:tcPr>
          <w:p w:rsidR="006E05EB" w:rsidRPr="004C0446" w:rsidRDefault="006E05EB" w:rsidP="008B0489">
            <w:pPr>
              <w:pStyle w:val="ListParagraph"/>
              <w:numPr>
                <w:ilvl w:val="0"/>
                <w:numId w:val="3"/>
              </w:numPr>
              <w:tabs>
                <w:tab w:val="clear" w:pos="360"/>
                <w:tab w:val="num" w:pos="175"/>
              </w:tabs>
              <w:spacing w:after="0" w:line="240" w:lineRule="auto"/>
              <w:ind w:left="175" w:hanging="142"/>
              <w:jc w:val="both"/>
              <w:rPr>
                <w:rFonts w:ascii="Times New Roman" w:eastAsia="Times New Roman" w:hAnsi="Times New Roman" w:cs="Times New Roman"/>
                <w:sz w:val="20"/>
                <w:szCs w:val="20"/>
                <w:lang w:val="en-US" w:eastAsia="ru-RU"/>
              </w:rPr>
            </w:pPr>
          </w:p>
        </w:tc>
        <w:tc>
          <w:tcPr>
            <w:tcW w:w="1135" w:type="dxa"/>
            <w:vMerge/>
          </w:tcPr>
          <w:p w:rsidR="006E05EB" w:rsidRPr="004C0446" w:rsidRDefault="006E05EB" w:rsidP="0013401D">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6E05EB" w:rsidRPr="004C0446" w:rsidRDefault="006E05EB" w:rsidP="0013401D">
            <w:pPr>
              <w:spacing w:after="0" w:line="240" w:lineRule="auto"/>
              <w:jc w:val="center"/>
              <w:rPr>
                <w:rFonts w:ascii="Times New Roman" w:eastAsia="Calibri" w:hAnsi="Times New Roman" w:cs="Times New Roman"/>
                <w:bCs/>
                <w:sz w:val="20"/>
                <w:szCs w:val="20"/>
                <w:lang w:val="ro-MD" w:eastAsia="nl-NL"/>
              </w:rPr>
            </w:pPr>
          </w:p>
        </w:tc>
        <w:tc>
          <w:tcPr>
            <w:tcW w:w="1561" w:type="dxa"/>
          </w:tcPr>
          <w:p w:rsidR="006E05EB" w:rsidRPr="004C0446" w:rsidRDefault="006E05EB" w:rsidP="003F1069">
            <w:pPr>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4C0446">
              <w:rPr>
                <w:rFonts w:ascii="Times New Roman" w:eastAsia="Times New Roman" w:hAnsi="Times New Roman" w:cs="Times New Roman"/>
                <w:color w:val="000000"/>
                <w:sz w:val="20"/>
                <w:szCs w:val="20"/>
                <w:lang w:val="ro-RO"/>
              </w:rPr>
              <w:t xml:space="preserve">Rata de preluare a standardelor europene relevante Anexei nr. XVI/DCFTA- </w:t>
            </w:r>
          </w:p>
          <w:p w:rsidR="006E05EB" w:rsidRPr="004C0446" w:rsidRDefault="006E05EB" w:rsidP="00154861">
            <w:pPr>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4C0446">
              <w:rPr>
                <w:rFonts w:ascii="Times New Roman" w:eastAsia="Times New Roman" w:hAnsi="Times New Roman" w:cs="Times New Roman"/>
                <w:color w:val="000000"/>
                <w:sz w:val="20"/>
                <w:szCs w:val="20"/>
                <w:lang w:val="ro-RO"/>
              </w:rPr>
              <w:t xml:space="preserve">75% </w:t>
            </w:r>
          </w:p>
        </w:tc>
        <w:tc>
          <w:tcPr>
            <w:tcW w:w="1560" w:type="dxa"/>
          </w:tcPr>
          <w:p w:rsidR="006E05EB" w:rsidRPr="004C0446" w:rsidRDefault="006E05EB" w:rsidP="003F1069">
            <w:pPr>
              <w:spacing w:after="0" w:line="240" w:lineRule="auto"/>
              <w:ind w:right="-108"/>
              <w:rPr>
                <w:rFonts w:ascii="Times New Roman" w:hAnsi="Times New Roman" w:cs="Times New Roman"/>
                <w:lang w:val="en-US"/>
              </w:rPr>
            </w:pPr>
            <w:r w:rsidRPr="004C0446">
              <w:rPr>
                <w:rFonts w:ascii="Times New Roman" w:eastAsia="Calibri" w:hAnsi="Times New Roman" w:cs="Times New Roman"/>
                <w:bCs/>
                <w:sz w:val="20"/>
                <w:szCs w:val="20"/>
                <w:lang w:val="ro-MD" w:eastAsia="nl-NL"/>
              </w:rPr>
              <w:t>100%</w:t>
            </w:r>
          </w:p>
        </w:tc>
        <w:tc>
          <w:tcPr>
            <w:tcW w:w="1434" w:type="dxa"/>
            <w:gridSpan w:val="2"/>
          </w:tcPr>
          <w:p w:rsidR="006E05EB" w:rsidRPr="004C0446" w:rsidRDefault="006E05EB" w:rsidP="008A4BCB">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+25 p.p</w:t>
            </w:r>
          </w:p>
        </w:tc>
        <w:tc>
          <w:tcPr>
            <w:tcW w:w="1215" w:type="dxa"/>
            <w:vMerge/>
          </w:tcPr>
          <w:p w:rsidR="006E05EB" w:rsidRPr="004C0446" w:rsidRDefault="006E05EB" w:rsidP="0013401D">
            <w:pPr>
              <w:spacing w:after="0" w:line="240" w:lineRule="auto"/>
              <w:rPr>
                <w:rFonts w:ascii="Times New Roman" w:eastAsia="Calibri" w:hAnsi="Times New Roman" w:cs="Times New Roman"/>
                <w:sz w:val="20"/>
                <w:szCs w:val="20"/>
                <w:lang w:val="ro-MD"/>
              </w:rPr>
            </w:pPr>
          </w:p>
        </w:tc>
      </w:tr>
      <w:tr w:rsidR="006E05EB" w:rsidRPr="004C0446" w:rsidTr="00FB650E">
        <w:trPr>
          <w:trHeight w:val="914"/>
        </w:trPr>
        <w:tc>
          <w:tcPr>
            <w:tcW w:w="1802" w:type="dxa"/>
            <w:gridSpan w:val="2"/>
            <w:vMerge/>
          </w:tcPr>
          <w:p w:rsidR="006E05EB" w:rsidRPr="004C0446" w:rsidRDefault="006E05EB" w:rsidP="0013401D">
            <w:pPr>
              <w:spacing w:after="0" w:line="240" w:lineRule="auto"/>
              <w:rPr>
                <w:rFonts w:ascii="Times New Roman" w:eastAsia="Calibri" w:hAnsi="Times New Roman" w:cs="Times New Roman"/>
                <w:sz w:val="20"/>
                <w:szCs w:val="20"/>
                <w:lang w:val="ro-MD"/>
              </w:rPr>
            </w:pPr>
          </w:p>
        </w:tc>
        <w:tc>
          <w:tcPr>
            <w:tcW w:w="2411" w:type="dxa"/>
            <w:vMerge w:val="restart"/>
          </w:tcPr>
          <w:p w:rsidR="006E05EB" w:rsidRPr="004C0446" w:rsidRDefault="006E05EB" w:rsidP="00547333">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Anularea standardelor naţionale conflictuale cu standardele europene, pe măsura adoptării acestora, precum și a </w:t>
            </w:r>
            <w:r w:rsidR="00A95A3C">
              <w:rPr>
                <w:rFonts w:ascii="Times New Roman" w:eastAsia="Calibri" w:hAnsi="Times New Roman" w:cs="Times New Roman"/>
                <w:sz w:val="20"/>
                <w:szCs w:val="20"/>
                <w:lang w:val="ro-MD"/>
              </w:rPr>
              <w:t>standardelor naţionale depășite.</w:t>
            </w:r>
          </w:p>
          <w:p w:rsidR="006E05EB" w:rsidRPr="004C0446" w:rsidRDefault="006E05EB" w:rsidP="009924EA">
            <w:pPr>
              <w:autoSpaceDE w:val="0"/>
              <w:autoSpaceDN w:val="0"/>
              <w:adjustRightInd w:val="0"/>
              <w:spacing w:after="0" w:line="240" w:lineRule="auto"/>
              <w:jc w:val="both"/>
              <w:rPr>
                <w:rFonts w:ascii="Times New Roman" w:eastAsia="Calibri" w:hAnsi="Times New Roman" w:cs="Times New Roman"/>
                <w:i/>
                <w:color w:val="000000"/>
                <w:sz w:val="20"/>
                <w:szCs w:val="20"/>
                <w:lang w:val="ro-MD"/>
              </w:rPr>
            </w:pPr>
          </w:p>
        </w:tc>
        <w:tc>
          <w:tcPr>
            <w:tcW w:w="3639" w:type="dxa"/>
            <w:gridSpan w:val="2"/>
            <w:vMerge w:val="restart"/>
          </w:tcPr>
          <w:p w:rsidR="006E05EB" w:rsidRPr="004C0446" w:rsidRDefault="006E05EB" w:rsidP="00547333">
            <w:pPr>
              <w:pStyle w:val="ListParagraph"/>
              <w:spacing w:after="0" w:line="240" w:lineRule="auto"/>
              <w:ind w:left="0"/>
              <w:rPr>
                <w:rFonts w:ascii="Times New Roman" w:eastAsia="Times New Roman" w:hAnsi="Times New Roman" w:cs="Times New Roman"/>
                <w:sz w:val="20"/>
                <w:szCs w:val="20"/>
                <w:lang w:val="ro-MD" w:eastAsia="ru-RU"/>
              </w:rPr>
            </w:pPr>
            <w:r w:rsidRPr="004C0446">
              <w:rPr>
                <w:rFonts w:ascii="Times New Roman" w:eastAsia="Calibri" w:hAnsi="Times New Roman" w:cs="Times New Roman"/>
                <w:sz w:val="20"/>
                <w:szCs w:val="20"/>
                <w:lang w:val="ro-MD"/>
              </w:rPr>
              <w:t>În anul 2016 ISM a identificat și anulat 2200 standarde conflictuale cu standardele europene adoptate ca naționale și 3322 standarde depășite tehnologic.</w:t>
            </w:r>
          </w:p>
        </w:tc>
        <w:tc>
          <w:tcPr>
            <w:tcW w:w="1135" w:type="dxa"/>
            <w:vMerge w:val="restart"/>
          </w:tcPr>
          <w:p w:rsidR="006E05EB" w:rsidRPr="005911BC" w:rsidRDefault="006E05EB" w:rsidP="007643FC">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200,0</w:t>
            </w:r>
          </w:p>
        </w:tc>
        <w:tc>
          <w:tcPr>
            <w:tcW w:w="993" w:type="dxa"/>
            <w:vMerge w:val="restart"/>
          </w:tcPr>
          <w:p w:rsidR="006E05EB" w:rsidRPr="005911BC" w:rsidRDefault="006E05EB" w:rsidP="007643FC">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200,0</w:t>
            </w:r>
          </w:p>
        </w:tc>
        <w:tc>
          <w:tcPr>
            <w:tcW w:w="1561" w:type="dxa"/>
          </w:tcPr>
          <w:p w:rsidR="006E05EB" w:rsidRPr="004C0446" w:rsidRDefault="006E05EB" w:rsidP="00A72157">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Numărul de standarde naţionale conflictuale anulate-1000 </w:t>
            </w:r>
          </w:p>
        </w:tc>
        <w:tc>
          <w:tcPr>
            <w:tcW w:w="1560" w:type="dxa"/>
          </w:tcPr>
          <w:p w:rsidR="006E05EB" w:rsidRPr="004C0446" w:rsidRDefault="006E05EB" w:rsidP="008A4BCB">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2200</w:t>
            </w:r>
          </w:p>
          <w:p w:rsidR="006E05EB" w:rsidRPr="004C0446" w:rsidRDefault="006E05EB" w:rsidP="008A4BCB">
            <w:pPr>
              <w:spacing w:after="0" w:line="240" w:lineRule="auto"/>
              <w:rPr>
                <w:rFonts w:ascii="Times New Roman" w:eastAsia="Calibri" w:hAnsi="Times New Roman" w:cs="Times New Roman"/>
                <w:sz w:val="20"/>
                <w:szCs w:val="20"/>
                <w:lang w:val="ro-MD"/>
              </w:rPr>
            </w:pPr>
          </w:p>
          <w:p w:rsidR="006E05EB" w:rsidRPr="004C0446" w:rsidRDefault="006E05EB" w:rsidP="008A4BCB">
            <w:pPr>
              <w:spacing w:after="0" w:line="240" w:lineRule="auto"/>
              <w:rPr>
                <w:rFonts w:ascii="Times New Roman" w:eastAsia="Calibri" w:hAnsi="Times New Roman" w:cs="Times New Roman"/>
                <w:sz w:val="20"/>
                <w:szCs w:val="20"/>
                <w:lang w:val="ro-MD"/>
              </w:rPr>
            </w:pPr>
          </w:p>
          <w:p w:rsidR="006E05EB" w:rsidRPr="004C0446" w:rsidRDefault="006E05EB" w:rsidP="008A4BCB">
            <w:pPr>
              <w:spacing w:after="0" w:line="240" w:lineRule="auto"/>
              <w:rPr>
                <w:rFonts w:ascii="Times New Roman" w:eastAsia="Calibri" w:hAnsi="Times New Roman" w:cs="Times New Roman"/>
                <w:sz w:val="20"/>
                <w:szCs w:val="20"/>
                <w:lang w:val="ro-MD"/>
              </w:rPr>
            </w:pPr>
          </w:p>
          <w:p w:rsidR="006E05EB" w:rsidRPr="004C0446" w:rsidRDefault="006E05EB" w:rsidP="008A4BCB">
            <w:pPr>
              <w:spacing w:after="0" w:line="240" w:lineRule="auto"/>
              <w:rPr>
                <w:rFonts w:ascii="Times New Roman" w:eastAsia="Calibri" w:hAnsi="Times New Roman" w:cs="Times New Roman"/>
                <w:sz w:val="20"/>
                <w:szCs w:val="20"/>
                <w:lang w:val="ro-MD"/>
              </w:rPr>
            </w:pPr>
          </w:p>
        </w:tc>
        <w:tc>
          <w:tcPr>
            <w:tcW w:w="1434" w:type="dxa"/>
            <w:gridSpan w:val="2"/>
          </w:tcPr>
          <w:p w:rsidR="006E05EB" w:rsidRPr="004C0446" w:rsidRDefault="006E05EB" w:rsidP="008A4BCB">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+1200</w:t>
            </w:r>
          </w:p>
          <w:p w:rsidR="006E05EB" w:rsidRPr="004C0446" w:rsidRDefault="006E05EB" w:rsidP="008A4BCB">
            <w:pPr>
              <w:spacing w:after="0" w:line="240" w:lineRule="auto"/>
              <w:rPr>
                <w:rFonts w:ascii="Times New Roman" w:eastAsia="Calibri" w:hAnsi="Times New Roman" w:cs="Times New Roman"/>
                <w:sz w:val="20"/>
                <w:szCs w:val="20"/>
                <w:lang w:val="ro-MD"/>
              </w:rPr>
            </w:pPr>
          </w:p>
          <w:p w:rsidR="006E05EB" w:rsidRPr="004C0446" w:rsidRDefault="006E05EB" w:rsidP="008A4BCB">
            <w:pPr>
              <w:spacing w:after="0" w:line="240" w:lineRule="auto"/>
              <w:rPr>
                <w:rFonts w:ascii="Times New Roman" w:eastAsia="Calibri" w:hAnsi="Times New Roman" w:cs="Times New Roman"/>
                <w:sz w:val="20"/>
                <w:szCs w:val="20"/>
                <w:lang w:val="ro-MD"/>
              </w:rPr>
            </w:pPr>
          </w:p>
          <w:p w:rsidR="006E05EB" w:rsidRPr="004C0446" w:rsidRDefault="006E05EB" w:rsidP="008A4BCB">
            <w:pPr>
              <w:spacing w:after="0" w:line="240" w:lineRule="auto"/>
              <w:rPr>
                <w:rFonts w:ascii="Times New Roman" w:eastAsia="Calibri" w:hAnsi="Times New Roman" w:cs="Times New Roman"/>
                <w:sz w:val="20"/>
                <w:szCs w:val="20"/>
                <w:lang w:val="ro-MD"/>
              </w:rPr>
            </w:pPr>
          </w:p>
          <w:p w:rsidR="006E05EB" w:rsidRPr="004C0446" w:rsidRDefault="006E05EB" w:rsidP="008A4BCB">
            <w:pPr>
              <w:spacing w:after="0" w:line="240" w:lineRule="auto"/>
              <w:rPr>
                <w:rFonts w:ascii="Times New Roman" w:eastAsia="Calibri" w:hAnsi="Times New Roman" w:cs="Times New Roman"/>
                <w:sz w:val="20"/>
                <w:szCs w:val="20"/>
                <w:lang w:val="ro-MD"/>
              </w:rPr>
            </w:pPr>
          </w:p>
        </w:tc>
        <w:tc>
          <w:tcPr>
            <w:tcW w:w="1215" w:type="dxa"/>
            <w:vMerge w:val="restart"/>
          </w:tcPr>
          <w:p w:rsidR="006E05EB" w:rsidRPr="004C0446" w:rsidRDefault="006E05EB" w:rsidP="0013401D">
            <w:pPr>
              <w:spacing w:after="0" w:line="240" w:lineRule="auto"/>
              <w:rPr>
                <w:rFonts w:ascii="Times New Roman" w:eastAsia="Calibri" w:hAnsi="Times New Roman" w:cs="Times New Roman"/>
                <w:sz w:val="20"/>
                <w:szCs w:val="20"/>
                <w:lang w:val="ro-MD"/>
              </w:rPr>
            </w:pPr>
          </w:p>
          <w:p w:rsidR="006E05EB" w:rsidRPr="004C0446" w:rsidRDefault="006E05EB" w:rsidP="0013401D">
            <w:pPr>
              <w:spacing w:after="0" w:line="240" w:lineRule="auto"/>
              <w:rPr>
                <w:rFonts w:ascii="Times New Roman" w:eastAsia="Calibri" w:hAnsi="Times New Roman" w:cs="Times New Roman"/>
                <w:sz w:val="20"/>
                <w:szCs w:val="20"/>
                <w:lang w:val="ro-MD"/>
              </w:rPr>
            </w:pPr>
          </w:p>
        </w:tc>
      </w:tr>
      <w:tr w:rsidR="006E05EB" w:rsidRPr="004C0446" w:rsidTr="00FB650E">
        <w:trPr>
          <w:trHeight w:val="913"/>
        </w:trPr>
        <w:tc>
          <w:tcPr>
            <w:tcW w:w="1802" w:type="dxa"/>
            <w:gridSpan w:val="2"/>
            <w:vMerge/>
          </w:tcPr>
          <w:p w:rsidR="006E05EB" w:rsidRPr="004C0446" w:rsidRDefault="006E05EB" w:rsidP="0013401D">
            <w:pPr>
              <w:spacing w:after="0" w:line="240" w:lineRule="auto"/>
              <w:rPr>
                <w:rFonts w:ascii="Times New Roman" w:eastAsia="Calibri" w:hAnsi="Times New Roman" w:cs="Times New Roman"/>
                <w:sz w:val="20"/>
                <w:szCs w:val="20"/>
                <w:lang w:val="ro-MD"/>
              </w:rPr>
            </w:pPr>
          </w:p>
        </w:tc>
        <w:tc>
          <w:tcPr>
            <w:tcW w:w="2411" w:type="dxa"/>
            <w:vMerge/>
          </w:tcPr>
          <w:p w:rsidR="006E05EB" w:rsidRPr="004C0446" w:rsidRDefault="006E05EB" w:rsidP="00547333">
            <w:pPr>
              <w:spacing w:after="0" w:line="240" w:lineRule="auto"/>
              <w:rPr>
                <w:rFonts w:ascii="Times New Roman" w:eastAsia="Calibri" w:hAnsi="Times New Roman" w:cs="Times New Roman"/>
                <w:sz w:val="20"/>
                <w:szCs w:val="20"/>
                <w:lang w:val="ro-MD"/>
              </w:rPr>
            </w:pPr>
          </w:p>
        </w:tc>
        <w:tc>
          <w:tcPr>
            <w:tcW w:w="3639" w:type="dxa"/>
            <w:gridSpan w:val="2"/>
            <w:vMerge/>
          </w:tcPr>
          <w:p w:rsidR="006E05EB" w:rsidRPr="004C0446" w:rsidRDefault="006E05EB" w:rsidP="00547333">
            <w:pPr>
              <w:pStyle w:val="ListParagraph"/>
              <w:spacing w:after="0" w:line="240" w:lineRule="auto"/>
              <w:ind w:left="0"/>
              <w:rPr>
                <w:rFonts w:ascii="Times New Roman" w:eastAsia="Calibri" w:hAnsi="Times New Roman" w:cs="Times New Roman"/>
                <w:sz w:val="20"/>
                <w:szCs w:val="20"/>
                <w:lang w:val="ro-MD"/>
              </w:rPr>
            </w:pPr>
          </w:p>
        </w:tc>
        <w:tc>
          <w:tcPr>
            <w:tcW w:w="1135" w:type="dxa"/>
            <w:vMerge/>
          </w:tcPr>
          <w:p w:rsidR="006E05EB" w:rsidRPr="004C0446" w:rsidRDefault="006E05EB" w:rsidP="007643FC">
            <w:pPr>
              <w:spacing w:after="0" w:line="240" w:lineRule="auto"/>
              <w:jc w:val="center"/>
              <w:rPr>
                <w:rFonts w:ascii="Times New Roman" w:eastAsia="Calibri" w:hAnsi="Times New Roman" w:cs="Times New Roman"/>
                <w:bCs/>
                <w:sz w:val="20"/>
                <w:szCs w:val="20"/>
                <w:lang w:val="ro-MD" w:eastAsia="nl-NL"/>
              </w:rPr>
            </w:pPr>
          </w:p>
        </w:tc>
        <w:tc>
          <w:tcPr>
            <w:tcW w:w="993" w:type="dxa"/>
            <w:vMerge/>
          </w:tcPr>
          <w:p w:rsidR="006E05EB" w:rsidRPr="004C0446" w:rsidRDefault="006E05EB" w:rsidP="007643FC">
            <w:pPr>
              <w:spacing w:after="0" w:line="240" w:lineRule="auto"/>
              <w:jc w:val="center"/>
              <w:rPr>
                <w:rFonts w:ascii="Times New Roman" w:eastAsia="Calibri" w:hAnsi="Times New Roman" w:cs="Times New Roman"/>
                <w:bCs/>
                <w:sz w:val="20"/>
                <w:szCs w:val="20"/>
                <w:lang w:val="ro-MD" w:eastAsia="nl-NL"/>
              </w:rPr>
            </w:pPr>
          </w:p>
        </w:tc>
        <w:tc>
          <w:tcPr>
            <w:tcW w:w="1561" w:type="dxa"/>
          </w:tcPr>
          <w:p w:rsidR="006E05EB" w:rsidRPr="004C0446" w:rsidRDefault="006E05EB" w:rsidP="00547333">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Numărul de standarde na</w:t>
            </w:r>
            <w:r w:rsidR="00A95A3C">
              <w:rPr>
                <w:rFonts w:ascii="Times New Roman" w:eastAsia="Calibri" w:hAnsi="Times New Roman" w:cs="Times New Roman"/>
                <w:sz w:val="20"/>
                <w:szCs w:val="20"/>
                <w:lang w:val="ro-MD"/>
              </w:rPr>
              <w:t>ţionale depășite anulate - 1500</w:t>
            </w:r>
          </w:p>
        </w:tc>
        <w:tc>
          <w:tcPr>
            <w:tcW w:w="1560" w:type="dxa"/>
          </w:tcPr>
          <w:p w:rsidR="006E05EB" w:rsidRPr="004C0446" w:rsidRDefault="006E05EB" w:rsidP="008A4BCB">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3322</w:t>
            </w:r>
          </w:p>
        </w:tc>
        <w:tc>
          <w:tcPr>
            <w:tcW w:w="1434" w:type="dxa"/>
            <w:gridSpan w:val="2"/>
          </w:tcPr>
          <w:p w:rsidR="006E05EB" w:rsidRPr="004C0446" w:rsidRDefault="006E05EB" w:rsidP="008A4BCB">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+1822</w:t>
            </w:r>
          </w:p>
        </w:tc>
        <w:tc>
          <w:tcPr>
            <w:tcW w:w="1215" w:type="dxa"/>
            <w:vMerge/>
          </w:tcPr>
          <w:p w:rsidR="006E05EB" w:rsidRPr="004C0446" w:rsidRDefault="006E05EB" w:rsidP="0013401D">
            <w:pPr>
              <w:spacing w:after="0" w:line="240" w:lineRule="auto"/>
              <w:rPr>
                <w:rFonts w:ascii="Times New Roman" w:eastAsia="Calibri" w:hAnsi="Times New Roman" w:cs="Times New Roman"/>
                <w:sz w:val="20"/>
                <w:szCs w:val="20"/>
                <w:lang w:val="ro-MD"/>
              </w:rPr>
            </w:pPr>
          </w:p>
        </w:tc>
      </w:tr>
      <w:tr w:rsidR="006E05EB" w:rsidRPr="004C0446" w:rsidTr="00FB650E">
        <w:tc>
          <w:tcPr>
            <w:tcW w:w="1802" w:type="dxa"/>
            <w:gridSpan w:val="2"/>
            <w:vMerge/>
          </w:tcPr>
          <w:p w:rsidR="006E05EB" w:rsidRPr="004C0446" w:rsidRDefault="006E05EB" w:rsidP="00547333">
            <w:pPr>
              <w:spacing w:after="0" w:line="240" w:lineRule="auto"/>
              <w:rPr>
                <w:rFonts w:ascii="Times New Roman" w:eastAsia="Calibri" w:hAnsi="Times New Roman" w:cs="Times New Roman"/>
                <w:sz w:val="20"/>
                <w:szCs w:val="20"/>
                <w:lang w:val="ro-MD"/>
              </w:rPr>
            </w:pPr>
          </w:p>
        </w:tc>
        <w:tc>
          <w:tcPr>
            <w:tcW w:w="2411" w:type="dxa"/>
          </w:tcPr>
          <w:p w:rsidR="006E05EB" w:rsidRPr="004C0446" w:rsidRDefault="006E05EB" w:rsidP="00547333">
            <w:pPr>
              <w:tabs>
                <w:tab w:val="left" w:pos="318"/>
              </w:tabs>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Participarea la lucrările comitetelor tehnice, la şedinţele de lucru ale organizaţiilor europene şi internaţionale de standardizare, inclusiv achitarea cotizaţiilor de membru:</w:t>
            </w:r>
          </w:p>
          <w:p w:rsidR="006E05EB" w:rsidRPr="004C0446" w:rsidRDefault="006E05EB" w:rsidP="00547333">
            <w:pPr>
              <w:pStyle w:val="ListParagraph"/>
              <w:numPr>
                <w:ilvl w:val="0"/>
                <w:numId w:val="7"/>
              </w:numPr>
              <w:tabs>
                <w:tab w:val="left" w:pos="34"/>
                <w:tab w:val="left" w:pos="318"/>
              </w:tabs>
              <w:spacing w:after="0" w:line="240" w:lineRule="auto"/>
              <w:ind w:left="34" w:firstLine="0"/>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Comisia Electrotehnică Internaţională (CEI);</w:t>
            </w:r>
          </w:p>
          <w:p w:rsidR="006E05EB" w:rsidRPr="004C0446" w:rsidRDefault="006E05EB" w:rsidP="00547333">
            <w:pPr>
              <w:pStyle w:val="ListParagraph"/>
              <w:numPr>
                <w:ilvl w:val="0"/>
                <w:numId w:val="7"/>
              </w:numPr>
              <w:tabs>
                <w:tab w:val="left" w:pos="34"/>
                <w:tab w:val="left" w:pos="318"/>
              </w:tabs>
              <w:spacing w:after="0" w:line="240" w:lineRule="auto"/>
              <w:ind w:left="34" w:firstLine="0"/>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Comitetul European pentru Standardizare în Electrotehnică (CENELEC);</w:t>
            </w:r>
          </w:p>
          <w:p w:rsidR="006E05EB" w:rsidRPr="004C0446" w:rsidRDefault="006E05EB" w:rsidP="00547333">
            <w:pPr>
              <w:pStyle w:val="ListParagraph"/>
              <w:numPr>
                <w:ilvl w:val="0"/>
                <w:numId w:val="7"/>
              </w:numPr>
              <w:tabs>
                <w:tab w:val="left" w:pos="34"/>
                <w:tab w:val="left" w:pos="318"/>
              </w:tabs>
              <w:spacing w:after="0" w:line="240" w:lineRule="auto"/>
              <w:ind w:left="34" w:firstLine="0"/>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lastRenderedPageBreak/>
              <w:t>Institutul European de Standardizare în Telecomunicaţii (ETSI).</w:t>
            </w:r>
          </w:p>
        </w:tc>
        <w:tc>
          <w:tcPr>
            <w:tcW w:w="3639" w:type="dxa"/>
            <w:gridSpan w:val="2"/>
          </w:tcPr>
          <w:p w:rsidR="006E05EB" w:rsidRPr="004C0446" w:rsidRDefault="006E05EB" w:rsidP="00A72157">
            <w:pPr>
              <w:pStyle w:val="ListParagraph"/>
              <w:spacing w:after="40" w:line="240" w:lineRule="auto"/>
              <w:ind w:left="34"/>
              <w:contextualSpacing w:val="0"/>
              <w:rPr>
                <w:rFonts w:ascii="Times New Roman" w:eastAsia="Times New Roman" w:hAnsi="Times New Roman" w:cs="Times New Roman"/>
                <w:sz w:val="20"/>
                <w:szCs w:val="20"/>
                <w:lang w:val="ro-RO"/>
              </w:rPr>
            </w:pPr>
            <w:r w:rsidRPr="004C0446">
              <w:rPr>
                <w:rFonts w:ascii="Times New Roman" w:eastAsia="Times New Roman" w:hAnsi="Times New Roman" w:cs="Times New Roman"/>
                <w:sz w:val="20"/>
                <w:szCs w:val="20"/>
                <w:lang w:val="ro-RO"/>
              </w:rPr>
              <w:lastRenderedPageBreak/>
              <w:t>ISM a participat la lucrările din cadrul a 3 comitete tehnice internaționale și 6 comitet tehnice europene.</w:t>
            </w:r>
          </w:p>
          <w:p w:rsidR="006E05EB" w:rsidRPr="004C0446" w:rsidRDefault="006E05EB" w:rsidP="00A72157">
            <w:pPr>
              <w:pStyle w:val="ListParagraph"/>
              <w:spacing w:after="40" w:line="240" w:lineRule="auto"/>
              <w:ind w:left="34"/>
              <w:contextualSpacing w:val="0"/>
              <w:rPr>
                <w:rFonts w:ascii="Times New Roman" w:eastAsia="Times New Roman" w:hAnsi="Times New Roman" w:cs="Times New Roman"/>
                <w:sz w:val="20"/>
                <w:szCs w:val="20"/>
                <w:lang w:val="ro-RO"/>
              </w:rPr>
            </w:pPr>
            <w:r w:rsidRPr="004C0446">
              <w:rPr>
                <w:rFonts w:ascii="Times New Roman" w:eastAsia="Times New Roman" w:hAnsi="Times New Roman" w:cs="Times New Roman"/>
                <w:sz w:val="20"/>
                <w:szCs w:val="20"/>
                <w:lang w:val="ro-RO"/>
              </w:rPr>
              <w:t>Au fost examinate 75 proiecte europene și internaționale. Au fost votate 10 proiecte internaționale.</w:t>
            </w:r>
          </w:p>
        </w:tc>
        <w:tc>
          <w:tcPr>
            <w:tcW w:w="1135" w:type="dxa"/>
          </w:tcPr>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C43D63">
            <w:pPr>
              <w:spacing w:after="0" w:line="240" w:lineRule="auto"/>
              <w:ind w:right="27"/>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450,0</w:t>
            </w: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C43D63">
            <w:pPr>
              <w:spacing w:after="0" w:line="240" w:lineRule="auto"/>
              <w:ind w:right="27"/>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230,0</w:t>
            </w: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ind w:right="27"/>
              <w:rPr>
                <w:rFonts w:ascii="Times New Roman" w:eastAsia="Calibri" w:hAnsi="Times New Roman" w:cs="Times New Roman"/>
                <w:bCs/>
                <w:sz w:val="20"/>
                <w:szCs w:val="20"/>
                <w:lang w:val="ro-MD" w:eastAsia="nl-NL"/>
              </w:rPr>
            </w:pPr>
          </w:p>
          <w:p w:rsidR="006E05EB" w:rsidRPr="005911BC" w:rsidRDefault="006E05EB" w:rsidP="00927DCF">
            <w:pPr>
              <w:spacing w:after="0" w:line="240" w:lineRule="auto"/>
              <w:ind w:right="27"/>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lastRenderedPageBreak/>
              <w:t>85,0</w:t>
            </w:r>
          </w:p>
        </w:tc>
        <w:tc>
          <w:tcPr>
            <w:tcW w:w="993" w:type="dxa"/>
          </w:tcPr>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C43D63">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450,0</w:t>
            </w: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C43D63">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230,0</w:t>
            </w: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547333">
            <w:pPr>
              <w:spacing w:after="0" w:line="240" w:lineRule="auto"/>
              <w:rPr>
                <w:rFonts w:ascii="Times New Roman" w:eastAsia="Calibri" w:hAnsi="Times New Roman" w:cs="Times New Roman"/>
                <w:bCs/>
                <w:sz w:val="20"/>
                <w:szCs w:val="20"/>
                <w:lang w:val="ro-MD" w:eastAsia="nl-NL"/>
              </w:rPr>
            </w:pPr>
          </w:p>
          <w:p w:rsidR="006E05EB" w:rsidRPr="005911BC" w:rsidRDefault="006E05EB" w:rsidP="00C43D63">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lastRenderedPageBreak/>
              <w:t>85,0</w:t>
            </w:r>
          </w:p>
        </w:tc>
        <w:tc>
          <w:tcPr>
            <w:tcW w:w="1561" w:type="dxa"/>
          </w:tcPr>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t>-</w:t>
            </w: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8E27AC" w:rsidRPr="004C0446" w:rsidRDefault="008E27AC"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t>-</w:t>
            </w: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lastRenderedPageBreak/>
              <w:t>-</w:t>
            </w:r>
          </w:p>
        </w:tc>
        <w:tc>
          <w:tcPr>
            <w:tcW w:w="1560" w:type="dxa"/>
          </w:tcPr>
          <w:p w:rsidR="006E05EB" w:rsidRPr="004C0446" w:rsidRDefault="006E05EB" w:rsidP="00547333">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lastRenderedPageBreak/>
              <w:t>Au fost efectuate în termeni rezonabili, procedurile de achitare a cotizaţiei de membru pentru CEI, CENELEC și ETSI.</w:t>
            </w:r>
          </w:p>
        </w:tc>
        <w:tc>
          <w:tcPr>
            <w:tcW w:w="1434" w:type="dxa"/>
            <w:gridSpan w:val="2"/>
          </w:tcPr>
          <w:p w:rsidR="006E05EB" w:rsidRPr="004C0446" w:rsidRDefault="006E05EB" w:rsidP="00547333">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tc>
        <w:tc>
          <w:tcPr>
            <w:tcW w:w="1215" w:type="dxa"/>
          </w:tcPr>
          <w:p w:rsidR="006E05EB" w:rsidRPr="004C0446" w:rsidRDefault="006E05EB" w:rsidP="00547333">
            <w:pPr>
              <w:spacing w:after="0" w:line="240" w:lineRule="auto"/>
              <w:rPr>
                <w:rFonts w:ascii="Times New Roman" w:eastAsia="Calibri" w:hAnsi="Times New Roman" w:cs="Times New Roman"/>
                <w:sz w:val="20"/>
                <w:szCs w:val="20"/>
                <w:lang w:val="ro-MD"/>
              </w:rPr>
            </w:pPr>
          </w:p>
        </w:tc>
      </w:tr>
      <w:tr w:rsidR="006E05EB" w:rsidRPr="004C0446" w:rsidTr="005A2FD2">
        <w:trPr>
          <w:trHeight w:val="699"/>
        </w:trPr>
        <w:tc>
          <w:tcPr>
            <w:tcW w:w="1802" w:type="dxa"/>
            <w:gridSpan w:val="2"/>
            <w:vMerge/>
          </w:tcPr>
          <w:p w:rsidR="006E05EB" w:rsidRPr="004C0446" w:rsidRDefault="006E05EB" w:rsidP="00547333">
            <w:pPr>
              <w:spacing w:after="0" w:line="240" w:lineRule="auto"/>
              <w:rPr>
                <w:rFonts w:ascii="Times New Roman" w:eastAsia="Calibri" w:hAnsi="Times New Roman" w:cs="Times New Roman"/>
                <w:sz w:val="20"/>
                <w:szCs w:val="20"/>
                <w:lang w:val="ro-MD"/>
              </w:rPr>
            </w:pPr>
          </w:p>
        </w:tc>
        <w:tc>
          <w:tcPr>
            <w:tcW w:w="2411" w:type="dxa"/>
            <w:vMerge w:val="restart"/>
          </w:tcPr>
          <w:p w:rsidR="006E05EB" w:rsidRPr="004C0446" w:rsidRDefault="006E05EB" w:rsidP="00547333">
            <w:pPr>
              <w:spacing w:after="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t>Dezvoltarea competențelor profesionale ale angajaţilo</w:t>
            </w:r>
            <w:r w:rsidR="00A95A3C">
              <w:rPr>
                <w:rFonts w:ascii="Times New Roman" w:eastAsia="Calibri" w:hAnsi="Times New Roman" w:cs="Times New Roman"/>
                <w:color w:val="000000"/>
                <w:sz w:val="20"/>
                <w:szCs w:val="20"/>
                <w:lang w:val="ro-MD"/>
              </w:rPr>
              <w:t>r Institutului de Standardizare:</w:t>
            </w:r>
          </w:p>
          <w:p w:rsidR="006E05EB" w:rsidRPr="004C0446" w:rsidRDefault="006E05EB" w:rsidP="00547333">
            <w:pPr>
              <w:spacing w:after="0" w:line="240" w:lineRule="auto"/>
              <w:jc w:val="both"/>
              <w:rPr>
                <w:rFonts w:ascii="Times New Roman" w:eastAsia="Calibri" w:hAnsi="Times New Roman" w:cs="Times New Roman"/>
                <w:color w:val="000000"/>
                <w:sz w:val="20"/>
                <w:szCs w:val="20"/>
                <w:lang w:val="ro-MD"/>
              </w:rPr>
            </w:pPr>
          </w:p>
          <w:p w:rsidR="006E05EB" w:rsidRPr="004C0446" w:rsidRDefault="006E05EB" w:rsidP="00547333">
            <w:pPr>
              <w:spacing w:after="0" w:line="240" w:lineRule="auto"/>
              <w:jc w:val="both"/>
              <w:rPr>
                <w:rFonts w:ascii="Times New Roman" w:eastAsia="Calibri" w:hAnsi="Times New Roman" w:cs="Times New Roman"/>
                <w:color w:val="000000"/>
                <w:sz w:val="20"/>
                <w:szCs w:val="20"/>
                <w:lang w:val="ro-MD"/>
              </w:rPr>
            </w:pPr>
          </w:p>
          <w:p w:rsidR="006E05EB" w:rsidRPr="004C0446" w:rsidRDefault="006E05EB" w:rsidP="00547333">
            <w:pPr>
              <w:spacing w:after="0" w:line="240" w:lineRule="auto"/>
              <w:jc w:val="both"/>
              <w:rPr>
                <w:rFonts w:ascii="Times New Roman" w:eastAsia="Calibri" w:hAnsi="Times New Roman" w:cs="Times New Roman"/>
                <w:color w:val="000000"/>
                <w:sz w:val="20"/>
                <w:szCs w:val="20"/>
                <w:lang w:val="ro-MD"/>
              </w:rPr>
            </w:pPr>
          </w:p>
          <w:p w:rsidR="006E05EB" w:rsidRPr="004C0446" w:rsidRDefault="006E05EB" w:rsidP="00547333">
            <w:pPr>
              <w:spacing w:after="0" w:line="240" w:lineRule="auto"/>
              <w:jc w:val="both"/>
              <w:rPr>
                <w:rFonts w:ascii="Times New Roman" w:eastAsia="Calibri" w:hAnsi="Times New Roman" w:cs="Times New Roman"/>
                <w:color w:val="000000"/>
                <w:sz w:val="20"/>
                <w:szCs w:val="20"/>
                <w:lang w:val="ro-MD"/>
              </w:rPr>
            </w:pPr>
          </w:p>
          <w:p w:rsidR="006E05EB" w:rsidRPr="004C0446" w:rsidRDefault="006E05EB" w:rsidP="00547333">
            <w:pPr>
              <w:spacing w:after="0" w:line="240" w:lineRule="auto"/>
              <w:jc w:val="both"/>
              <w:rPr>
                <w:rFonts w:ascii="Times New Roman" w:eastAsia="Calibri" w:hAnsi="Times New Roman" w:cs="Times New Roman"/>
                <w:color w:val="000000"/>
                <w:sz w:val="20"/>
                <w:szCs w:val="20"/>
                <w:lang w:val="ro-MD"/>
              </w:rPr>
            </w:pPr>
          </w:p>
          <w:p w:rsidR="006E05EB" w:rsidRPr="004C0446" w:rsidRDefault="006E05EB" w:rsidP="00547333">
            <w:pPr>
              <w:pStyle w:val="ListParagraph"/>
              <w:numPr>
                <w:ilvl w:val="0"/>
                <w:numId w:val="8"/>
              </w:numPr>
              <w:tabs>
                <w:tab w:val="left" w:pos="318"/>
              </w:tabs>
              <w:spacing w:after="0" w:line="240" w:lineRule="auto"/>
              <w:ind w:left="34" w:firstLine="0"/>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t>implementarea proiectului Twinning ”Consolidarea sectorului standardizării şi metrologiei în conformitate cu cele mai bune practici ale UE”.</w:t>
            </w:r>
          </w:p>
          <w:p w:rsidR="006E05EB" w:rsidRPr="004C0446" w:rsidRDefault="006E05EB" w:rsidP="00547333">
            <w:pPr>
              <w:spacing w:after="0" w:line="240" w:lineRule="auto"/>
              <w:jc w:val="both"/>
              <w:rPr>
                <w:rFonts w:ascii="Times New Roman" w:eastAsia="Calibri" w:hAnsi="Times New Roman" w:cs="Times New Roman"/>
                <w:i/>
                <w:color w:val="000000"/>
                <w:sz w:val="20"/>
                <w:szCs w:val="20"/>
                <w:lang w:val="ro-MD"/>
              </w:rPr>
            </w:pPr>
          </w:p>
        </w:tc>
        <w:tc>
          <w:tcPr>
            <w:tcW w:w="3639" w:type="dxa"/>
            <w:gridSpan w:val="2"/>
            <w:vMerge w:val="restart"/>
          </w:tcPr>
          <w:p w:rsidR="006E05EB" w:rsidRPr="004C0446" w:rsidRDefault="006E05EB" w:rsidP="00547333">
            <w:pPr>
              <w:pStyle w:val="ListParagraph"/>
              <w:spacing w:after="40" w:line="240" w:lineRule="auto"/>
              <w:ind w:left="0"/>
              <w:rPr>
                <w:rFonts w:ascii="Times New Roman" w:eastAsia="Times New Roman" w:hAnsi="Times New Roman" w:cs="Times New Roman"/>
                <w:sz w:val="20"/>
                <w:szCs w:val="20"/>
                <w:lang w:val="en-US" w:eastAsia="ru-RU"/>
              </w:rPr>
            </w:pPr>
            <w:r w:rsidRPr="004C0446">
              <w:rPr>
                <w:rFonts w:ascii="Times New Roman" w:eastAsia="Times New Roman" w:hAnsi="Times New Roman" w:cs="Times New Roman"/>
                <w:sz w:val="20"/>
                <w:szCs w:val="20"/>
                <w:lang w:val="en-US" w:eastAsia="ru-RU"/>
              </w:rPr>
              <w:t>Reprezentanții ISM au participat la 18 sesiuni de instruire online oferite de organizaţiile europene şi internaţionale de standardizare pe diverse tematici din domeniul standardizării, în cadrul cărora au fost instruiţi 14 de colaboratori;</w:t>
            </w:r>
          </w:p>
          <w:p w:rsidR="006E05EB" w:rsidRPr="004C0446" w:rsidRDefault="006E05EB" w:rsidP="00547333">
            <w:pPr>
              <w:pStyle w:val="ListParagraph"/>
              <w:spacing w:after="40" w:line="240" w:lineRule="auto"/>
              <w:ind w:left="0"/>
              <w:jc w:val="both"/>
              <w:rPr>
                <w:rFonts w:ascii="Times New Roman" w:hAnsi="Times New Roman" w:cs="Times New Roman"/>
                <w:sz w:val="20"/>
                <w:szCs w:val="20"/>
                <w:lang w:val="en-US"/>
              </w:rPr>
            </w:pPr>
            <w:r w:rsidRPr="004C0446">
              <w:rPr>
                <w:rFonts w:ascii="Times New Roman" w:hAnsi="Times New Roman" w:cs="Times New Roman"/>
                <w:sz w:val="20"/>
                <w:szCs w:val="20"/>
                <w:lang w:val="en-US"/>
              </w:rPr>
              <w:t>Au fost organizate 10 instruiri în cadrul proiectului Twinning pentru ang</w:t>
            </w:r>
            <w:r w:rsidR="00A95A3C">
              <w:rPr>
                <w:rFonts w:ascii="Times New Roman" w:hAnsi="Times New Roman" w:cs="Times New Roman"/>
                <w:sz w:val="20"/>
                <w:szCs w:val="20"/>
                <w:lang w:val="en-US"/>
              </w:rPr>
              <w:t>ajații ISM.</w:t>
            </w:r>
          </w:p>
          <w:p w:rsidR="006E05EB" w:rsidRPr="004C0446" w:rsidRDefault="006E05EB" w:rsidP="00547333">
            <w:pPr>
              <w:pStyle w:val="ListParagraph"/>
              <w:spacing w:after="40" w:line="240" w:lineRule="auto"/>
              <w:ind w:left="0"/>
              <w:jc w:val="both"/>
              <w:rPr>
                <w:rFonts w:ascii="Times New Roman" w:eastAsia="Times New Roman" w:hAnsi="Times New Roman" w:cs="Times New Roman"/>
                <w:sz w:val="20"/>
                <w:szCs w:val="20"/>
                <w:lang w:val="en-US" w:eastAsia="ru-RU"/>
              </w:rPr>
            </w:pPr>
          </w:p>
          <w:p w:rsidR="006E05EB" w:rsidRPr="004C0446" w:rsidRDefault="006E05EB" w:rsidP="00547333">
            <w:pPr>
              <w:pStyle w:val="ListParagraph"/>
              <w:spacing w:after="40" w:line="240" w:lineRule="auto"/>
              <w:ind w:left="0"/>
              <w:rPr>
                <w:rFonts w:ascii="Times New Roman" w:eastAsia="Times New Roman" w:hAnsi="Times New Roman" w:cs="Times New Roman"/>
                <w:sz w:val="20"/>
                <w:szCs w:val="20"/>
                <w:lang w:val="en-US" w:eastAsia="ru-RU"/>
              </w:rPr>
            </w:pPr>
            <w:r w:rsidRPr="004C0446">
              <w:rPr>
                <w:rFonts w:ascii="Times New Roman" w:eastAsia="Times New Roman" w:hAnsi="Times New Roman" w:cs="Times New Roman"/>
                <w:sz w:val="20"/>
                <w:szCs w:val="20"/>
                <w:lang w:val="en-US" w:eastAsia="ru-RU"/>
              </w:rPr>
              <w:t>În cadrul acestui proiect, specialiștii ISM au elaborat o serie de broșuri și materiale informaționale, care au drept scop informarea publicului larg privind importanța și beneficiile implementării standardelor europene în Republica Moldova, precum și beneficiile implicării în activitatea de standardizare.</w:t>
            </w:r>
          </w:p>
          <w:p w:rsidR="006E05EB" w:rsidRPr="004C0446" w:rsidRDefault="006E05EB" w:rsidP="00547333">
            <w:pPr>
              <w:pStyle w:val="ListParagraph"/>
              <w:spacing w:after="40" w:line="240" w:lineRule="auto"/>
              <w:ind w:left="0"/>
              <w:jc w:val="both"/>
              <w:rPr>
                <w:rFonts w:ascii="Times New Roman" w:eastAsia="Times New Roman" w:hAnsi="Times New Roman" w:cs="Times New Roman"/>
                <w:sz w:val="20"/>
                <w:szCs w:val="20"/>
                <w:lang w:val="en-US" w:eastAsia="ru-RU"/>
              </w:rPr>
            </w:pPr>
          </w:p>
          <w:p w:rsidR="006E05EB" w:rsidRPr="004C0446" w:rsidRDefault="006E05EB" w:rsidP="00547333">
            <w:pPr>
              <w:pStyle w:val="ListParagraph"/>
              <w:spacing w:after="40" w:line="240" w:lineRule="auto"/>
              <w:ind w:left="0"/>
              <w:rPr>
                <w:rFonts w:ascii="Times New Roman" w:eastAsia="Times New Roman" w:hAnsi="Times New Roman" w:cs="Times New Roman"/>
                <w:sz w:val="20"/>
                <w:szCs w:val="20"/>
                <w:lang w:val="en-US" w:eastAsia="ru-RU"/>
              </w:rPr>
            </w:pPr>
            <w:r w:rsidRPr="004C0446">
              <w:rPr>
                <w:rFonts w:ascii="Times New Roman" w:eastAsia="Times New Roman" w:hAnsi="Times New Roman" w:cs="Times New Roman"/>
                <w:sz w:val="20"/>
                <w:szCs w:val="20"/>
                <w:lang w:val="en-US" w:eastAsia="ru-RU"/>
              </w:rPr>
              <w:t>Prin intermediul instruirilor susținute de experții europeni, colaboratorii ISM au avut posibilitatea de a realiza schimb de experiență și de a perfecționa cunoștințele deja posedate în domeniul standardizării.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Tahoma" w:hAnsi="Times New Roman" w:cs="Times New Roman"/>
                <w:color w:val="000000"/>
                <w:sz w:val="20"/>
                <w:szCs w:val="20"/>
                <w:lang w:val="ro-RO"/>
              </w:rPr>
              <w:t>În anul 2016, în cadrul proiectului Twinning au avut loc următoarele instruiri: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Tahoma" w:hAnsi="Times New Roman" w:cs="Times New Roman"/>
                <w:color w:val="000000"/>
                <w:sz w:val="20"/>
                <w:szCs w:val="20"/>
                <w:lang w:val="ro-RO"/>
              </w:rPr>
              <w:t>- 08 – 12 februarie 2016 – Utilizarea instrumentelor IT în standardizare – 11 angajați instruiți;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Tahoma" w:hAnsi="Times New Roman" w:cs="Times New Roman"/>
                <w:color w:val="000000"/>
                <w:sz w:val="20"/>
                <w:szCs w:val="20"/>
                <w:lang w:val="ro-RO"/>
              </w:rPr>
              <w:t>- 29 februarie – 04 martie 2016 -  Implementarea SMC – 12 angajați instruiți;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Tahoma" w:hAnsi="Times New Roman" w:cs="Times New Roman"/>
                <w:color w:val="000000"/>
                <w:sz w:val="20"/>
                <w:szCs w:val="20"/>
                <w:lang w:val="ro-RO"/>
              </w:rPr>
              <w:t>- 21 – 25 martie 2016 – 13 angajați instruiți;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Tahoma" w:hAnsi="Times New Roman" w:cs="Times New Roman"/>
                <w:color w:val="000000"/>
                <w:sz w:val="20"/>
                <w:szCs w:val="20"/>
                <w:lang w:val="ro-RO"/>
              </w:rPr>
              <w:t>- 16 – 20 mai 2016 – 16 angajați instruiți;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Tahoma" w:hAnsi="Times New Roman" w:cs="Times New Roman"/>
                <w:color w:val="000000"/>
                <w:sz w:val="20"/>
                <w:szCs w:val="20"/>
                <w:lang w:val="ro-RO"/>
              </w:rPr>
              <w:t>- 30 mai – 03 iunie 2016 – 10 angajați instruiți;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Tahoma" w:hAnsi="Times New Roman" w:cs="Times New Roman"/>
                <w:color w:val="000000"/>
                <w:sz w:val="20"/>
                <w:szCs w:val="20"/>
                <w:lang w:val="ro-RO"/>
              </w:rPr>
              <w:t>- 13 – 17 iunie 2016 – 11 angajați instruiți;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Tahoma" w:hAnsi="Times New Roman" w:cs="Times New Roman"/>
                <w:color w:val="000000"/>
                <w:sz w:val="20"/>
                <w:szCs w:val="20"/>
                <w:lang w:val="ro-RO"/>
              </w:rPr>
              <w:t>- 04 – 08 iulie 2016 – 15 angajați instruiți;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Tahoma" w:hAnsi="Times New Roman" w:cs="Times New Roman"/>
                <w:color w:val="000000"/>
                <w:sz w:val="20"/>
                <w:szCs w:val="20"/>
                <w:lang w:val="ro-RO"/>
              </w:rPr>
              <w:t>- 25 iulie – 29 iulie 2016 – 13 angajați instruiți;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Tahoma" w:hAnsi="Times New Roman" w:cs="Times New Roman"/>
                <w:color w:val="000000"/>
                <w:sz w:val="20"/>
                <w:szCs w:val="20"/>
                <w:lang w:val="ro-RO"/>
              </w:rPr>
              <w:lastRenderedPageBreak/>
              <w:t>- 07 – 09 septembrie 2016 – 8 angajați instruiți;</w:t>
            </w:r>
          </w:p>
          <w:p w:rsidR="006E05EB" w:rsidRPr="004C0446" w:rsidRDefault="006E05EB" w:rsidP="00547333">
            <w:pPr>
              <w:spacing w:after="40" w:line="240" w:lineRule="auto"/>
              <w:contextualSpacing/>
              <w:rPr>
                <w:rFonts w:ascii="Times New Roman" w:eastAsia="Arial" w:hAnsi="Times New Roman" w:cs="Times New Roman"/>
                <w:color w:val="000000"/>
                <w:sz w:val="20"/>
                <w:szCs w:val="20"/>
                <w:lang w:val="ro-RO"/>
              </w:rPr>
            </w:pPr>
            <w:r w:rsidRPr="004C0446">
              <w:rPr>
                <w:rFonts w:ascii="Times New Roman" w:eastAsia="Arial" w:hAnsi="Times New Roman" w:cs="Times New Roman"/>
                <w:color w:val="000000"/>
                <w:sz w:val="20"/>
                <w:szCs w:val="20"/>
                <w:lang w:val="ro-RO"/>
              </w:rPr>
              <w:t>- 24 – 26 octombrie 2016 – 5 angajați.</w:t>
            </w:r>
          </w:p>
        </w:tc>
        <w:tc>
          <w:tcPr>
            <w:tcW w:w="1135" w:type="dxa"/>
            <w:vMerge w:val="restart"/>
          </w:tcPr>
          <w:p w:rsidR="006E05EB" w:rsidRPr="005911BC" w:rsidRDefault="006E05EB" w:rsidP="00547333">
            <w:pPr>
              <w:spacing w:after="0" w:line="240" w:lineRule="auto"/>
              <w:ind w:right="27"/>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lastRenderedPageBreak/>
              <w:t>110,0</w:t>
            </w:r>
          </w:p>
        </w:tc>
        <w:tc>
          <w:tcPr>
            <w:tcW w:w="993" w:type="dxa"/>
            <w:vMerge w:val="restart"/>
          </w:tcPr>
          <w:p w:rsidR="006E05EB" w:rsidRPr="005911BC" w:rsidRDefault="006E05EB" w:rsidP="00547333">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110,0</w:t>
            </w:r>
          </w:p>
        </w:tc>
        <w:tc>
          <w:tcPr>
            <w:tcW w:w="1561" w:type="dxa"/>
            <w:vMerge w:val="restart"/>
          </w:tcPr>
          <w:p w:rsidR="006E05EB" w:rsidRPr="004C0446" w:rsidRDefault="006E05EB" w:rsidP="00547333">
            <w:pPr>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4C0446">
              <w:rPr>
                <w:rFonts w:ascii="Times New Roman" w:eastAsia="Times New Roman" w:hAnsi="Times New Roman" w:cs="Times New Roman"/>
                <w:color w:val="000000"/>
                <w:sz w:val="20"/>
                <w:szCs w:val="20"/>
                <w:lang w:val="ro-RO"/>
              </w:rPr>
              <w:t>Numărul de angajaţi instruiţi -cel puţin 10 angajaţi</w:t>
            </w:r>
          </w:p>
          <w:p w:rsidR="006E05EB" w:rsidRPr="004C0446" w:rsidRDefault="006E05EB" w:rsidP="00547333">
            <w:pPr>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6E05EB" w:rsidRPr="004C0446" w:rsidRDefault="006E05EB" w:rsidP="00547333">
            <w:pPr>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6E05EB" w:rsidRPr="004C0446" w:rsidRDefault="006E05EB" w:rsidP="00547333">
            <w:pPr>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6E05EB" w:rsidRPr="004C0446" w:rsidRDefault="006E05EB" w:rsidP="00547333">
            <w:pPr>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6E05EB" w:rsidRPr="004C0446" w:rsidRDefault="006E05EB" w:rsidP="00547333">
            <w:pPr>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6E05EB" w:rsidRPr="004C0446" w:rsidRDefault="006E05EB" w:rsidP="00547333">
            <w:pPr>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4C0446">
              <w:rPr>
                <w:rFonts w:ascii="Times New Roman" w:eastAsia="Times New Roman" w:hAnsi="Times New Roman" w:cs="Times New Roman"/>
                <w:color w:val="000000"/>
                <w:sz w:val="20"/>
                <w:szCs w:val="20"/>
                <w:lang w:val="ro-RO"/>
              </w:rPr>
              <w:t>Proiect Twinning implementat -100%</w:t>
            </w:r>
          </w:p>
        </w:tc>
        <w:tc>
          <w:tcPr>
            <w:tcW w:w="1560" w:type="dxa"/>
            <w:vMerge w:val="restart"/>
          </w:tcPr>
          <w:p w:rsidR="006E05EB" w:rsidRPr="004C0446" w:rsidRDefault="006E05EB" w:rsidP="00547333">
            <w:pPr>
              <w:spacing w:after="0" w:line="240" w:lineRule="auto"/>
              <w:ind w:right="-108"/>
              <w:rPr>
                <w:rFonts w:ascii="Times New Roman" w:hAnsi="Times New Roman" w:cs="Times New Roman"/>
                <w:sz w:val="20"/>
                <w:szCs w:val="20"/>
                <w:lang w:val="en-US"/>
              </w:rPr>
            </w:pPr>
            <w:r w:rsidRPr="004C0446">
              <w:rPr>
                <w:rFonts w:ascii="Times New Roman" w:hAnsi="Times New Roman" w:cs="Times New Roman"/>
                <w:sz w:val="20"/>
                <w:szCs w:val="20"/>
                <w:lang w:val="en-US"/>
              </w:rPr>
              <w:t>25</w:t>
            </w:r>
          </w:p>
          <w:p w:rsidR="006E05EB" w:rsidRPr="004C0446" w:rsidRDefault="006E05EB" w:rsidP="00547333">
            <w:pPr>
              <w:spacing w:after="0" w:line="240" w:lineRule="auto"/>
              <w:ind w:right="-108"/>
              <w:rPr>
                <w:rFonts w:ascii="Times New Roman" w:hAnsi="Times New Roman" w:cs="Times New Roman"/>
                <w:sz w:val="20"/>
                <w:szCs w:val="20"/>
                <w:lang w:val="en-US"/>
              </w:rPr>
            </w:pPr>
          </w:p>
          <w:p w:rsidR="006E05EB" w:rsidRPr="004C0446" w:rsidRDefault="006E05EB" w:rsidP="00547333">
            <w:pPr>
              <w:spacing w:after="0" w:line="240" w:lineRule="auto"/>
              <w:ind w:right="-108"/>
              <w:rPr>
                <w:rFonts w:ascii="Times New Roman" w:hAnsi="Times New Roman" w:cs="Times New Roman"/>
                <w:sz w:val="20"/>
                <w:szCs w:val="20"/>
                <w:lang w:val="en-US"/>
              </w:rPr>
            </w:pPr>
          </w:p>
          <w:p w:rsidR="006E05EB" w:rsidRPr="004C0446" w:rsidRDefault="006E05EB" w:rsidP="00547333">
            <w:pPr>
              <w:spacing w:after="0" w:line="240" w:lineRule="auto"/>
              <w:ind w:right="-108"/>
              <w:rPr>
                <w:rFonts w:ascii="Times New Roman" w:hAnsi="Times New Roman" w:cs="Times New Roman"/>
                <w:sz w:val="20"/>
                <w:szCs w:val="20"/>
                <w:lang w:val="en-US"/>
              </w:rPr>
            </w:pPr>
          </w:p>
          <w:p w:rsidR="006E05EB" w:rsidRPr="004C0446" w:rsidRDefault="006E05EB" w:rsidP="00547333">
            <w:pPr>
              <w:spacing w:after="0" w:line="240" w:lineRule="auto"/>
              <w:ind w:right="-108"/>
              <w:rPr>
                <w:rFonts w:ascii="Times New Roman" w:hAnsi="Times New Roman" w:cs="Times New Roman"/>
                <w:sz w:val="20"/>
                <w:szCs w:val="20"/>
                <w:lang w:val="en-US"/>
              </w:rPr>
            </w:pPr>
          </w:p>
          <w:p w:rsidR="006E05EB" w:rsidRPr="004C0446" w:rsidRDefault="006E05EB" w:rsidP="00547333">
            <w:pPr>
              <w:spacing w:after="0" w:line="240" w:lineRule="auto"/>
              <w:ind w:right="-108"/>
              <w:rPr>
                <w:rFonts w:ascii="Times New Roman" w:hAnsi="Times New Roman" w:cs="Times New Roman"/>
                <w:sz w:val="20"/>
                <w:szCs w:val="20"/>
                <w:lang w:val="en-US"/>
              </w:rPr>
            </w:pPr>
          </w:p>
          <w:p w:rsidR="006E05EB" w:rsidRPr="004C0446" w:rsidRDefault="006E05EB" w:rsidP="00547333">
            <w:pPr>
              <w:spacing w:after="0" w:line="240" w:lineRule="auto"/>
              <w:ind w:right="-108"/>
              <w:rPr>
                <w:rFonts w:ascii="Times New Roman" w:hAnsi="Times New Roman" w:cs="Times New Roman"/>
                <w:sz w:val="20"/>
                <w:szCs w:val="20"/>
                <w:lang w:val="en-US"/>
              </w:rPr>
            </w:pPr>
          </w:p>
          <w:p w:rsidR="006E05EB" w:rsidRPr="004C0446" w:rsidRDefault="006E05EB" w:rsidP="00547333">
            <w:pPr>
              <w:spacing w:after="0" w:line="240" w:lineRule="auto"/>
              <w:ind w:right="-108"/>
              <w:rPr>
                <w:rFonts w:ascii="Times New Roman" w:hAnsi="Times New Roman" w:cs="Times New Roman"/>
                <w:sz w:val="20"/>
                <w:szCs w:val="20"/>
                <w:lang w:val="en-US"/>
              </w:rPr>
            </w:pPr>
          </w:p>
          <w:p w:rsidR="006E05EB" w:rsidRPr="004C0446" w:rsidRDefault="006E05EB" w:rsidP="00547333">
            <w:pPr>
              <w:spacing w:after="0" w:line="240" w:lineRule="auto"/>
              <w:ind w:right="-108"/>
              <w:rPr>
                <w:rFonts w:ascii="Times New Roman" w:hAnsi="Times New Roman" w:cs="Times New Roman"/>
                <w:sz w:val="20"/>
                <w:szCs w:val="20"/>
                <w:lang w:val="en-US"/>
              </w:rPr>
            </w:pPr>
          </w:p>
          <w:p w:rsidR="006E05EB" w:rsidRPr="004C0446" w:rsidRDefault="006E05EB" w:rsidP="00547333">
            <w:pPr>
              <w:spacing w:after="0" w:line="240" w:lineRule="auto"/>
              <w:ind w:right="-108"/>
              <w:rPr>
                <w:rFonts w:ascii="Times New Roman" w:hAnsi="Times New Roman" w:cs="Times New Roman"/>
                <w:sz w:val="20"/>
                <w:szCs w:val="20"/>
                <w:lang w:val="en-US"/>
              </w:rPr>
            </w:pPr>
            <w:r w:rsidRPr="004C0446">
              <w:rPr>
                <w:rFonts w:ascii="Times New Roman" w:hAnsi="Times New Roman" w:cs="Times New Roman"/>
                <w:sz w:val="20"/>
                <w:szCs w:val="20"/>
                <w:lang w:val="en-US"/>
              </w:rPr>
              <w:t>100%</w:t>
            </w:r>
          </w:p>
        </w:tc>
        <w:tc>
          <w:tcPr>
            <w:tcW w:w="1434" w:type="dxa"/>
            <w:gridSpan w:val="2"/>
            <w:vMerge w:val="restart"/>
          </w:tcPr>
          <w:p w:rsidR="006E05EB" w:rsidRPr="004C0446" w:rsidRDefault="006E05EB" w:rsidP="00547333">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+15</w:t>
            </w:r>
          </w:p>
          <w:p w:rsidR="006E05EB" w:rsidRPr="004C0446" w:rsidRDefault="006E05EB" w:rsidP="00547333">
            <w:pPr>
              <w:spacing w:after="0" w:line="240" w:lineRule="auto"/>
              <w:rPr>
                <w:rFonts w:ascii="Times New Roman" w:eastAsia="Calibri" w:hAnsi="Times New Roman" w:cs="Times New Roman"/>
                <w:sz w:val="20"/>
                <w:szCs w:val="20"/>
                <w:lang w:val="ro-MD"/>
              </w:rPr>
            </w:pPr>
          </w:p>
          <w:p w:rsidR="006E05EB" w:rsidRPr="004C0446" w:rsidRDefault="006E05EB" w:rsidP="00547333">
            <w:pPr>
              <w:spacing w:after="0" w:line="240" w:lineRule="auto"/>
              <w:rPr>
                <w:rFonts w:ascii="Times New Roman" w:eastAsia="Calibri" w:hAnsi="Times New Roman" w:cs="Times New Roman"/>
                <w:sz w:val="20"/>
                <w:szCs w:val="20"/>
                <w:lang w:val="ro-MD"/>
              </w:rPr>
            </w:pPr>
          </w:p>
          <w:p w:rsidR="006E05EB" w:rsidRPr="004C0446" w:rsidRDefault="006E05EB" w:rsidP="00547333">
            <w:pPr>
              <w:spacing w:after="0" w:line="240" w:lineRule="auto"/>
              <w:rPr>
                <w:rFonts w:ascii="Times New Roman" w:eastAsia="Calibri" w:hAnsi="Times New Roman" w:cs="Times New Roman"/>
                <w:sz w:val="20"/>
                <w:szCs w:val="20"/>
                <w:lang w:val="ro-MD"/>
              </w:rPr>
            </w:pPr>
          </w:p>
          <w:p w:rsidR="006E05EB" w:rsidRPr="004C0446" w:rsidRDefault="006E05EB" w:rsidP="00547333">
            <w:pPr>
              <w:spacing w:after="0" w:line="240" w:lineRule="auto"/>
              <w:rPr>
                <w:rFonts w:ascii="Times New Roman" w:eastAsia="Calibri" w:hAnsi="Times New Roman" w:cs="Times New Roman"/>
                <w:sz w:val="20"/>
                <w:szCs w:val="20"/>
                <w:lang w:val="ro-MD"/>
              </w:rPr>
            </w:pPr>
          </w:p>
          <w:p w:rsidR="006E05EB" w:rsidRPr="004C0446" w:rsidRDefault="006E05EB" w:rsidP="00547333">
            <w:pPr>
              <w:spacing w:after="0" w:line="240" w:lineRule="auto"/>
              <w:rPr>
                <w:rFonts w:ascii="Times New Roman" w:eastAsia="Calibri" w:hAnsi="Times New Roman" w:cs="Times New Roman"/>
                <w:sz w:val="20"/>
                <w:szCs w:val="20"/>
                <w:lang w:val="ro-MD"/>
              </w:rPr>
            </w:pPr>
          </w:p>
          <w:p w:rsidR="006E05EB" w:rsidRPr="004C0446" w:rsidRDefault="006E05EB" w:rsidP="00547333">
            <w:pPr>
              <w:spacing w:after="0" w:line="240" w:lineRule="auto"/>
              <w:rPr>
                <w:rFonts w:ascii="Times New Roman" w:eastAsia="Calibri" w:hAnsi="Times New Roman" w:cs="Times New Roman"/>
                <w:sz w:val="20"/>
                <w:szCs w:val="20"/>
                <w:lang w:val="ro-MD"/>
              </w:rPr>
            </w:pPr>
          </w:p>
          <w:p w:rsidR="006E05EB" w:rsidRPr="004C0446" w:rsidRDefault="006E05EB" w:rsidP="00547333">
            <w:pPr>
              <w:spacing w:after="0" w:line="240" w:lineRule="auto"/>
              <w:rPr>
                <w:rFonts w:ascii="Times New Roman" w:eastAsia="Calibri" w:hAnsi="Times New Roman" w:cs="Times New Roman"/>
                <w:sz w:val="20"/>
                <w:szCs w:val="20"/>
                <w:lang w:val="ro-MD"/>
              </w:rPr>
            </w:pPr>
          </w:p>
          <w:p w:rsidR="006E05EB" w:rsidRPr="004C0446" w:rsidRDefault="006E05EB" w:rsidP="00547333">
            <w:pPr>
              <w:spacing w:after="0" w:line="240" w:lineRule="auto"/>
              <w:rPr>
                <w:rFonts w:ascii="Times New Roman" w:eastAsia="Calibri" w:hAnsi="Times New Roman" w:cs="Times New Roman"/>
                <w:sz w:val="20"/>
                <w:szCs w:val="20"/>
                <w:lang w:val="ro-MD"/>
              </w:rPr>
            </w:pPr>
          </w:p>
          <w:p w:rsidR="006E05EB" w:rsidRPr="004C0446" w:rsidRDefault="006E05EB" w:rsidP="00547333">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tc>
        <w:tc>
          <w:tcPr>
            <w:tcW w:w="1215" w:type="dxa"/>
            <w:tcBorders>
              <w:bottom w:val="nil"/>
            </w:tcBorders>
          </w:tcPr>
          <w:p w:rsidR="006E05EB" w:rsidRPr="004C0446" w:rsidRDefault="006E05EB" w:rsidP="00547333">
            <w:pPr>
              <w:rPr>
                <w:rFonts w:ascii="Times New Roman" w:eastAsia="Calibri" w:hAnsi="Times New Roman" w:cs="Times New Roman"/>
                <w:sz w:val="20"/>
                <w:szCs w:val="20"/>
                <w:lang w:val="ro-MD"/>
              </w:rPr>
            </w:pPr>
          </w:p>
        </w:tc>
      </w:tr>
      <w:tr w:rsidR="006E05EB" w:rsidRPr="004C0446" w:rsidTr="00FB650E">
        <w:trPr>
          <w:trHeight w:val="1130"/>
        </w:trPr>
        <w:tc>
          <w:tcPr>
            <w:tcW w:w="1802" w:type="dxa"/>
            <w:gridSpan w:val="2"/>
            <w:vMerge/>
          </w:tcPr>
          <w:p w:rsidR="006E05EB" w:rsidRPr="004C0446" w:rsidRDefault="006E05EB" w:rsidP="0013401D">
            <w:pPr>
              <w:spacing w:after="0" w:line="240" w:lineRule="auto"/>
              <w:rPr>
                <w:rFonts w:ascii="Times New Roman" w:eastAsia="Calibri" w:hAnsi="Times New Roman" w:cs="Times New Roman"/>
                <w:sz w:val="20"/>
                <w:szCs w:val="20"/>
                <w:lang w:val="ro-MD"/>
              </w:rPr>
            </w:pPr>
          </w:p>
        </w:tc>
        <w:tc>
          <w:tcPr>
            <w:tcW w:w="2411" w:type="dxa"/>
            <w:vMerge/>
          </w:tcPr>
          <w:p w:rsidR="006E05EB" w:rsidRPr="004C0446" w:rsidRDefault="006E05EB" w:rsidP="00F17DA5">
            <w:pPr>
              <w:spacing w:after="0" w:line="240" w:lineRule="auto"/>
              <w:jc w:val="both"/>
              <w:rPr>
                <w:rFonts w:ascii="Times New Roman" w:eastAsia="Calibri" w:hAnsi="Times New Roman" w:cs="Times New Roman"/>
                <w:color w:val="000000"/>
                <w:sz w:val="20"/>
                <w:szCs w:val="20"/>
                <w:lang w:val="ro-MD"/>
              </w:rPr>
            </w:pPr>
          </w:p>
        </w:tc>
        <w:tc>
          <w:tcPr>
            <w:tcW w:w="3639" w:type="dxa"/>
            <w:gridSpan w:val="2"/>
            <w:vMerge/>
          </w:tcPr>
          <w:p w:rsidR="006E05EB" w:rsidRPr="004C0446" w:rsidRDefault="006E05EB" w:rsidP="00F17DA5">
            <w:pPr>
              <w:pStyle w:val="ListParagraph"/>
              <w:spacing w:after="0" w:line="240" w:lineRule="auto"/>
              <w:ind w:left="0"/>
              <w:jc w:val="both"/>
              <w:rPr>
                <w:rFonts w:ascii="Times New Roman" w:eastAsia="Times New Roman" w:hAnsi="Times New Roman" w:cs="Times New Roman"/>
                <w:sz w:val="20"/>
                <w:szCs w:val="20"/>
                <w:lang w:val="en-US" w:eastAsia="ru-RU"/>
              </w:rPr>
            </w:pPr>
          </w:p>
        </w:tc>
        <w:tc>
          <w:tcPr>
            <w:tcW w:w="1135" w:type="dxa"/>
            <w:vMerge/>
          </w:tcPr>
          <w:p w:rsidR="006E05EB" w:rsidRPr="004C0446" w:rsidRDefault="006E05EB" w:rsidP="0013401D">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6E05EB" w:rsidRPr="004C0446" w:rsidRDefault="006E05EB" w:rsidP="0013401D">
            <w:pPr>
              <w:spacing w:after="0" w:line="240" w:lineRule="auto"/>
              <w:jc w:val="center"/>
              <w:rPr>
                <w:rFonts w:ascii="Times New Roman" w:eastAsia="Calibri" w:hAnsi="Times New Roman" w:cs="Times New Roman"/>
                <w:bCs/>
                <w:sz w:val="20"/>
                <w:szCs w:val="20"/>
                <w:lang w:val="ro-MD" w:eastAsia="nl-NL"/>
              </w:rPr>
            </w:pPr>
          </w:p>
        </w:tc>
        <w:tc>
          <w:tcPr>
            <w:tcW w:w="1561" w:type="dxa"/>
            <w:vMerge/>
          </w:tcPr>
          <w:p w:rsidR="006E05EB" w:rsidRPr="004C0446" w:rsidRDefault="006E05EB" w:rsidP="007643FC">
            <w:pPr>
              <w:autoSpaceDE w:val="0"/>
              <w:autoSpaceDN w:val="0"/>
              <w:adjustRightInd w:val="0"/>
              <w:spacing w:after="0" w:line="240" w:lineRule="auto"/>
              <w:rPr>
                <w:rFonts w:ascii="Times New Roman" w:eastAsia="Times New Roman" w:hAnsi="Times New Roman" w:cs="Times New Roman"/>
                <w:color w:val="000000"/>
                <w:sz w:val="20"/>
                <w:szCs w:val="20"/>
                <w:lang w:val="ro-RO"/>
              </w:rPr>
            </w:pPr>
          </w:p>
        </w:tc>
        <w:tc>
          <w:tcPr>
            <w:tcW w:w="1560" w:type="dxa"/>
            <w:vMerge/>
          </w:tcPr>
          <w:p w:rsidR="006E05EB" w:rsidRPr="004C0446" w:rsidRDefault="006E05EB" w:rsidP="007643FC">
            <w:pPr>
              <w:spacing w:after="0" w:line="240" w:lineRule="auto"/>
              <w:ind w:right="-108"/>
              <w:rPr>
                <w:rFonts w:ascii="Times New Roman" w:hAnsi="Times New Roman" w:cs="Times New Roman"/>
                <w:sz w:val="20"/>
                <w:szCs w:val="20"/>
                <w:lang w:val="en-US"/>
              </w:rPr>
            </w:pPr>
          </w:p>
        </w:tc>
        <w:tc>
          <w:tcPr>
            <w:tcW w:w="1434" w:type="dxa"/>
            <w:gridSpan w:val="2"/>
            <w:vMerge/>
          </w:tcPr>
          <w:p w:rsidR="006E05EB" w:rsidRPr="004C0446" w:rsidRDefault="006E05EB" w:rsidP="0013401D">
            <w:pPr>
              <w:spacing w:after="0" w:line="240" w:lineRule="auto"/>
              <w:rPr>
                <w:rFonts w:ascii="Times New Roman" w:eastAsia="Calibri" w:hAnsi="Times New Roman" w:cs="Times New Roman"/>
                <w:sz w:val="20"/>
                <w:szCs w:val="20"/>
                <w:lang w:val="ro-MD"/>
              </w:rPr>
            </w:pPr>
          </w:p>
        </w:tc>
        <w:tc>
          <w:tcPr>
            <w:tcW w:w="1215" w:type="dxa"/>
            <w:tcBorders>
              <w:top w:val="nil"/>
            </w:tcBorders>
          </w:tcPr>
          <w:p w:rsidR="006E05EB" w:rsidRPr="004C0446" w:rsidRDefault="006E05EB" w:rsidP="00DE5C8D">
            <w:pPr>
              <w:rPr>
                <w:rFonts w:ascii="Times New Roman" w:eastAsia="Calibri" w:hAnsi="Times New Roman" w:cs="Times New Roman"/>
                <w:sz w:val="20"/>
                <w:szCs w:val="20"/>
                <w:lang w:val="ro-MD"/>
              </w:rPr>
            </w:pPr>
          </w:p>
        </w:tc>
      </w:tr>
      <w:tr w:rsidR="006E05EB" w:rsidRPr="00E943D3" w:rsidTr="00FB650E">
        <w:trPr>
          <w:trHeight w:val="426"/>
        </w:trPr>
        <w:tc>
          <w:tcPr>
            <w:tcW w:w="1802" w:type="dxa"/>
            <w:gridSpan w:val="2"/>
            <w:vMerge/>
            <w:shd w:val="clear" w:color="auto" w:fill="auto"/>
            <w:vAlign w:val="center"/>
          </w:tcPr>
          <w:p w:rsidR="006E05EB" w:rsidRPr="004C0446" w:rsidRDefault="006E05EB" w:rsidP="00547333">
            <w:pPr>
              <w:spacing w:after="0" w:line="240" w:lineRule="auto"/>
              <w:rPr>
                <w:rFonts w:ascii="Times New Roman" w:eastAsia="Calibri" w:hAnsi="Times New Roman" w:cs="Times New Roman"/>
                <w:b/>
                <w:sz w:val="20"/>
                <w:szCs w:val="20"/>
                <w:lang w:val="ro-MD"/>
              </w:rPr>
            </w:pPr>
          </w:p>
        </w:tc>
        <w:tc>
          <w:tcPr>
            <w:tcW w:w="2411" w:type="dxa"/>
            <w:shd w:val="clear" w:color="auto" w:fill="auto"/>
          </w:tcPr>
          <w:p w:rsidR="006E05EB" w:rsidRPr="004C0446" w:rsidRDefault="006E05EB" w:rsidP="00547333">
            <w:pPr>
              <w:autoSpaceDE w:val="0"/>
              <w:autoSpaceDN w:val="0"/>
              <w:adjustRightInd w:val="0"/>
              <w:spacing w:after="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t>Traducerea în limba de stat a standardelor internaționale şi ale alt</w:t>
            </w:r>
            <w:r w:rsidR="00A95A3C">
              <w:rPr>
                <w:rFonts w:ascii="Times New Roman" w:eastAsia="Calibri" w:hAnsi="Times New Roman" w:cs="Times New Roman"/>
                <w:color w:val="000000"/>
                <w:sz w:val="20"/>
                <w:szCs w:val="20"/>
                <w:lang w:val="ro-MD"/>
              </w:rPr>
              <w:t>or ţări în domeniile prioritare.</w:t>
            </w:r>
          </w:p>
          <w:p w:rsidR="006E05EB" w:rsidRPr="004C0446" w:rsidRDefault="006E05EB" w:rsidP="00547333">
            <w:pPr>
              <w:autoSpaceDE w:val="0"/>
              <w:autoSpaceDN w:val="0"/>
              <w:adjustRightInd w:val="0"/>
              <w:spacing w:after="0" w:line="240" w:lineRule="auto"/>
              <w:jc w:val="both"/>
              <w:rPr>
                <w:rFonts w:ascii="Times New Roman" w:eastAsia="Calibri" w:hAnsi="Times New Roman" w:cs="Times New Roman"/>
                <w:color w:val="000000"/>
                <w:sz w:val="20"/>
                <w:szCs w:val="20"/>
                <w:lang w:val="ro-MD"/>
              </w:rPr>
            </w:pPr>
          </w:p>
          <w:p w:rsidR="006E05EB" w:rsidRPr="004C0446" w:rsidRDefault="006E05EB" w:rsidP="00547333">
            <w:pPr>
              <w:autoSpaceDE w:val="0"/>
              <w:autoSpaceDN w:val="0"/>
              <w:adjustRightInd w:val="0"/>
              <w:spacing w:after="0" w:line="240" w:lineRule="auto"/>
              <w:jc w:val="both"/>
              <w:rPr>
                <w:rFonts w:ascii="Times New Roman" w:eastAsia="Calibri" w:hAnsi="Times New Roman" w:cs="Times New Roman"/>
                <w:color w:val="000000"/>
                <w:sz w:val="20"/>
                <w:szCs w:val="20"/>
                <w:lang w:val="ro-MD"/>
              </w:rPr>
            </w:pPr>
          </w:p>
        </w:tc>
        <w:tc>
          <w:tcPr>
            <w:tcW w:w="3639" w:type="dxa"/>
            <w:gridSpan w:val="2"/>
            <w:shd w:val="clear" w:color="auto" w:fill="auto"/>
          </w:tcPr>
          <w:p w:rsidR="006E05EB" w:rsidRPr="004C0446" w:rsidRDefault="006E05EB" w:rsidP="00547333">
            <w:pPr>
              <w:spacing w:after="0" w:line="240" w:lineRule="auto"/>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Traducerea standardelor a constituit 50% din activitate a persoanei responsabile de traducere, dat fiind faptul că au fost preconizate și alte sarcini.</w:t>
            </w:r>
          </w:p>
        </w:tc>
        <w:tc>
          <w:tcPr>
            <w:tcW w:w="1135" w:type="dxa"/>
            <w:shd w:val="clear" w:color="auto" w:fill="auto"/>
          </w:tcPr>
          <w:p w:rsidR="006E05EB" w:rsidRPr="005911BC" w:rsidRDefault="001B00A7" w:rsidP="00547333">
            <w:pPr>
              <w:spacing w:after="0" w:line="240" w:lineRule="auto"/>
              <w:ind w:right="27"/>
              <w:jc w:val="center"/>
              <w:rPr>
                <w:rFonts w:ascii="Times New Roman" w:eastAsia="Calibri" w:hAnsi="Times New Roman" w:cs="Times New Roman"/>
                <w:bCs/>
                <w:sz w:val="20"/>
                <w:szCs w:val="20"/>
                <w:lang w:val="ro-MD" w:eastAsia="nl-NL"/>
              </w:rPr>
            </w:pPr>
            <w:r>
              <w:rPr>
                <w:rFonts w:ascii="Times New Roman" w:eastAsia="Calibri" w:hAnsi="Times New Roman" w:cs="Times New Roman"/>
                <w:bCs/>
                <w:sz w:val="20"/>
                <w:szCs w:val="20"/>
                <w:lang w:val="ro-MD" w:eastAsia="nl-NL"/>
              </w:rPr>
              <w:t>4</w:t>
            </w:r>
            <w:r w:rsidR="006E05EB" w:rsidRPr="005911BC">
              <w:rPr>
                <w:rFonts w:ascii="Times New Roman" w:eastAsia="Calibri" w:hAnsi="Times New Roman" w:cs="Times New Roman"/>
                <w:bCs/>
                <w:sz w:val="20"/>
                <w:szCs w:val="20"/>
                <w:lang w:val="ro-MD" w:eastAsia="nl-NL"/>
              </w:rPr>
              <w:t>0,0</w:t>
            </w:r>
          </w:p>
        </w:tc>
        <w:tc>
          <w:tcPr>
            <w:tcW w:w="993" w:type="dxa"/>
            <w:shd w:val="clear" w:color="auto" w:fill="auto"/>
          </w:tcPr>
          <w:p w:rsidR="006E05EB" w:rsidRPr="005911BC" w:rsidRDefault="006E05EB" w:rsidP="00547333">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40,0</w:t>
            </w:r>
          </w:p>
        </w:tc>
        <w:tc>
          <w:tcPr>
            <w:tcW w:w="1561" w:type="dxa"/>
            <w:shd w:val="clear" w:color="auto" w:fill="auto"/>
          </w:tcPr>
          <w:p w:rsidR="006E05EB" w:rsidRPr="004C0446" w:rsidRDefault="006E05EB" w:rsidP="00547333">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Numărul de standarde internaționale şi ale altor ţăr</w:t>
            </w:r>
            <w:r w:rsidR="00A95A3C">
              <w:rPr>
                <w:rFonts w:ascii="Times New Roman" w:eastAsia="Calibri" w:hAnsi="Times New Roman" w:cs="Times New Roman"/>
                <w:sz w:val="20"/>
                <w:szCs w:val="20"/>
                <w:lang w:val="ro-MD"/>
              </w:rPr>
              <w:t>i traduse în limba de stat – 30</w:t>
            </w:r>
          </w:p>
        </w:tc>
        <w:tc>
          <w:tcPr>
            <w:tcW w:w="1560" w:type="dxa"/>
            <w:shd w:val="clear" w:color="auto" w:fill="auto"/>
          </w:tcPr>
          <w:p w:rsidR="006E05EB" w:rsidRPr="004C0446" w:rsidRDefault="006E05EB" w:rsidP="00547333">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14</w:t>
            </w:r>
          </w:p>
        </w:tc>
        <w:tc>
          <w:tcPr>
            <w:tcW w:w="1434" w:type="dxa"/>
            <w:gridSpan w:val="2"/>
            <w:tcBorders>
              <w:bottom w:val="single" w:sz="4" w:space="0" w:color="auto"/>
            </w:tcBorders>
            <w:shd w:val="clear" w:color="auto" w:fill="auto"/>
          </w:tcPr>
          <w:p w:rsidR="006E05EB" w:rsidRPr="004C0446" w:rsidRDefault="006E05EB" w:rsidP="00547333">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- 16</w:t>
            </w:r>
          </w:p>
          <w:p w:rsidR="006E05EB" w:rsidRPr="004C0446" w:rsidRDefault="006E05EB" w:rsidP="00547333">
            <w:pPr>
              <w:pStyle w:val="ListParagraph"/>
              <w:spacing w:after="40" w:line="240" w:lineRule="auto"/>
              <w:ind w:left="-108"/>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Pentru traducerea standardelor internaționale și ale altor țări în limba de stat erau alocați 180,0 mii lei. În conformitate cu demersul Ministerului Finanțelor nr. 11/1-2/09-01 din 01.08.2016 (privind reducerea cheltuielilor bugetare), ISM a propus blocarea a 140,0 mii lei din această sumă.</w:t>
            </w:r>
          </w:p>
          <w:p w:rsidR="006E05EB" w:rsidRPr="004C0446" w:rsidRDefault="006E05EB" w:rsidP="00547333">
            <w:pPr>
              <w:pStyle w:val="ListParagraph"/>
              <w:tabs>
                <w:tab w:val="left" w:pos="175"/>
              </w:tabs>
              <w:spacing w:after="40" w:line="240" w:lineRule="auto"/>
              <w:ind w:left="-108"/>
              <w:rPr>
                <w:rFonts w:ascii="Times New Roman" w:eastAsia="Calibri" w:hAnsi="Times New Roman" w:cs="Times New Roman"/>
                <w:sz w:val="20"/>
                <w:szCs w:val="20"/>
                <w:lang w:val="ro-MD"/>
              </w:rPr>
            </w:pPr>
          </w:p>
        </w:tc>
        <w:tc>
          <w:tcPr>
            <w:tcW w:w="1215" w:type="dxa"/>
            <w:tcBorders>
              <w:bottom w:val="single" w:sz="4" w:space="0" w:color="auto"/>
            </w:tcBorders>
            <w:shd w:val="clear" w:color="auto" w:fill="auto"/>
          </w:tcPr>
          <w:p w:rsidR="006E05EB" w:rsidRPr="004C0446" w:rsidRDefault="006E05EB" w:rsidP="00547333">
            <w:pPr>
              <w:spacing w:after="0" w:line="240" w:lineRule="auto"/>
              <w:rPr>
                <w:rFonts w:ascii="Times New Roman" w:eastAsia="Calibri" w:hAnsi="Times New Roman" w:cs="Times New Roman"/>
                <w:b/>
                <w:sz w:val="18"/>
                <w:szCs w:val="18"/>
                <w:lang w:val="ro-MD"/>
              </w:rPr>
            </w:pPr>
            <w:r w:rsidRPr="004C0446">
              <w:rPr>
                <w:rFonts w:ascii="Times New Roman" w:eastAsia="Calibri" w:hAnsi="Times New Roman" w:cs="Times New Roman"/>
                <w:sz w:val="18"/>
                <w:szCs w:val="18"/>
                <w:lang w:val="ro-MD"/>
              </w:rPr>
              <w:t xml:space="preserve">Această acțiune urmează a fi finalizată în anul 2017, deoarece în anul 2016 ISM a purtat negocieri cu Asociația de Standardizare din România (ASRO), în vederea colaborării privind traducerea în comun a standardelor. La moment, negocierile sînt în faza finală și în 2017 va fi finalizată implementarea acestei acțiuni. Concomitent, ISM poartă negocieri cu organismele de standardizare din Republica Belarus și Kazahstan, privind colaborarea în ceea ce privește traducerea standardelor europene și </w:t>
            </w:r>
            <w:r w:rsidRPr="004C0446">
              <w:rPr>
                <w:rFonts w:ascii="Times New Roman" w:eastAsia="Calibri" w:hAnsi="Times New Roman" w:cs="Times New Roman"/>
                <w:sz w:val="18"/>
                <w:szCs w:val="18"/>
                <w:lang w:val="ro-MD"/>
              </w:rPr>
              <w:lastRenderedPageBreak/>
              <w:t>internaționale în limba rusă – ca o alternativă a traducerii în limba română. În 2017 va fi lansat acest mecanism de colaborare și acțiunea din 2016 va fi finalizată în 2017.</w:t>
            </w:r>
          </w:p>
        </w:tc>
      </w:tr>
      <w:tr w:rsidR="006E05EB" w:rsidRPr="004C0446" w:rsidTr="00FB650E">
        <w:trPr>
          <w:trHeight w:val="426"/>
        </w:trPr>
        <w:tc>
          <w:tcPr>
            <w:tcW w:w="1802" w:type="dxa"/>
            <w:gridSpan w:val="2"/>
            <w:vMerge/>
            <w:shd w:val="clear" w:color="auto" w:fill="auto"/>
            <w:vAlign w:val="center"/>
          </w:tcPr>
          <w:p w:rsidR="006E05EB" w:rsidRPr="004C0446" w:rsidRDefault="006E05EB" w:rsidP="00334505">
            <w:pPr>
              <w:spacing w:after="0" w:line="240" w:lineRule="auto"/>
              <w:rPr>
                <w:rFonts w:ascii="Times New Roman" w:eastAsia="Calibri" w:hAnsi="Times New Roman" w:cs="Times New Roman"/>
                <w:b/>
                <w:sz w:val="20"/>
                <w:szCs w:val="20"/>
                <w:lang w:val="ro-MD"/>
              </w:rPr>
            </w:pPr>
          </w:p>
        </w:tc>
        <w:tc>
          <w:tcPr>
            <w:tcW w:w="2411" w:type="dxa"/>
            <w:shd w:val="clear" w:color="auto" w:fill="auto"/>
          </w:tcPr>
          <w:p w:rsidR="006E05EB" w:rsidRPr="004C0446" w:rsidRDefault="006E05EB" w:rsidP="00334505">
            <w:pPr>
              <w:spacing w:after="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t>Implementarea și menținerea Sistemului de Management al Calității conform standardului SM SR EN ISO 9001:2011 în activitatea Institutul</w:t>
            </w:r>
            <w:r w:rsidR="00A95A3C">
              <w:rPr>
                <w:rFonts w:ascii="Times New Roman" w:eastAsia="Calibri" w:hAnsi="Times New Roman" w:cs="Times New Roman"/>
                <w:color w:val="000000"/>
                <w:sz w:val="20"/>
                <w:szCs w:val="20"/>
                <w:lang w:val="ro-MD"/>
              </w:rPr>
              <w:t>ui de Standardizare din Moldova.</w:t>
            </w:r>
          </w:p>
          <w:p w:rsidR="006E05EB" w:rsidRPr="004C0446" w:rsidRDefault="006E05EB" w:rsidP="00334505">
            <w:pPr>
              <w:spacing w:after="0" w:line="240" w:lineRule="auto"/>
              <w:jc w:val="both"/>
              <w:rPr>
                <w:rFonts w:ascii="Times New Roman" w:eastAsia="Calibri" w:hAnsi="Times New Roman" w:cs="Times New Roman"/>
                <w:color w:val="000000"/>
                <w:sz w:val="20"/>
                <w:szCs w:val="20"/>
                <w:lang w:val="ro-MD"/>
              </w:rPr>
            </w:pPr>
          </w:p>
        </w:tc>
        <w:tc>
          <w:tcPr>
            <w:tcW w:w="3639" w:type="dxa"/>
            <w:gridSpan w:val="2"/>
            <w:shd w:val="clear" w:color="auto" w:fill="auto"/>
          </w:tcPr>
          <w:p w:rsidR="006E05EB" w:rsidRPr="004C0446" w:rsidRDefault="006E05EB" w:rsidP="00334505">
            <w:pPr>
              <w:spacing w:after="40" w:line="240" w:lineRule="auto"/>
              <w:rPr>
                <w:rFonts w:ascii="Times New Roman" w:hAnsi="Times New Roman" w:cs="Times New Roman"/>
                <w:sz w:val="20"/>
                <w:szCs w:val="20"/>
                <w:lang w:val="ro-MD"/>
              </w:rPr>
            </w:pPr>
            <w:r w:rsidRPr="004C0446">
              <w:rPr>
                <w:rFonts w:ascii="Times New Roman" w:hAnsi="Times New Roman" w:cs="Times New Roman"/>
                <w:sz w:val="20"/>
                <w:szCs w:val="20"/>
                <w:lang w:val="ro-MD"/>
              </w:rPr>
              <w:t>Au fost elaborate 6 proceduri cu caracter general, precum şi 37 informaţii documentate vizând procesele operaţionale ale ISM care descriu activităţile şi responsabilităţile  subdiviziunilor structurale propriu-zise.</w:t>
            </w:r>
          </w:p>
          <w:p w:rsidR="006E05EB" w:rsidRPr="004C0446" w:rsidRDefault="006E05EB" w:rsidP="00334505">
            <w:pPr>
              <w:spacing w:after="40" w:line="240" w:lineRule="auto"/>
              <w:rPr>
                <w:rFonts w:ascii="Times New Roman" w:hAnsi="Times New Roman" w:cs="Times New Roman"/>
                <w:sz w:val="20"/>
                <w:szCs w:val="20"/>
                <w:lang w:val="ro-MD"/>
              </w:rPr>
            </w:pPr>
            <w:r w:rsidRPr="004C0446">
              <w:rPr>
                <w:rFonts w:ascii="Times New Roman" w:hAnsi="Times New Roman" w:cs="Times New Roman"/>
                <w:sz w:val="20"/>
                <w:szCs w:val="20"/>
                <w:lang w:val="ro-MD"/>
              </w:rPr>
              <w:t>Au fost instruiţi 100% salariaţi ai ISM privind sistemul de management al calităţii.</w:t>
            </w:r>
          </w:p>
          <w:p w:rsidR="006E05EB" w:rsidRPr="004C0446" w:rsidRDefault="006E05EB" w:rsidP="00334505">
            <w:pPr>
              <w:spacing w:after="40" w:line="240" w:lineRule="auto"/>
              <w:rPr>
                <w:rFonts w:ascii="Times New Roman" w:hAnsi="Times New Roman" w:cs="Times New Roman"/>
                <w:sz w:val="20"/>
                <w:szCs w:val="20"/>
                <w:lang w:val="ro-MD"/>
              </w:rPr>
            </w:pPr>
            <w:r w:rsidRPr="004C0446">
              <w:rPr>
                <w:rFonts w:ascii="Times New Roman" w:hAnsi="Times New Roman" w:cs="Times New Roman"/>
                <w:sz w:val="20"/>
                <w:szCs w:val="20"/>
                <w:lang w:val="ro-MD"/>
              </w:rPr>
              <w:t>A fost organizat şi desfăşurat procesul de audit intern înainte de implementarea sistemului de management al calităţii în cadrul ISM.</w:t>
            </w:r>
          </w:p>
          <w:p w:rsidR="006E05EB" w:rsidRPr="004C0446" w:rsidRDefault="006E05EB" w:rsidP="00334505">
            <w:pPr>
              <w:spacing w:after="40" w:line="240" w:lineRule="auto"/>
              <w:rPr>
                <w:rFonts w:ascii="Times New Roman" w:hAnsi="Times New Roman" w:cs="Times New Roman"/>
                <w:sz w:val="20"/>
                <w:szCs w:val="20"/>
                <w:lang w:val="ro-MD"/>
              </w:rPr>
            </w:pPr>
            <w:r w:rsidRPr="004C0446">
              <w:rPr>
                <w:rFonts w:ascii="Times New Roman" w:hAnsi="Times New Roman" w:cs="Times New Roman"/>
                <w:sz w:val="20"/>
                <w:szCs w:val="20"/>
                <w:lang w:val="ro-MD"/>
              </w:rPr>
              <w:t>Au fost organizate şi desfăşurate 7 şedinţe al managementului de la cel mai înalt nivel.</w:t>
            </w:r>
          </w:p>
          <w:p w:rsidR="006E05EB" w:rsidRPr="004C0446" w:rsidRDefault="006E05EB" w:rsidP="00334505">
            <w:pPr>
              <w:spacing w:after="40" w:line="240" w:lineRule="auto"/>
              <w:rPr>
                <w:rFonts w:ascii="Times New Roman" w:hAnsi="Times New Roman" w:cs="Times New Roman"/>
                <w:sz w:val="20"/>
                <w:szCs w:val="20"/>
                <w:lang w:val="ro-MD"/>
              </w:rPr>
            </w:pPr>
            <w:r w:rsidRPr="004C0446">
              <w:rPr>
                <w:rFonts w:ascii="Times New Roman" w:hAnsi="Times New Roman" w:cs="Times New Roman"/>
                <w:sz w:val="20"/>
                <w:szCs w:val="20"/>
                <w:lang w:val="ro-MD"/>
              </w:rPr>
              <w:t>A fost iniţiat şi desfăşurat în perioada 20.08.2016 - 02.12.2016 procesul de evaluare a satisfacţiei clienţilor ISM.</w:t>
            </w:r>
          </w:p>
        </w:tc>
        <w:tc>
          <w:tcPr>
            <w:tcW w:w="1135" w:type="dxa"/>
            <w:shd w:val="clear" w:color="auto" w:fill="auto"/>
          </w:tcPr>
          <w:p w:rsidR="006E05EB" w:rsidRPr="005911BC" w:rsidRDefault="006E05EB" w:rsidP="00334505">
            <w:pPr>
              <w:spacing w:after="0" w:line="240" w:lineRule="auto"/>
              <w:jc w:val="center"/>
              <w:rPr>
                <w:rFonts w:ascii="Times New Roman" w:eastAsia="Calibri" w:hAnsi="Times New Roman" w:cs="Times New Roman"/>
                <w:sz w:val="20"/>
                <w:szCs w:val="20"/>
                <w:lang w:val="ro-MD"/>
              </w:rPr>
            </w:pPr>
            <w:r w:rsidRPr="005911BC">
              <w:rPr>
                <w:rFonts w:ascii="Times New Roman" w:eastAsia="Calibri" w:hAnsi="Times New Roman" w:cs="Times New Roman"/>
                <w:sz w:val="20"/>
                <w:szCs w:val="20"/>
                <w:lang w:val="ro-MD"/>
              </w:rPr>
              <w:t>100,0</w:t>
            </w:r>
          </w:p>
        </w:tc>
        <w:tc>
          <w:tcPr>
            <w:tcW w:w="993" w:type="dxa"/>
            <w:shd w:val="clear" w:color="auto" w:fill="auto"/>
          </w:tcPr>
          <w:p w:rsidR="006E05EB" w:rsidRPr="005911BC" w:rsidRDefault="006E05EB" w:rsidP="00334505">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100,0</w:t>
            </w:r>
          </w:p>
        </w:tc>
        <w:tc>
          <w:tcPr>
            <w:tcW w:w="1561" w:type="dxa"/>
            <w:shd w:val="clear" w:color="auto" w:fill="auto"/>
          </w:tcPr>
          <w:p w:rsidR="006E05EB" w:rsidRPr="004C0446" w:rsidRDefault="006E05EB" w:rsidP="00334505">
            <w:pPr>
              <w:autoSpaceDE w:val="0"/>
              <w:autoSpaceDN w:val="0"/>
              <w:adjustRightInd w:val="0"/>
              <w:spacing w:after="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t>Sistem de management al calităţii implementat</w:t>
            </w:r>
          </w:p>
        </w:tc>
        <w:tc>
          <w:tcPr>
            <w:tcW w:w="1560" w:type="dxa"/>
            <w:shd w:val="clear" w:color="auto" w:fill="auto"/>
          </w:tcPr>
          <w:p w:rsidR="006E05EB" w:rsidRPr="004C0446" w:rsidRDefault="006E05EB"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Gradul de implementare al Sistemului de Management al calității conform standardului SM SR EN ISO reprezintă 80%</w:t>
            </w:r>
          </w:p>
        </w:tc>
        <w:tc>
          <w:tcPr>
            <w:tcW w:w="1434" w:type="dxa"/>
            <w:gridSpan w:val="2"/>
            <w:tcBorders>
              <w:bottom w:val="single" w:sz="4" w:space="0" w:color="auto"/>
            </w:tcBorders>
            <w:shd w:val="clear" w:color="auto" w:fill="auto"/>
          </w:tcPr>
          <w:p w:rsidR="006E05EB" w:rsidRPr="004C0446" w:rsidRDefault="008E27AC" w:rsidP="00334505">
            <w:pPr>
              <w:spacing w:after="0" w:line="240" w:lineRule="auto"/>
              <w:rPr>
                <w:rFonts w:ascii="Times New Roman" w:eastAsia="Calibri" w:hAnsi="Times New Roman" w:cs="Times New Roman"/>
                <w:b/>
                <w:sz w:val="20"/>
                <w:szCs w:val="20"/>
                <w:lang w:val="ro-MD"/>
              </w:rPr>
            </w:pPr>
            <w:r>
              <w:rPr>
                <w:rFonts w:ascii="Times New Roman" w:eastAsia="Calibri" w:hAnsi="Times New Roman" w:cs="Times New Roman"/>
                <w:b/>
                <w:sz w:val="20"/>
                <w:szCs w:val="20"/>
                <w:lang w:val="ro-MD"/>
              </w:rPr>
              <w:t>-</w:t>
            </w:r>
          </w:p>
        </w:tc>
        <w:tc>
          <w:tcPr>
            <w:tcW w:w="1215" w:type="dxa"/>
            <w:tcBorders>
              <w:bottom w:val="single" w:sz="4" w:space="0" w:color="auto"/>
            </w:tcBorders>
            <w:shd w:val="clear" w:color="auto" w:fill="auto"/>
          </w:tcPr>
          <w:p w:rsidR="006E05EB" w:rsidRPr="004C0446" w:rsidRDefault="006E05EB" w:rsidP="00334505">
            <w:pPr>
              <w:spacing w:after="0" w:line="240" w:lineRule="auto"/>
              <w:rPr>
                <w:rFonts w:ascii="Times New Roman" w:eastAsia="Calibri" w:hAnsi="Times New Roman" w:cs="Times New Roman"/>
                <w:b/>
                <w:sz w:val="20"/>
                <w:szCs w:val="20"/>
                <w:lang w:val="ro-MD"/>
              </w:rPr>
            </w:pPr>
          </w:p>
        </w:tc>
      </w:tr>
      <w:tr w:rsidR="006E05EB" w:rsidRPr="004C0446" w:rsidTr="00FB650E">
        <w:trPr>
          <w:trHeight w:val="426"/>
        </w:trPr>
        <w:tc>
          <w:tcPr>
            <w:tcW w:w="1802" w:type="dxa"/>
            <w:gridSpan w:val="2"/>
            <w:vMerge/>
            <w:shd w:val="clear" w:color="auto" w:fill="auto"/>
            <w:vAlign w:val="center"/>
          </w:tcPr>
          <w:p w:rsidR="006E05EB" w:rsidRPr="004C0446" w:rsidRDefault="006E05EB" w:rsidP="00334505">
            <w:pPr>
              <w:spacing w:after="0" w:line="240" w:lineRule="auto"/>
              <w:rPr>
                <w:rFonts w:ascii="Times New Roman" w:eastAsia="Calibri" w:hAnsi="Times New Roman" w:cs="Times New Roman"/>
                <w:b/>
                <w:sz w:val="20"/>
                <w:szCs w:val="20"/>
                <w:lang w:val="ro-MD"/>
              </w:rPr>
            </w:pPr>
          </w:p>
        </w:tc>
        <w:tc>
          <w:tcPr>
            <w:tcW w:w="2411" w:type="dxa"/>
            <w:shd w:val="clear" w:color="auto" w:fill="auto"/>
          </w:tcPr>
          <w:p w:rsidR="006E05EB" w:rsidRPr="004C0446" w:rsidRDefault="006E05EB" w:rsidP="00334505">
            <w:pPr>
              <w:spacing w:after="0" w:line="240" w:lineRule="auto"/>
              <w:rPr>
                <w:rFonts w:ascii="Times New Roman" w:eastAsia="Calibri" w:hAnsi="Times New Roman" w:cs="Times New Roman"/>
                <w:color w:val="000000"/>
                <w:sz w:val="20"/>
                <w:szCs w:val="20"/>
                <w:lang w:val="ro-MD" w:eastAsia="ro-RO"/>
              </w:rPr>
            </w:pPr>
            <w:r w:rsidRPr="004C0446">
              <w:rPr>
                <w:rFonts w:ascii="Times New Roman" w:eastAsia="Calibri" w:hAnsi="Times New Roman" w:cs="Times New Roman"/>
                <w:color w:val="000000"/>
                <w:sz w:val="20"/>
                <w:szCs w:val="20"/>
                <w:lang w:val="ro-MD" w:eastAsia="ro-RO"/>
              </w:rPr>
              <w:t>Preluarea experienței și practicilor organismelor de standardizare din statele UE privind implementarea și p</w:t>
            </w:r>
            <w:r w:rsidR="00A95A3C">
              <w:rPr>
                <w:rFonts w:ascii="Times New Roman" w:eastAsia="Calibri" w:hAnsi="Times New Roman" w:cs="Times New Roman"/>
                <w:color w:val="000000"/>
                <w:sz w:val="20"/>
                <w:szCs w:val="20"/>
                <w:lang w:val="ro-MD" w:eastAsia="ro-RO"/>
              </w:rPr>
              <w:t>romovarea standardelor europene.</w:t>
            </w:r>
          </w:p>
        </w:tc>
        <w:tc>
          <w:tcPr>
            <w:tcW w:w="3639" w:type="dxa"/>
            <w:gridSpan w:val="2"/>
            <w:shd w:val="clear" w:color="auto" w:fill="auto"/>
          </w:tcPr>
          <w:p w:rsidR="006E05EB" w:rsidRPr="004C0446" w:rsidRDefault="006E05EB" w:rsidP="00334505">
            <w:pPr>
              <w:spacing w:after="40" w:line="240" w:lineRule="auto"/>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În vederea preluării practicilor organismelor de standardizare din statele UE privind implementarea și promovarea standardelor europene; reprezentanții ISM au efectuat următoarele vizite de studiu:</w:t>
            </w:r>
          </w:p>
          <w:p w:rsidR="006E05EB" w:rsidRPr="004C0446" w:rsidRDefault="006E05EB" w:rsidP="00334505">
            <w:pPr>
              <w:pStyle w:val="ListParagraph"/>
              <w:numPr>
                <w:ilvl w:val="0"/>
                <w:numId w:val="9"/>
              </w:numPr>
              <w:tabs>
                <w:tab w:val="left" w:pos="317"/>
              </w:tabs>
              <w:spacing w:after="40" w:line="240" w:lineRule="auto"/>
              <w:ind w:left="33" w:firstLine="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 xml:space="preserve">La data de 16 martie 2016, reprezentanții ISM au efectuat o vizită de lucru la Centrul de Management CEN-CENELEC, unde au fost abordate subiecte precum, eficientizarea procesului de aderare şi de îndeplinire progresivă a </w:t>
            </w:r>
            <w:r w:rsidRPr="004C0446">
              <w:rPr>
                <w:rFonts w:ascii="Times New Roman" w:eastAsia="Times New Roman" w:hAnsi="Times New Roman" w:cs="Times New Roman"/>
                <w:sz w:val="20"/>
                <w:szCs w:val="20"/>
                <w:lang w:val="ro-MD" w:eastAsia="ru-RU"/>
              </w:rPr>
              <w:lastRenderedPageBreak/>
              <w:t>obiectivelor stipulate în Acordul de Asociere RM-UE, precum şi de obţinere a statului de membru cu drepturi depline al CEN -CENELEC.</w:t>
            </w:r>
          </w:p>
          <w:p w:rsidR="006E05EB" w:rsidRPr="004C0446" w:rsidRDefault="006E05EB" w:rsidP="00334505">
            <w:pPr>
              <w:pStyle w:val="ListParagraph"/>
              <w:numPr>
                <w:ilvl w:val="0"/>
                <w:numId w:val="9"/>
              </w:numPr>
              <w:tabs>
                <w:tab w:val="left" w:pos="317"/>
              </w:tabs>
              <w:spacing w:after="40" w:line="240" w:lineRule="auto"/>
              <w:ind w:left="33" w:firstLine="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 xml:space="preserve">În perioada 23 – 27 mai 2016, reprezentanții ISM au efectuat o vizită de studiu la ASRO. Agenda săptămânii a cuprins activităţi de instruire, schimb de bune practici, întâlniri cu președinții comitetelor tehnice naționale, discuții şi dezbateri. </w:t>
            </w:r>
          </w:p>
          <w:p w:rsidR="006E05EB" w:rsidRPr="004C0446" w:rsidRDefault="006E05EB" w:rsidP="00334505">
            <w:pPr>
              <w:pStyle w:val="ListParagraph"/>
              <w:numPr>
                <w:ilvl w:val="0"/>
                <w:numId w:val="9"/>
              </w:numPr>
              <w:tabs>
                <w:tab w:val="left" w:pos="317"/>
              </w:tabs>
              <w:spacing w:after="40" w:line="240" w:lineRule="auto"/>
              <w:ind w:left="33" w:firstLine="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În perioada 21 – 22 iunie 2016, 3 reprezentanţi ai ISM au efectuat o vizită de studiu, în cadrul proiectului Taiex „Study visit on Standards in the Service Sector”, în oraşul Madrid, Spania. Seminarul respectiv a oferit ISM posibilitatea de a beneficia de experiența experților europeni şi ai Asociaţiei Spaniole de Standardizare şi Certificare (AENOR) cu privire la serviciile de înaltă calitate prin implementarea eficientă a legislației şi standardelor europene.</w:t>
            </w:r>
          </w:p>
          <w:p w:rsidR="006E05EB" w:rsidRPr="004C0446" w:rsidRDefault="006E05EB" w:rsidP="00334505">
            <w:pPr>
              <w:pStyle w:val="ListParagraph"/>
              <w:numPr>
                <w:ilvl w:val="0"/>
                <w:numId w:val="9"/>
              </w:numPr>
              <w:tabs>
                <w:tab w:val="left" w:pos="317"/>
              </w:tabs>
              <w:spacing w:after="40" w:line="240" w:lineRule="auto"/>
              <w:ind w:left="33" w:firstLine="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În perioada 11 – 15 iulie 2016, în contextul proiectului Twinning, 3 reprezentanți ai ISM au efectuat o vizită de studiu la organismul de standardizare din România, ASRO, în cadrul căreia au fost discutate mai multe subiecte, precum: standardizarea în proiectele de cercetare și inovare finanțate din fonduri europene, rolul standardelor în acreditare și evaluarea conformității, standardizarea și supravegherea pieței.</w:t>
            </w:r>
          </w:p>
          <w:p w:rsidR="006E05EB" w:rsidRPr="004C0446" w:rsidRDefault="006E05EB" w:rsidP="00334505">
            <w:pPr>
              <w:pStyle w:val="ListParagraph"/>
              <w:numPr>
                <w:ilvl w:val="0"/>
                <w:numId w:val="9"/>
              </w:numPr>
              <w:tabs>
                <w:tab w:val="left" w:pos="317"/>
              </w:tabs>
              <w:spacing w:after="40" w:line="240" w:lineRule="auto"/>
              <w:ind w:left="33" w:firstLine="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În perioada 05 – 07 octombrie 2016, 2 reprezentanți ai ISM au efectuat o vizită de studiu la o</w:t>
            </w:r>
            <w:r w:rsidR="00FC2A00">
              <w:rPr>
                <w:rFonts w:ascii="Times New Roman" w:eastAsia="Times New Roman" w:hAnsi="Times New Roman" w:cs="Times New Roman"/>
                <w:sz w:val="20"/>
                <w:szCs w:val="20"/>
                <w:lang w:val="ro-MD" w:eastAsia="ru-RU"/>
              </w:rPr>
              <w:t xml:space="preserve">rganismul de standardizare din </w:t>
            </w:r>
            <w:r w:rsidRPr="004C0446">
              <w:rPr>
                <w:rFonts w:ascii="Times New Roman" w:eastAsia="Times New Roman" w:hAnsi="Times New Roman" w:cs="Times New Roman"/>
                <w:sz w:val="20"/>
                <w:szCs w:val="20"/>
                <w:lang w:val="ro-MD" w:eastAsia="ru-RU"/>
              </w:rPr>
              <w:t>Germania, DIN, unde au avut posibilitatea de a reprezenta ISM pentru prima dată la ședința unui comitet tehnic european.</w:t>
            </w:r>
          </w:p>
          <w:p w:rsidR="006E05EB" w:rsidRPr="004C0446" w:rsidRDefault="006E05EB" w:rsidP="00334505">
            <w:pPr>
              <w:pStyle w:val="ListParagraph"/>
              <w:numPr>
                <w:ilvl w:val="0"/>
                <w:numId w:val="9"/>
              </w:numPr>
              <w:tabs>
                <w:tab w:val="left" w:pos="317"/>
              </w:tabs>
              <w:spacing w:after="40" w:line="240" w:lineRule="auto"/>
              <w:ind w:left="33" w:firstLine="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 xml:space="preserve">În perioada 17 – 19 octombrie 2016, 3 reprezentanți ai ISM au efectuat o vizită de studiu la organismul de standardizare din România, ASRO, unde au avut </w:t>
            </w:r>
            <w:r w:rsidRPr="004C0446">
              <w:rPr>
                <w:rFonts w:ascii="Times New Roman" w:eastAsia="Times New Roman" w:hAnsi="Times New Roman" w:cs="Times New Roman"/>
                <w:sz w:val="20"/>
                <w:szCs w:val="20"/>
                <w:lang w:val="ro-MD" w:eastAsia="ru-RU"/>
              </w:rPr>
              <w:lastRenderedPageBreak/>
              <w:t>oportunitatea de a participa la 2 ședințe ale comitetelor tehnice române.</w:t>
            </w:r>
          </w:p>
        </w:tc>
        <w:tc>
          <w:tcPr>
            <w:tcW w:w="1135" w:type="dxa"/>
            <w:shd w:val="clear" w:color="auto" w:fill="auto"/>
          </w:tcPr>
          <w:p w:rsidR="006E05EB" w:rsidRPr="005911BC" w:rsidRDefault="006E05EB" w:rsidP="00334505">
            <w:pPr>
              <w:spacing w:after="0" w:line="240" w:lineRule="auto"/>
              <w:ind w:right="27"/>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lastRenderedPageBreak/>
              <w:t>500,0</w:t>
            </w:r>
          </w:p>
        </w:tc>
        <w:tc>
          <w:tcPr>
            <w:tcW w:w="993" w:type="dxa"/>
            <w:shd w:val="clear" w:color="auto" w:fill="auto"/>
          </w:tcPr>
          <w:p w:rsidR="006E05EB" w:rsidRPr="005911BC" w:rsidRDefault="006E05EB" w:rsidP="00334505">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500,0</w:t>
            </w:r>
          </w:p>
        </w:tc>
        <w:tc>
          <w:tcPr>
            <w:tcW w:w="1561" w:type="dxa"/>
            <w:shd w:val="clear" w:color="auto" w:fill="auto"/>
          </w:tcPr>
          <w:p w:rsidR="006E05EB" w:rsidRPr="004C0446" w:rsidRDefault="006E05EB" w:rsidP="00334505">
            <w:pPr>
              <w:autoSpaceDE w:val="0"/>
              <w:autoSpaceDN w:val="0"/>
              <w:adjustRightInd w:val="0"/>
              <w:spacing w:after="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t xml:space="preserve">Training-uri și vizite de studiu efectuate - </w:t>
            </w:r>
            <w:r w:rsidR="00974EE3">
              <w:rPr>
                <w:rFonts w:ascii="Times New Roman" w:eastAsia="Calibri" w:hAnsi="Times New Roman" w:cs="Times New Roman"/>
                <w:color w:val="000000"/>
                <w:sz w:val="20"/>
                <w:szCs w:val="20"/>
                <w:lang w:val="ro-MD"/>
              </w:rPr>
              <w:t>4</w:t>
            </w:r>
          </w:p>
          <w:p w:rsidR="006E05EB" w:rsidRPr="004C0446" w:rsidRDefault="006E05EB" w:rsidP="00334505">
            <w:pPr>
              <w:tabs>
                <w:tab w:val="left" w:pos="0"/>
              </w:tabs>
              <w:autoSpaceDE w:val="0"/>
              <w:autoSpaceDN w:val="0"/>
              <w:adjustRightInd w:val="0"/>
              <w:spacing w:after="0" w:line="240" w:lineRule="auto"/>
              <w:ind w:left="34"/>
              <w:rPr>
                <w:rFonts w:ascii="Times New Roman" w:eastAsia="Calibri" w:hAnsi="Times New Roman" w:cs="Times New Roman"/>
                <w:color w:val="000000"/>
                <w:sz w:val="20"/>
                <w:szCs w:val="20"/>
                <w:lang w:val="ro-MD"/>
              </w:rPr>
            </w:pPr>
          </w:p>
        </w:tc>
        <w:tc>
          <w:tcPr>
            <w:tcW w:w="1560" w:type="dxa"/>
            <w:shd w:val="clear" w:color="auto" w:fill="auto"/>
          </w:tcPr>
          <w:p w:rsidR="006E05EB" w:rsidRPr="004C0446" w:rsidRDefault="006E05EB"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6</w:t>
            </w:r>
          </w:p>
        </w:tc>
        <w:tc>
          <w:tcPr>
            <w:tcW w:w="1434" w:type="dxa"/>
            <w:gridSpan w:val="2"/>
            <w:tcBorders>
              <w:bottom w:val="single" w:sz="4" w:space="0" w:color="auto"/>
            </w:tcBorders>
            <w:shd w:val="clear" w:color="auto" w:fill="auto"/>
          </w:tcPr>
          <w:p w:rsidR="006E05EB" w:rsidRPr="004C0446" w:rsidRDefault="006E05EB"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+2</w:t>
            </w:r>
          </w:p>
        </w:tc>
        <w:tc>
          <w:tcPr>
            <w:tcW w:w="1215" w:type="dxa"/>
            <w:tcBorders>
              <w:bottom w:val="single" w:sz="4" w:space="0" w:color="auto"/>
            </w:tcBorders>
            <w:shd w:val="clear" w:color="auto" w:fill="auto"/>
          </w:tcPr>
          <w:p w:rsidR="006E05EB" w:rsidRPr="004C0446" w:rsidRDefault="006E05EB" w:rsidP="00334505">
            <w:pPr>
              <w:spacing w:after="0" w:line="240" w:lineRule="auto"/>
              <w:rPr>
                <w:rFonts w:ascii="Times New Roman" w:eastAsia="Calibri" w:hAnsi="Times New Roman" w:cs="Times New Roman"/>
                <w:b/>
                <w:sz w:val="20"/>
                <w:szCs w:val="20"/>
                <w:lang w:val="ro-MD"/>
              </w:rPr>
            </w:pPr>
          </w:p>
        </w:tc>
      </w:tr>
      <w:tr w:rsidR="008E27AC" w:rsidRPr="004C0446" w:rsidTr="00FB650E">
        <w:trPr>
          <w:trHeight w:val="755"/>
        </w:trPr>
        <w:tc>
          <w:tcPr>
            <w:tcW w:w="1802" w:type="dxa"/>
            <w:gridSpan w:val="2"/>
            <w:vMerge/>
            <w:shd w:val="clear" w:color="auto" w:fill="auto"/>
          </w:tcPr>
          <w:p w:rsidR="008E27AC" w:rsidRPr="004C0446" w:rsidRDefault="008E27AC" w:rsidP="00334505">
            <w:pPr>
              <w:spacing w:after="0" w:line="240" w:lineRule="auto"/>
              <w:rPr>
                <w:rFonts w:ascii="Times New Roman" w:eastAsia="Calibri" w:hAnsi="Times New Roman" w:cs="Times New Roman"/>
                <w:b/>
                <w:sz w:val="20"/>
                <w:szCs w:val="20"/>
                <w:lang w:val="ro-MD"/>
              </w:rPr>
            </w:pPr>
          </w:p>
        </w:tc>
        <w:tc>
          <w:tcPr>
            <w:tcW w:w="2411" w:type="dxa"/>
            <w:vMerge w:val="restart"/>
            <w:shd w:val="clear" w:color="auto" w:fill="auto"/>
          </w:tcPr>
          <w:p w:rsidR="008E27AC" w:rsidRPr="004C0446" w:rsidRDefault="008E27AC" w:rsidP="00334505">
            <w:pPr>
              <w:widowControl w:val="0"/>
              <w:spacing w:after="160" w:line="240" w:lineRule="auto"/>
              <w:rPr>
                <w:rFonts w:ascii="Times New Roman" w:eastAsia="Calibri" w:hAnsi="Times New Roman" w:cs="Times New Roman"/>
                <w:strike/>
                <w:color w:val="000000"/>
                <w:sz w:val="20"/>
                <w:szCs w:val="20"/>
                <w:lang w:val="ro-RO"/>
              </w:rPr>
            </w:pPr>
            <w:r w:rsidRPr="004C0446">
              <w:rPr>
                <w:rFonts w:ascii="Times New Roman" w:eastAsia="Tahoma" w:hAnsi="Times New Roman" w:cs="Times New Roman"/>
                <w:color w:val="000000"/>
                <w:sz w:val="20"/>
                <w:szCs w:val="20"/>
                <w:lang w:val="ro-RO" w:eastAsia="ro-RO"/>
              </w:rPr>
              <w:t>Lansarea campaniilor de promovare a beneficiilor aplicării standardelor europene, în special a standardelor europene relevante actelor normative stabili</w:t>
            </w:r>
            <w:r w:rsidR="00A95A3C">
              <w:rPr>
                <w:rFonts w:ascii="Times New Roman" w:eastAsia="Tahoma" w:hAnsi="Times New Roman" w:cs="Times New Roman"/>
                <w:color w:val="000000"/>
                <w:sz w:val="20"/>
                <w:szCs w:val="20"/>
                <w:lang w:val="ro-RO" w:eastAsia="ro-RO"/>
              </w:rPr>
              <w:t>te în Anexa nr. XVI a DCFTA.</w:t>
            </w:r>
          </w:p>
        </w:tc>
        <w:tc>
          <w:tcPr>
            <w:tcW w:w="3639" w:type="dxa"/>
            <w:gridSpan w:val="2"/>
            <w:vMerge w:val="restart"/>
            <w:shd w:val="clear" w:color="auto" w:fill="auto"/>
          </w:tcPr>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Pe parcursul anului 2016 ISM a organizat 14 evenimente, acestea fiind:</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 În perioada 03 – 07 februarie 2016, ISM a participat la cea de-a XV-a ediție a Expoziției Naționale Fabricat în Moldova. Reprezentanții ISM au informat vizitatorii despre activitatea și serviciile ISM și care sunt beneficiile implementării.</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2. La data de 9 februarie 2016 a fost organizată masa rotundă „Implementarea în Republica Moldova a standardelor europene pentru produse în sectorul construcțiilor” cu scopul de a informa companiile și organizațiile din domeniul construcțiilor privind standardele europene adoptate în cadrul DCFTA și de a promova beneficiile utilizării standardelor europene în activitatea lor. </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3. La data de 21 martie 2016 a fost organizată masa rotundă „Serviciile imobiliare: Perspective și beneficii în urma implementării standardului european SM SR EN 15733:2012” cu scopul de a promova implementarea standardului european existent în activitatea agențiilor imobiliare și Uniunii Agențiilor Imobiliare.</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4. În perioada 22 – 23 martie 2016, în cadrul proiectului Twinning, au fost </w:t>
            </w:r>
            <w:r w:rsidRPr="004C0446">
              <w:rPr>
                <w:rFonts w:ascii="Times New Roman" w:eastAsia="Calibri" w:hAnsi="Times New Roman" w:cs="Times New Roman"/>
                <w:sz w:val="20"/>
                <w:szCs w:val="20"/>
                <w:lang w:val="ro-MD"/>
              </w:rPr>
              <w:lastRenderedPageBreak/>
              <w:t>organizate două seminare pentru membrii comitetelor tehnice și pentru producători, exportatori și asociații de producători privind sistemul european de standardizare”. În cadrul seminarelor expertul german a adus la cunoștința participanților despre modul în care funcționează sistemul de standardizare în Europa și rolul standardizării în cadrul Noii Abordări.</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5. La data de 13 mai 2016, a fost organizat seminarul informativ cu genericul „Rolul standardizării pentru plasarea produselor pe piața UE, indicatorii geografici, denumirile de origini și oportunitățile de finanțare pentru beneficiarii Rețelei Europene a Întreprinderilor în Moldova”. </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6. În perioada 19 – 20 iulie 2016, în cadrul proiectului TAIEX a fost organizat un Seminar regional cu privire la implementarea Regulamentului UE 1025/2012 privind standardizarea europeană. </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7. La data de 29 septembrie 2016 a fost organizată masa rotundă „Standardizarea și asigurarea calității educației non-formale”, în cadrul căreia au fost discutate cerințele standardelor internaționale SM ISO 29990:2016 Servicii de instruire pentru educaţie şi pregătire non-formale. Cerinţe de bază pentru prestatorii de servicii și SM ISO 29991:2016 Servicii de instruire a limbilor străine în afara educaţiei formale. Cerinţe. </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8. La data de 7 octombrie 2016, ISM a participat la evenimentul „Moldova Business Week 2016”. La eveniment au fost distribuite 800 materiale informaționale ale ISM privind colecția de standarde din domeniul managementului calității, rolul standardelor pentru dezvoltarea afacerii, standardele europene: beneficii și oportunități pentru țara noastră.  </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lastRenderedPageBreak/>
              <w:t>9. La data de 10 octombrie 2016, a fost organizat seminarul cu tematica: „Adoptarea standardelor europene și retragerea standardelor naționale conflictuale pentru lifturi, escalatoare și scări rulante, precum şi siguranța privind macaralele".</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10. La data de 11 octombrie 2016, a fost organizat seminarul cu tematica: „Adoptarea standardelor europene și retragerea standardelor naționale conflictuale pentru echipament sub presiune".</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11. La data de 12 octombrie 2016, a fost organizat seminarul cu tematica: „A</w:t>
            </w:r>
            <w:r w:rsidR="00CF1FBC">
              <w:rPr>
                <w:rFonts w:ascii="Times New Roman" w:eastAsia="Calibri" w:hAnsi="Times New Roman" w:cs="Times New Roman"/>
                <w:sz w:val="20"/>
                <w:szCs w:val="20"/>
                <w:lang w:val="ro-MD"/>
              </w:rPr>
              <w:t xml:space="preserve">doptarea standardelor europene </w:t>
            </w:r>
            <w:r w:rsidRPr="004C0446">
              <w:rPr>
                <w:rFonts w:ascii="Times New Roman" w:eastAsia="Calibri" w:hAnsi="Times New Roman" w:cs="Times New Roman"/>
                <w:sz w:val="20"/>
                <w:szCs w:val="20"/>
                <w:lang w:val="ro-MD"/>
              </w:rPr>
              <w:t>și retragerea standardelor naționale conflictuale pentru boilere alimentare cu gaz și boilere utilizate la încălzirea centralizată".</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12. La data de 13 octombrie 2016, a fost organizat seminarul cu tematica: „Adoptarea standardelor europene și retragerea standardelor naționale conflictuale din domeniul produselor pentru construcții".</w:t>
            </w:r>
          </w:p>
          <w:p w:rsidR="008E27AC" w:rsidRPr="004C0446" w:rsidRDefault="008E27AC"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13. La data de 25 octombrie 2016, a fost organizat  un seminar de instruire privind consolidarea capacităţilor de participare a comitetelor tehnice naționale în activitatea europeană de standardizare.</w:t>
            </w:r>
          </w:p>
          <w:p w:rsidR="008E27AC" w:rsidRPr="008E27AC" w:rsidRDefault="008E27AC" w:rsidP="008E27AC">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14. la data de 5 decembrie 2016 a fost organizat un seminar de instruire pentru cadrele didactice privind îmbunătățirea cunoștințelor în domeniul standardizării.</w:t>
            </w:r>
          </w:p>
          <w:p w:rsidR="008E27AC" w:rsidRDefault="008E27AC" w:rsidP="00737606">
            <w:pPr>
              <w:spacing w:after="40" w:line="240" w:lineRule="auto"/>
              <w:rPr>
                <w:rFonts w:ascii="Times New Roman" w:hAnsi="Times New Roman" w:cs="Times New Roman"/>
                <w:sz w:val="20"/>
                <w:szCs w:val="20"/>
                <w:lang w:val="ro-MD"/>
              </w:rPr>
            </w:pPr>
          </w:p>
          <w:p w:rsidR="008E27AC" w:rsidRPr="004C0446" w:rsidRDefault="008E27AC" w:rsidP="00737606">
            <w:pPr>
              <w:spacing w:after="40" w:line="240" w:lineRule="auto"/>
              <w:rPr>
                <w:rFonts w:ascii="Times New Roman" w:hAnsi="Times New Roman" w:cs="Times New Roman"/>
                <w:sz w:val="20"/>
                <w:szCs w:val="20"/>
                <w:lang w:val="ro-MD"/>
              </w:rPr>
            </w:pPr>
            <w:r w:rsidRPr="004C0446">
              <w:rPr>
                <w:rFonts w:ascii="Times New Roman" w:hAnsi="Times New Roman" w:cs="Times New Roman"/>
                <w:sz w:val="20"/>
                <w:szCs w:val="20"/>
                <w:lang w:val="ro-MD"/>
              </w:rPr>
              <w:t xml:space="preserve">ISM a publicat 23 de materiale informaționale: </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 „Standardele internaționale și standardele de firmă”;</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2. „Studiul - Implementarea standardelor europene în sectorul construcțiilor”;</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3. „Standardele internaționale ISO și IEC”;</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lastRenderedPageBreak/>
              <w:t>4. „Utilizarea și referirea la standardele ISO și IEC”;</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5. „Cursuri de instruire 2016”;</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6. „Ghid pentru învățămîntul superior”;</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7. „Broșura privind serviciile agenților imobiliari”;</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8. „Standardizarea europeană susține siguranța copiilor”;</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9. „Raportul anual al INS pentru anul 2015”;</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10. „Beneficiile implicării în activitatea de standardizare”;</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11. „Linii directoare privind statutul standardelor anulate şi utilizarea acestora”;</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12. „Seria de materiale informaţionale - De la tehnologii învechite spre soluţii tehnologice performante”;</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13. „Standardele europene - Beneficii şi oportunităţi pentru Republica Moldova”;</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14. „Standarde pentru sisteme de management”;</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15. „Performanța energetică. Cum pot standardele eficientiza consumul de energie”;</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16. „Contribuția standardului ISO 50001 la îmbunătățirea eficienței energetice”;</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17. „Obiective de dezvoltare sustenabile”;</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18. „Standardizarea și asigurarea calității educației non-formale”;</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19. „Înconjurați de standarde”;</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20. Ediția buletinului informativ INStandard nr. 1/2016;</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21. Ediția buletinului informativ INStandard nr. 2/2016;</w:t>
            </w:r>
          </w:p>
          <w:p w:rsidR="008E27AC" w:rsidRPr="004C0446" w:rsidRDefault="008E27AC" w:rsidP="00334505">
            <w:pPr>
              <w:pStyle w:val="ListParagraph"/>
              <w:spacing w:after="40" w:line="240" w:lineRule="auto"/>
              <w:ind w:left="34"/>
              <w:rPr>
                <w:rFonts w:ascii="Times New Roman" w:hAnsi="Times New Roman" w:cs="Times New Roman"/>
                <w:sz w:val="20"/>
                <w:szCs w:val="20"/>
                <w:lang w:val="ro-MD"/>
              </w:rPr>
            </w:pPr>
            <w:r w:rsidRPr="004C0446">
              <w:rPr>
                <w:rFonts w:ascii="Times New Roman" w:hAnsi="Times New Roman" w:cs="Times New Roman"/>
                <w:sz w:val="20"/>
                <w:szCs w:val="20"/>
                <w:lang w:val="ro-MD"/>
              </w:rPr>
              <w:t>22. Buletinul informativ al ISM nr. 3/2016;</w:t>
            </w:r>
          </w:p>
          <w:p w:rsidR="008E27AC" w:rsidRPr="008E27AC" w:rsidRDefault="008E27AC" w:rsidP="006E05EB">
            <w:pPr>
              <w:pStyle w:val="ListParagraph"/>
              <w:spacing w:after="0" w:line="240" w:lineRule="auto"/>
              <w:ind w:left="34"/>
              <w:rPr>
                <w:rFonts w:ascii="Times New Roman" w:eastAsia="Calibri" w:hAnsi="Times New Roman" w:cs="Times New Roman"/>
                <w:sz w:val="20"/>
                <w:szCs w:val="20"/>
                <w:lang w:val="ro-MD"/>
              </w:rPr>
            </w:pPr>
            <w:r w:rsidRPr="004C0446">
              <w:rPr>
                <w:rFonts w:ascii="Times New Roman" w:hAnsi="Times New Roman" w:cs="Times New Roman"/>
                <w:sz w:val="20"/>
                <w:szCs w:val="20"/>
                <w:lang w:val="ro-MD"/>
              </w:rPr>
              <w:t>23. Buletinul informativ al ISM nr. 4/2016.</w:t>
            </w:r>
          </w:p>
        </w:tc>
        <w:tc>
          <w:tcPr>
            <w:tcW w:w="1135" w:type="dxa"/>
            <w:vMerge w:val="restart"/>
            <w:shd w:val="clear" w:color="auto" w:fill="auto"/>
          </w:tcPr>
          <w:p w:rsidR="008E27AC" w:rsidRPr="005911BC" w:rsidRDefault="008E27AC" w:rsidP="00334505">
            <w:pPr>
              <w:spacing w:after="0" w:line="240" w:lineRule="auto"/>
              <w:ind w:right="27"/>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lastRenderedPageBreak/>
              <w:t>400,0</w:t>
            </w:r>
          </w:p>
        </w:tc>
        <w:tc>
          <w:tcPr>
            <w:tcW w:w="993" w:type="dxa"/>
            <w:vMerge w:val="restart"/>
            <w:shd w:val="clear" w:color="auto" w:fill="auto"/>
          </w:tcPr>
          <w:p w:rsidR="008E27AC" w:rsidRPr="005911BC" w:rsidRDefault="008E27AC" w:rsidP="00334505">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400,0</w:t>
            </w:r>
          </w:p>
        </w:tc>
        <w:tc>
          <w:tcPr>
            <w:tcW w:w="1561" w:type="dxa"/>
            <w:vMerge w:val="restart"/>
            <w:shd w:val="clear" w:color="auto" w:fill="auto"/>
          </w:tcPr>
          <w:p w:rsidR="008E27AC" w:rsidRPr="004C0446" w:rsidRDefault="008E27A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Evenimente de promovare realizate - 10</w:t>
            </w:r>
          </w:p>
        </w:tc>
        <w:tc>
          <w:tcPr>
            <w:tcW w:w="1560" w:type="dxa"/>
            <w:vMerge w:val="restart"/>
            <w:shd w:val="clear" w:color="auto" w:fill="auto"/>
          </w:tcPr>
          <w:p w:rsidR="008E27AC" w:rsidRPr="004C0446" w:rsidRDefault="008E27A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14</w:t>
            </w:r>
          </w:p>
        </w:tc>
        <w:tc>
          <w:tcPr>
            <w:tcW w:w="1434" w:type="dxa"/>
            <w:gridSpan w:val="2"/>
            <w:tcBorders>
              <w:bottom w:val="nil"/>
            </w:tcBorders>
            <w:shd w:val="clear" w:color="auto" w:fill="auto"/>
          </w:tcPr>
          <w:p w:rsidR="008E27AC" w:rsidRPr="004C0446" w:rsidRDefault="008E27A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+4</w:t>
            </w:r>
          </w:p>
        </w:tc>
        <w:tc>
          <w:tcPr>
            <w:tcW w:w="1215" w:type="dxa"/>
            <w:vMerge w:val="restart"/>
            <w:shd w:val="clear" w:color="auto" w:fill="auto"/>
          </w:tcPr>
          <w:p w:rsidR="008E27AC" w:rsidRPr="004C0446" w:rsidRDefault="008E27AC" w:rsidP="00334505">
            <w:pPr>
              <w:spacing w:after="0" w:line="240" w:lineRule="auto"/>
              <w:rPr>
                <w:rFonts w:ascii="Times New Roman" w:eastAsia="Calibri" w:hAnsi="Times New Roman" w:cs="Times New Roman"/>
                <w:b/>
                <w:sz w:val="20"/>
                <w:szCs w:val="20"/>
                <w:lang w:val="ro-MD"/>
              </w:rPr>
            </w:pPr>
          </w:p>
        </w:tc>
      </w:tr>
      <w:tr w:rsidR="008E27AC" w:rsidRPr="004C0446" w:rsidTr="00090617">
        <w:trPr>
          <w:trHeight w:val="3089"/>
        </w:trPr>
        <w:tc>
          <w:tcPr>
            <w:tcW w:w="1802" w:type="dxa"/>
            <w:gridSpan w:val="2"/>
            <w:vMerge/>
            <w:shd w:val="clear" w:color="auto" w:fill="auto"/>
          </w:tcPr>
          <w:p w:rsidR="008E27AC" w:rsidRPr="004C0446" w:rsidRDefault="008E27AC" w:rsidP="00464814">
            <w:pPr>
              <w:spacing w:after="0" w:line="240" w:lineRule="auto"/>
              <w:rPr>
                <w:rFonts w:ascii="Times New Roman" w:eastAsia="Calibri" w:hAnsi="Times New Roman" w:cs="Times New Roman"/>
                <w:b/>
                <w:sz w:val="20"/>
                <w:szCs w:val="20"/>
                <w:lang w:val="ro-MD"/>
              </w:rPr>
            </w:pPr>
          </w:p>
        </w:tc>
        <w:tc>
          <w:tcPr>
            <w:tcW w:w="2411" w:type="dxa"/>
            <w:vMerge/>
            <w:shd w:val="clear" w:color="auto" w:fill="auto"/>
          </w:tcPr>
          <w:p w:rsidR="008E27AC" w:rsidRPr="004C0446" w:rsidRDefault="008E27AC" w:rsidP="00F03EEE">
            <w:pPr>
              <w:widowControl w:val="0"/>
              <w:spacing w:after="160" w:line="259" w:lineRule="auto"/>
              <w:jc w:val="both"/>
              <w:rPr>
                <w:rFonts w:ascii="Times New Roman" w:eastAsia="Tahoma" w:hAnsi="Times New Roman" w:cs="Times New Roman"/>
                <w:color w:val="000000"/>
                <w:sz w:val="20"/>
                <w:szCs w:val="20"/>
                <w:lang w:val="ro-RO" w:eastAsia="ro-RO"/>
              </w:rPr>
            </w:pPr>
          </w:p>
        </w:tc>
        <w:tc>
          <w:tcPr>
            <w:tcW w:w="3639" w:type="dxa"/>
            <w:gridSpan w:val="2"/>
            <w:vMerge/>
            <w:shd w:val="clear" w:color="auto" w:fill="auto"/>
          </w:tcPr>
          <w:p w:rsidR="008E27AC" w:rsidRPr="004C0446" w:rsidRDefault="008E27AC" w:rsidP="006E05EB">
            <w:pPr>
              <w:pStyle w:val="ListParagraph"/>
              <w:spacing w:after="0" w:line="240" w:lineRule="auto"/>
              <w:ind w:left="34"/>
              <w:rPr>
                <w:rFonts w:ascii="Times New Roman" w:eastAsia="Calibri" w:hAnsi="Times New Roman" w:cs="Times New Roman"/>
                <w:sz w:val="20"/>
                <w:szCs w:val="20"/>
                <w:lang w:val="ro-MD"/>
              </w:rPr>
            </w:pPr>
          </w:p>
        </w:tc>
        <w:tc>
          <w:tcPr>
            <w:tcW w:w="1135" w:type="dxa"/>
            <w:vMerge/>
            <w:shd w:val="clear" w:color="auto" w:fill="auto"/>
          </w:tcPr>
          <w:p w:rsidR="008E27AC" w:rsidRPr="004C0446" w:rsidRDefault="008E27AC" w:rsidP="007643FC">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shd w:val="clear" w:color="auto" w:fill="auto"/>
          </w:tcPr>
          <w:p w:rsidR="008E27AC" w:rsidRPr="004C0446" w:rsidRDefault="008E27AC" w:rsidP="007643FC">
            <w:pPr>
              <w:spacing w:after="0" w:line="240" w:lineRule="auto"/>
              <w:jc w:val="center"/>
              <w:rPr>
                <w:rFonts w:ascii="Times New Roman" w:eastAsia="Calibri" w:hAnsi="Times New Roman" w:cs="Times New Roman"/>
                <w:bCs/>
                <w:sz w:val="20"/>
                <w:szCs w:val="20"/>
                <w:lang w:val="ro-MD" w:eastAsia="nl-NL"/>
              </w:rPr>
            </w:pPr>
          </w:p>
        </w:tc>
        <w:tc>
          <w:tcPr>
            <w:tcW w:w="1561" w:type="dxa"/>
            <w:vMerge/>
            <w:tcBorders>
              <w:bottom w:val="nil"/>
            </w:tcBorders>
            <w:shd w:val="clear" w:color="auto" w:fill="auto"/>
          </w:tcPr>
          <w:p w:rsidR="008E27AC" w:rsidRPr="004C0446" w:rsidRDefault="008E27AC" w:rsidP="007643FC">
            <w:pPr>
              <w:spacing w:after="0" w:line="240" w:lineRule="auto"/>
              <w:rPr>
                <w:rFonts w:ascii="Times New Roman" w:eastAsia="Calibri" w:hAnsi="Times New Roman" w:cs="Times New Roman"/>
                <w:sz w:val="20"/>
                <w:szCs w:val="20"/>
                <w:lang w:val="ro-MD"/>
              </w:rPr>
            </w:pPr>
          </w:p>
        </w:tc>
        <w:tc>
          <w:tcPr>
            <w:tcW w:w="1560" w:type="dxa"/>
            <w:vMerge/>
            <w:tcBorders>
              <w:bottom w:val="nil"/>
            </w:tcBorders>
            <w:shd w:val="clear" w:color="auto" w:fill="auto"/>
          </w:tcPr>
          <w:p w:rsidR="008E27AC" w:rsidRPr="004C0446" w:rsidRDefault="008E27AC" w:rsidP="007643FC">
            <w:pPr>
              <w:spacing w:after="0" w:line="240" w:lineRule="auto"/>
              <w:rPr>
                <w:rFonts w:ascii="Times New Roman" w:eastAsia="Calibri" w:hAnsi="Times New Roman" w:cs="Times New Roman"/>
                <w:sz w:val="20"/>
                <w:szCs w:val="20"/>
                <w:lang w:val="ro-MD"/>
              </w:rPr>
            </w:pPr>
          </w:p>
        </w:tc>
        <w:tc>
          <w:tcPr>
            <w:tcW w:w="1434" w:type="dxa"/>
            <w:gridSpan w:val="2"/>
            <w:tcBorders>
              <w:top w:val="nil"/>
              <w:bottom w:val="nil"/>
            </w:tcBorders>
            <w:shd w:val="clear" w:color="auto" w:fill="auto"/>
          </w:tcPr>
          <w:p w:rsidR="008E27AC" w:rsidRPr="004C0446" w:rsidRDefault="008E27AC" w:rsidP="008E27AC">
            <w:pPr>
              <w:spacing w:after="0" w:line="240" w:lineRule="auto"/>
              <w:rPr>
                <w:rFonts w:ascii="Times New Roman" w:eastAsia="Calibri" w:hAnsi="Times New Roman" w:cs="Times New Roman"/>
                <w:sz w:val="20"/>
                <w:szCs w:val="20"/>
                <w:lang w:val="ro-MD"/>
              </w:rPr>
            </w:pPr>
          </w:p>
        </w:tc>
        <w:tc>
          <w:tcPr>
            <w:tcW w:w="1215" w:type="dxa"/>
            <w:vMerge/>
            <w:tcBorders>
              <w:bottom w:val="nil"/>
            </w:tcBorders>
            <w:shd w:val="clear" w:color="auto" w:fill="auto"/>
          </w:tcPr>
          <w:p w:rsidR="008E27AC" w:rsidRPr="004C0446" w:rsidRDefault="008E27AC" w:rsidP="00464814">
            <w:pPr>
              <w:spacing w:after="0" w:line="240" w:lineRule="auto"/>
              <w:rPr>
                <w:rFonts w:ascii="Times New Roman" w:eastAsia="Calibri" w:hAnsi="Times New Roman" w:cs="Times New Roman"/>
                <w:b/>
                <w:sz w:val="20"/>
                <w:szCs w:val="20"/>
                <w:lang w:val="ro-MD"/>
              </w:rPr>
            </w:pPr>
          </w:p>
        </w:tc>
      </w:tr>
      <w:tr w:rsidR="00974EE3" w:rsidRPr="004C0446" w:rsidTr="00090617">
        <w:trPr>
          <w:trHeight w:val="3089"/>
        </w:trPr>
        <w:tc>
          <w:tcPr>
            <w:tcW w:w="1802" w:type="dxa"/>
            <w:gridSpan w:val="2"/>
            <w:vMerge/>
            <w:shd w:val="clear" w:color="auto" w:fill="auto"/>
          </w:tcPr>
          <w:p w:rsidR="00974EE3" w:rsidRPr="004C0446" w:rsidRDefault="00974EE3" w:rsidP="00464814">
            <w:pPr>
              <w:spacing w:after="0" w:line="240" w:lineRule="auto"/>
              <w:rPr>
                <w:rFonts w:ascii="Times New Roman" w:eastAsia="Calibri" w:hAnsi="Times New Roman" w:cs="Times New Roman"/>
                <w:b/>
                <w:sz w:val="20"/>
                <w:szCs w:val="20"/>
                <w:lang w:val="ro-MD"/>
              </w:rPr>
            </w:pPr>
          </w:p>
        </w:tc>
        <w:tc>
          <w:tcPr>
            <w:tcW w:w="2411" w:type="dxa"/>
            <w:vMerge/>
            <w:shd w:val="clear" w:color="auto" w:fill="auto"/>
          </w:tcPr>
          <w:p w:rsidR="00974EE3" w:rsidRPr="004C0446" w:rsidRDefault="00974EE3" w:rsidP="00F03EEE">
            <w:pPr>
              <w:widowControl w:val="0"/>
              <w:spacing w:after="160" w:line="259" w:lineRule="auto"/>
              <w:jc w:val="both"/>
              <w:rPr>
                <w:rFonts w:ascii="Times New Roman" w:eastAsia="Tahoma" w:hAnsi="Times New Roman" w:cs="Times New Roman"/>
                <w:color w:val="000000"/>
                <w:sz w:val="20"/>
                <w:szCs w:val="20"/>
                <w:lang w:val="ro-RO" w:eastAsia="ro-RO"/>
              </w:rPr>
            </w:pPr>
          </w:p>
        </w:tc>
        <w:tc>
          <w:tcPr>
            <w:tcW w:w="3639" w:type="dxa"/>
            <w:gridSpan w:val="2"/>
            <w:vMerge/>
            <w:shd w:val="clear" w:color="auto" w:fill="auto"/>
          </w:tcPr>
          <w:p w:rsidR="00974EE3" w:rsidRPr="004C0446" w:rsidRDefault="00974EE3" w:rsidP="006E05EB">
            <w:pPr>
              <w:pStyle w:val="ListParagraph"/>
              <w:spacing w:after="0" w:line="240" w:lineRule="auto"/>
              <w:ind w:left="34"/>
              <w:rPr>
                <w:rFonts w:ascii="Times New Roman" w:eastAsia="Calibri" w:hAnsi="Times New Roman" w:cs="Times New Roman"/>
                <w:sz w:val="20"/>
                <w:szCs w:val="20"/>
                <w:lang w:val="ro-MD"/>
              </w:rPr>
            </w:pPr>
          </w:p>
        </w:tc>
        <w:tc>
          <w:tcPr>
            <w:tcW w:w="1135" w:type="dxa"/>
            <w:vMerge/>
            <w:shd w:val="clear" w:color="auto" w:fill="auto"/>
          </w:tcPr>
          <w:p w:rsidR="00974EE3" w:rsidRPr="004C0446" w:rsidRDefault="00974EE3" w:rsidP="007643FC">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shd w:val="clear" w:color="auto" w:fill="auto"/>
          </w:tcPr>
          <w:p w:rsidR="00974EE3" w:rsidRPr="004C0446" w:rsidRDefault="00974EE3" w:rsidP="007643FC">
            <w:pPr>
              <w:spacing w:after="0" w:line="240" w:lineRule="auto"/>
              <w:jc w:val="center"/>
              <w:rPr>
                <w:rFonts w:ascii="Times New Roman" w:eastAsia="Calibri" w:hAnsi="Times New Roman" w:cs="Times New Roman"/>
                <w:bCs/>
                <w:sz w:val="20"/>
                <w:szCs w:val="20"/>
                <w:lang w:val="ro-MD" w:eastAsia="nl-NL"/>
              </w:rPr>
            </w:pPr>
          </w:p>
        </w:tc>
        <w:tc>
          <w:tcPr>
            <w:tcW w:w="1561" w:type="dxa"/>
            <w:tcBorders>
              <w:top w:val="nil"/>
            </w:tcBorders>
            <w:shd w:val="clear" w:color="auto" w:fill="auto"/>
          </w:tcPr>
          <w:p w:rsidR="00974EE3" w:rsidRPr="004C0446" w:rsidRDefault="00974EE3" w:rsidP="007643FC">
            <w:pPr>
              <w:spacing w:after="0" w:line="240" w:lineRule="auto"/>
              <w:rPr>
                <w:rFonts w:ascii="Times New Roman" w:eastAsia="Calibri" w:hAnsi="Times New Roman" w:cs="Times New Roman"/>
                <w:sz w:val="20"/>
                <w:szCs w:val="20"/>
                <w:lang w:val="ro-MD"/>
              </w:rPr>
            </w:pPr>
          </w:p>
        </w:tc>
        <w:tc>
          <w:tcPr>
            <w:tcW w:w="1560" w:type="dxa"/>
            <w:tcBorders>
              <w:top w:val="nil"/>
            </w:tcBorders>
            <w:shd w:val="clear" w:color="auto" w:fill="auto"/>
          </w:tcPr>
          <w:p w:rsidR="00974EE3" w:rsidRPr="004C0446" w:rsidRDefault="00974EE3" w:rsidP="007643FC">
            <w:pPr>
              <w:spacing w:after="0" w:line="240" w:lineRule="auto"/>
              <w:rPr>
                <w:rFonts w:ascii="Times New Roman" w:eastAsia="Calibri" w:hAnsi="Times New Roman" w:cs="Times New Roman"/>
                <w:sz w:val="20"/>
                <w:szCs w:val="20"/>
                <w:lang w:val="ro-MD"/>
              </w:rPr>
            </w:pPr>
          </w:p>
        </w:tc>
        <w:tc>
          <w:tcPr>
            <w:tcW w:w="1434" w:type="dxa"/>
            <w:gridSpan w:val="2"/>
            <w:tcBorders>
              <w:top w:val="nil"/>
              <w:bottom w:val="single" w:sz="4" w:space="0" w:color="auto"/>
            </w:tcBorders>
            <w:shd w:val="clear" w:color="auto" w:fill="auto"/>
          </w:tcPr>
          <w:p w:rsidR="00974EE3" w:rsidRPr="004C0446" w:rsidRDefault="00974EE3" w:rsidP="008E27AC">
            <w:pPr>
              <w:spacing w:after="0" w:line="240" w:lineRule="auto"/>
              <w:rPr>
                <w:rFonts w:ascii="Times New Roman" w:eastAsia="Calibri" w:hAnsi="Times New Roman" w:cs="Times New Roman"/>
                <w:sz w:val="20"/>
                <w:szCs w:val="20"/>
                <w:lang w:val="ro-MD"/>
              </w:rPr>
            </w:pPr>
          </w:p>
        </w:tc>
        <w:tc>
          <w:tcPr>
            <w:tcW w:w="1215" w:type="dxa"/>
            <w:tcBorders>
              <w:top w:val="nil"/>
            </w:tcBorders>
            <w:shd w:val="clear" w:color="auto" w:fill="auto"/>
          </w:tcPr>
          <w:p w:rsidR="00974EE3" w:rsidRPr="004C0446" w:rsidRDefault="00974EE3" w:rsidP="00464814">
            <w:pPr>
              <w:spacing w:after="0" w:line="240" w:lineRule="auto"/>
              <w:rPr>
                <w:rFonts w:ascii="Times New Roman" w:eastAsia="Calibri" w:hAnsi="Times New Roman" w:cs="Times New Roman"/>
                <w:b/>
                <w:sz w:val="20"/>
                <w:szCs w:val="20"/>
                <w:lang w:val="ro-MD"/>
              </w:rPr>
            </w:pPr>
          </w:p>
        </w:tc>
      </w:tr>
      <w:tr w:rsidR="00CF1FBC" w:rsidRPr="00E943D3" w:rsidTr="00090617">
        <w:trPr>
          <w:trHeight w:val="9764"/>
        </w:trPr>
        <w:tc>
          <w:tcPr>
            <w:tcW w:w="1802" w:type="dxa"/>
            <w:gridSpan w:val="2"/>
            <w:vMerge/>
            <w:shd w:val="clear" w:color="auto" w:fill="auto"/>
          </w:tcPr>
          <w:p w:rsidR="00CF1FBC" w:rsidRPr="004C0446" w:rsidRDefault="00CF1FBC" w:rsidP="00334505">
            <w:pPr>
              <w:spacing w:after="0" w:line="240" w:lineRule="auto"/>
              <w:rPr>
                <w:rFonts w:ascii="Times New Roman" w:eastAsia="Calibri" w:hAnsi="Times New Roman" w:cs="Times New Roman"/>
                <w:b/>
                <w:sz w:val="20"/>
                <w:szCs w:val="20"/>
                <w:lang w:val="ro-MD"/>
              </w:rPr>
            </w:pPr>
          </w:p>
        </w:tc>
        <w:tc>
          <w:tcPr>
            <w:tcW w:w="2411" w:type="dxa"/>
            <w:vMerge/>
            <w:shd w:val="clear" w:color="auto" w:fill="auto"/>
          </w:tcPr>
          <w:p w:rsidR="00CF1FBC" w:rsidRPr="004C0446" w:rsidRDefault="00CF1FBC" w:rsidP="00334505">
            <w:pPr>
              <w:spacing w:after="0" w:line="240" w:lineRule="auto"/>
              <w:jc w:val="both"/>
              <w:rPr>
                <w:rFonts w:ascii="Times New Roman" w:eastAsia="Calibri" w:hAnsi="Times New Roman" w:cs="Times New Roman"/>
                <w:color w:val="000000"/>
                <w:sz w:val="20"/>
                <w:szCs w:val="20"/>
                <w:lang w:val="ro-MD"/>
              </w:rPr>
            </w:pPr>
          </w:p>
        </w:tc>
        <w:tc>
          <w:tcPr>
            <w:tcW w:w="3639" w:type="dxa"/>
            <w:gridSpan w:val="2"/>
            <w:vMerge/>
            <w:shd w:val="clear" w:color="auto" w:fill="auto"/>
          </w:tcPr>
          <w:p w:rsidR="00CF1FBC" w:rsidRPr="004C0446" w:rsidRDefault="00CF1FBC" w:rsidP="006E05EB">
            <w:pPr>
              <w:pStyle w:val="ListParagraph"/>
              <w:spacing w:after="0" w:line="240" w:lineRule="auto"/>
              <w:ind w:left="34"/>
              <w:contextualSpacing w:val="0"/>
              <w:rPr>
                <w:rFonts w:ascii="Times New Roman" w:hAnsi="Times New Roman" w:cs="Times New Roman"/>
                <w:sz w:val="20"/>
                <w:szCs w:val="20"/>
                <w:lang w:val="ro-MD"/>
              </w:rPr>
            </w:pPr>
          </w:p>
        </w:tc>
        <w:tc>
          <w:tcPr>
            <w:tcW w:w="1135" w:type="dxa"/>
            <w:vMerge/>
            <w:shd w:val="clear" w:color="auto" w:fill="auto"/>
          </w:tcPr>
          <w:p w:rsidR="00CF1FBC" w:rsidRPr="004C0446" w:rsidRDefault="00CF1FBC" w:rsidP="008E27AC">
            <w:pPr>
              <w:spacing w:after="0" w:line="240" w:lineRule="auto"/>
              <w:ind w:right="27"/>
              <w:rPr>
                <w:rFonts w:ascii="Times New Roman" w:eastAsia="Calibri" w:hAnsi="Times New Roman" w:cs="Times New Roman"/>
                <w:bCs/>
                <w:sz w:val="20"/>
                <w:szCs w:val="20"/>
                <w:lang w:val="ro-MD" w:eastAsia="nl-NL"/>
              </w:rPr>
            </w:pPr>
          </w:p>
        </w:tc>
        <w:tc>
          <w:tcPr>
            <w:tcW w:w="993" w:type="dxa"/>
            <w:vMerge/>
            <w:shd w:val="clear" w:color="auto" w:fill="auto"/>
          </w:tcPr>
          <w:p w:rsidR="00CF1FBC" w:rsidRPr="004C0446" w:rsidRDefault="00CF1FBC" w:rsidP="00334505">
            <w:pPr>
              <w:spacing w:after="0" w:line="240" w:lineRule="auto"/>
              <w:jc w:val="center"/>
              <w:rPr>
                <w:rFonts w:ascii="Times New Roman" w:eastAsia="Calibri" w:hAnsi="Times New Roman" w:cs="Times New Roman"/>
                <w:bCs/>
                <w:sz w:val="20"/>
                <w:szCs w:val="20"/>
                <w:lang w:val="ro-MD" w:eastAsia="nl-NL"/>
              </w:rPr>
            </w:pPr>
          </w:p>
        </w:tc>
        <w:tc>
          <w:tcPr>
            <w:tcW w:w="1561" w:type="dxa"/>
            <w:shd w:val="clear" w:color="auto" w:fill="auto"/>
          </w:tcPr>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Materiale informaţionale publicate -</w:t>
            </w:r>
          </w:p>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10</w:t>
            </w:r>
          </w:p>
          <w:p w:rsidR="00CF1FBC" w:rsidRPr="004C0446" w:rsidRDefault="00CF1FBC" w:rsidP="00334505">
            <w:pPr>
              <w:spacing w:after="0" w:line="240" w:lineRule="auto"/>
              <w:rPr>
                <w:rFonts w:ascii="Times New Roman" w:eastAsia="Calibri" w:hAnsi="Times New Roman" w:cs="Times New Roman"/>
                <w:sz w:val="20"/>
                <w:szCs w:val="20"/>
                <w:lang w:val="ro-MD"/>
              </w:rPr>
            </w:pPr>
          </w:p>
          <w:p w:rsidR="00CF1FBC" w:rsidRPr="004C0446" w:rsidRDefault="00CF1FBC" w:rsidP="00334505">
            <w:pPr>
              <w:spacing w:after="0" w:line="240" w:lineRule="auto"/>
              <w:rPr>
                <w:rFonts w:ascii="Times New Roman" w:eastAsia="Calibri" w:hAnsi="Times New Roman" w:cs="Times New Roman"/>
                <w:sz w:val="20"/>
                <w:szCs w:val="20"/>
                <w:lang w:val="ro-MD"/>
              </w:rPr>
            </w:pPr>
          </w:p>
          <w:p w:rsidR="00CF1FBC" w:rsidRPr="004C0446" w:rsidRDefault="00CF1FBC" w:rsidP="00334505">
            <w:pPr>
              <w:spacing w:after="0" w:line="240" w:lineRule="auto"/>
              <w:rPr>
                <w:rFonts w:ascii="Times New Roman" w:eastAsia="Calibri" w:hAnsi="Times New Roman" w:cs="Times New Roman"/>
                <w:sz w:val="20"/>
                <w:szCs w:val="20"/>
                <w:lang w:val="ro-MD"/>
              </w:rPr>
            </w:pPr>
          </w:p>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lastRenderedPageBreak/>
              <w:t>Spoturi video realizate - 3</w:t>
            </w:r>
          </w:p>
        </w:tc>
        <w:tc>
          <w:tcPr>
            <w:tcW w:w="1560" w:type="dxa"/>
            <w:shd w:val="clear" w:color="auto" w:fill="auto"/>
          </w:tcPr>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CF1FBC" w:rsidRDefault="00CF1FBC" w:rsidP="00334505">
            <w:pPr>
              <w:spacing w:after="0" w:line="240" w:lineRule="auto"/>
              <w:rPr>
                <w:rFonts w:ascii="Times New Roman" w:eastAsia="Calibri" w:hAnsi="Times New Roman" w:cs="Times New Roman"/>
                <w:sz w:val="20"/>
                <w:szCs w:val="20"/>
                <w:lang w:val="ro-MD"/>
              </w:rPr>
            </w:pPr>
          </w:p>
          <w:p w:rsidR="00974EE3" w:rsidRDefault="00974EE3" w:rsidP="00334505">
            <w:pPr>
              <w:spacing w:after="0" w:line="240" w:lineRule="auto"/>
              <w:rPr>
                <w:rFonts w:ascii="Times New Roman" w:eastAsia="Calibri" w:hAnsi="Times New Roman" w:cs="Times New Roman"/>
                <w:sz w:val="20"/>
                <w:szCs w:val="20"/>
                <w:lang w:val="ro-MD"/>
              </w:rPr>
            </w:pPr>
          </w:p>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23</w:t>
            </w:r>
          </w:p>
          <w:p w:rsidR="00CF1FBC" w:rsidRDefault="00CF1FBC" w:rsidP="008E27AC">
            <w:pPr>
              <w:spacing w:after="0" w:line="240" w:lineRule="auto"/>
              <w:rPr>
                <w:rFonts w:ascii="Times New Roman" w:eastAsia="Calibri" w:hAnsi="Times New Roman" w:cs="Times New Roman"/>
                <w:sz w:val="20"/>
                <w:szCs w:val="20"/>
                <w:lang w:val="ro-MD"/>
              </w:rPr>
            </w:pPr>
          </w:p>
          <w:p w:rsidR="00CF1FBC" w:rsidRDefault="00CF1FBC" w:rsidP="008E27AC">
            <w:pPr>
              <w:spacing w:after="0" w:line="240" w:lineRule="auto"/>
              <w:rPr>
                <w:rFonts w:ascii="Times New Roman" w:eastAsia="Calibri" w:hAnsi="Times New Roman" w:cs="Times New Roman"/>
                <w:sz w:val="20"/>
                <w:szCs w:val="20"/>
                <w:lang w:val="ro-MD"/>
              </w:rPr>
            </w:pPr>
          </w:p>
          <w:p w:rsidR="00CF1FBC" w:rsidRDefault="00CF1FBC" w:rsidP="008E27AC">
            <w:pPr>
              <w:spacing w:after="0" w:line="240" w:lineRule="auto"/>
              <w:rPr>
                <w:rFonts w:ascii="Times New Roman" w:eastAsia="Calibri" w:hAnsi="Times New Roman" w:cs="Times New Roman"/>
                <w:sz w:val="20"/>
                <w:szCs w:val="20"/>
                <w:lang w:val="ro-MD"/>
              </w:rPr>
            </w:pPr>
          </w:p>
          <w:p w:rsidR="00CF1FBC" w:rsidRDefault="00CF1FBC" w:rsidP="008E27AC">
            <w:pPr>
              <w:spacing w:after="0" w:line="240" w:lineRule="auto"/>
              <w:rPr>
                <w:rFonts w:ascii="Times New Roman" w:eastAsia="Calibri" w:hAnsi="Times New Roman" w:cs="Times New Roman"/>
                <w:sz w:val="20"/>
                <w:szCs w:val="20"/>
                <w:lang w:val="ro-MD"/>
              </w:rPr>
            </w:pPr>
          </w:p>
          <w:p w:rsidR="00CF1FBC" w:rsidRDefault="00CF1FBC" w:rsidP="008E27AC">
            <w:pPr>
              <w:spacing w:after="0" w:line="240" w:lineRule="auto"/>
              <w:rPr>
                <w:rFonts w:ascii="Times New Roman" w:eastAsia="Calibri" w:hAnsi="Times New Roman" w:cs="Times New Roman"/>
                <w:sz w:val="20"/>
                <w:szCs w:val="20"/>
                <w:lang w:val="ro-MD"/>
              </w:rPr>
            </w:pPr>
          </w:p>
          <w:p w:rsidR="00CF1FBC" w:rsidRDefault="00CF1FBC" w:rsidP="008E27AC">
            <w:pPr>
              <w:spacing w:after="0" w:line="240" w:lineRule="auto"/>
              <w:rPr>
                <w:rFonts w:ascii="Times New Roman" w:eastAsia="Calibri" w:hAnsi="Times New Roman" w:cs="Times New Roman"/>
                <w:sz w:val="20"/>
                <w:szCs w:val="20"/>
                <w:lang w:val="ro-MD"/>
              </w:rPr>
            </w:pPr>
          </w:p>
          <w:p w:rsidR="00CF1FBC" w:rsidRPr="004C0446" w:rsidRDefault="00CF1FBC" w:rsidP="008E27AC">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lastRenderedPageBreak/>
              <w:t>0</w:t>
            </w:r>
          </w:p>
        </w:tc>
        <w:tc>
          <w:tcPr>
            <w:tcW w:w="1434" w:type="dxa"/>
            <w:gridSpan w:val="2"/>
            <w:tcBorders>
              <w:bottom w:val="single" w:sz="4" w:space="0" w:color="auto"/>
            </w:tcBorders>
            <w:shd w:val="clear" w:color="auto" w:fill="auto"/>
          </w:tcPr>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 xml:space="preserve">+13 </w:t>
            </w: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Default="00CF1FBC" w:rsidP="00425707">
            <w:pPr>
              <w:spacing w:after="0" w:line="240" w:lineRule="auto"/>
              <w:rPr>
                <w:rFonts w:ascii="Times New Roman" w:eastAsia="Calibri" w:hAnsi="Times New Roman" w:cs="Times New Roman"/>
                <w:sz w:val="20"/>
                <w:szCs w:val="20"/>
                <w:lang w:val="ro-MD"/>
              </w:rPr>
            </w:pPr>
          </w:p>
          <w:p w:rsidR="00CF1FBC" w:rsidRPr="004C0446" w:rsidRDefault="00CF1FBC" w:rsidP="00CF1FBC">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lastRenderedPageBreak/>
              <w:t>-</w:t>
            </w:r>
            <w:r>
              <w:rPr>
                <w:rFonts w:ascii="Times New Roman" w:eastAsia="Calibri" w:hAnsi="Times New Roman" w:cs="Times New Roman"/>
                <w:sz w:val="20"/>
                <w:szCs w:val="20"/>
                <w:lang w:val="ro-MD"/>
              </w:rPr>
              <w:t xml:space="preserve"> </w:t>
            </w:r>
            <w:r w:rsidRPr="004C0446">
              <w:rPr>
                <w:rFonts w:ascii="Times New Roman" w:eastAsia="Calibri" w:hAnsi="Times New Roman" w:cs="Times New Roman"/>
                <w:sz w:val="20"/>
                <w:szCs w:val="20"/>
                <w:lang w:val="ro-MD"/>
              </w:rPr>
              <w:t>3</w:t>
            </w:r>
          </w:p>
          <w:p w:rsidR="00CF1FBC" w:rsidRPr="004C0446" w:rsidRDefault="00CF1FBC" w:rsidP="00CF1FBC">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În locul spoturilor publicitare au fost elaborate 7 materiale informaționale și imprimate în mai multe exemplare.</w:t>
            </w:r>
          </w:p>
        </w:tc>
        <w:tc>
          <w:tcPr>
            <w:tcW w:w="1215" w:type="dxa"/>
            <w:shd w:val="clear" w:color="auto" w:fill="auto"/>
          </w:tcPr>
          <w:p w:rsidR="00CF1FBC" w:rsidRPr="004C0446" w:rsidRDefault="00CF1FBC" w:rsidP="00334505">
            <w:pPr>
              <w:spacing w:after="0" w:line="240" w:lineRule="auto"/>
              <w:rPr>
                <w:rFonts w:ascii="Times New Roman" w:eastAsia="Calibri" w:hAnsi="Times New Roman" w:cs="Times New Roman"/>
                <w:b/>
                <w:sz w:val="20"/>
                <w:szCs w:val="20"/>
                <w:lang w:val="ro-MD"/>
              </w:rPr>
            </w:pPr>
          </w:p>
        </w:tc>
      </w:tr>
      <w:tr w:rsidR="006E05EB" w:rsidRPr="00E943D3" w:rsidTr="00090617">
        <w:trPr>
          <w:trHeight w:val="426"/>
        </w:trPr>
        <w:tc>
          <w:tcPr>
            <w:tcW w:w="1802" w:type="dxa"/>
            <w:gridSpan w:val="2"/>
            <w:vMerge/>
            <w:shd w:val="clear" w:color="auto" w:fill="auto"/>
          </w:tcPr>
          <w:p w:rsidR="006E05EB" w:rsidRPr="004C0446" w:rsidRDefault="006E05EB" w:rsidP="00334505">
            <w:pPr>
              <w:spacing w:after="0" w:line="240" w:lineRule="auto"/>
              <w:rPr>
                <w:rFonts w:ascii="Times New Roman" w:eastAsia="Calibri" w:hAnsi="Times New Roman" w:cs="Times New Roman"/>
                <w:b/>
                <w:sz w:val="20"/>
                <w:szCs w:val="20"/>
                <w:lang w:val="ro-MD"/>
              </w:rPr>
            </w:pPr>
          </w:p>
        </w:tc>
        <w:tc>
          <w:tcPr>
            <w:tcW w:w="2411" w:type="dxa"/>
            <w:shd w:val="clear" w:color="auto" w:fill="auto"/>
          </w:tcPr>
          <w:p w:rsidR="006E05EB" w:rsidRPr="004C0446" w:rsidRDefault="006E05EB" w:rsidP="00334505">
            <w:pPr>
              <w:spacing w:after="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t>Implementarea în activitatea Institutului de Standardizare din Mold</w:t>
            </w:r>
            <w:r w:rsidR="00A95A3C">
              <w:rPr>
                <w:rFonts w:ascii="Times New Roman" w:eastAsia="Calibri" w:hAnsi="Times New Roman" w:cs="Times New Roman"/>
                <w:color w:val="000000"/>
                <w:sz w:val="20"/>
                <w:szCs w:val="20"/>
                <w:lang w:val="ro-MD"/>
              </w:rPr>
              <w:t xml:space="preserve">ova </w:t>
            </w:r>
            <w:r w:rsidR="00A95A3C">
              <w:rPr>
                <w:rFonts w:ascii="Times New Roman" w:eastAsia="Calibri" w:hAnsi="Times New Roman" w:cs="Times New Roman"/>
                <w:color w:val="000000"/>
                <w:sz w:val="20"/>
                <w:szCs w:val="20"/>
                <w:lang w:val="ro-MD"/>
              </w:rPr>
              <w:lastRenderedPageBreak/>
              <w:t>a instrumentelor IT moderne.</w:t>
            </w:r>
          </w:p>
        </w:tc>
        <w:tc>
          <w:tcPr>
            <w:tcW w:w="3639" w:type="dxa"/>
            <w:gridSpan w:val="2"/>
            <w:shd w:val="clear" w:color="auto" w:fill="auto"/>
          </w:tcPr>
          <w:p w:rsidR="006E05EB" w:rsidRPr="004C0446" w:rsidRDefault="006E05EB" w:rsidP="00334505">
            <w:pPr>
              <w:tabs>
                <w:tab w:val="left" w:pos="175"/>
              </w:tabs>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lastRenderedPageBreak/>
              <w:t xml:space="preserve">Activitățile s-au realizat parțial din cauza inițierii implementării cu întîrziere a proiectului Implementarea Eurocodurilor </w:t>
            </w:r>
            <w:r w:rsidRPr="004C0446">
              <w:rPr>
                <w:rFonts w:ascii="Times New Roman" w:eastAsia="Calibri" w:hAnsi="Times New Roman" w:cs="Times New Roman"/>
                <w:sz w:val="20"/>
                <w:szCs w:val="20"/>
                <w:lang w:val="ro-MD"/>
              </w:rPr>
              <w:lastRenderedPageBreak/>
              <w:t>în Republica Moldova, care prevede aceste activități.</w:t>
            </w:r>
          </w:p>
          <w:p w:rsidR="006E05EB" w:rsidRPr="004C0446" w:rsidRDefault="006E05EB" w:rsidP="0078782E">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În 2016 ISM, în comun cu Ministerul Dezvoltării Regionale și Construcțiilor, a lansat, cu suportul Agenției pentru Dezvoltare a Republicii Cehă, proiectul „Implementarea Eurocodurilor în Republica Moldova și sporirea accesului la standarde”, care prevede suportul financiar din partea Cehiei în ceea ce privește implementarea în activitatea ISM a unor instrumente IT moderne, și anume:</w:t>
            </w:r>
          </w:p>
          <w:p w:rsidR="006E05EB" w:rsidRPr="004C0446" w:rsidRDefault="006E05EB" w:rsidP="0078782E">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 componenta 1: implementarea accesului on-line la standardele naționale și dezvoltarea funcționalităților Catalogului standardelor moldovene ”e-Standard”;</w:t>
            </w:r>
          </w:p>
          <w:p w:rsidR="006E05EB" w:rsidRPr="004C0446" w:rsidRDefault="006E05EB" w:rsidP="0078782E">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2) componenta 2: implementarea unui sistem IT bazat pe web pentru desfășurarea lucrărilor de standardizare în cadrul comitetelor tehnice.</w:t>
            </w:r>
          </w:p>
          <w:p w:rsidR="006E05EB" w:rsidRPr="004C0446" w:rsidRDefault="006E05EB" w:rsidP="00334505">
            <w:pPr>
              <w:tabs>
                <w:tab w:val="left" w:pos="175"/>
              </w:tabs>
              <w:spacing w:after="40" w:line="240" w:lineRule="auto"/>
              <w:rPr>
                <w:rFonts w:ascii="Times New Roman" w:eastAsia="Times New Roman" w:hAnsi="Times New Roman" w:cs="Times New Roman"/>
                <w:sz w:val="20"/>
                <w:szCs w:val="20"/>
                <w:lang w:val="ro-MD" w:eastAsia="ru-RU"/>
              </w:rPr>
            </w:pPr>
            <w:r w:rsidRPr="004C0446">
              <w:rPr>
                <w:rFonts w:ascii="Times New Roman" w:eastAsia="Calibri" w:hAnsi="Times New Roman" w:cs="Times New Roman"/>
                <w:sz w:val="20"/>
                <w:szCs w:val="20"/>
                <w:lang w:val="ro-MD"/>
              </w:rPr>
              <w:t>La etapa elaborării Strategiei sectoriale de cheltuieli nu era planificată lansarea vre-unui proiect de asistență tehnică pentru implementarea instrumentelor IT în activitatea ISM. După ce proiectul a fost conceput și acceptat, Republică Cehă și-a asumat angajamentul să susțină, inclusiv financiar, RM în implementarea instrumentelor IT menționate mai sus. Acceptarea acestui proiect a condiționat renunțarea ISM la finanțarea acestor cheltuieli din contul bugetului de stat, în scopul optimizării cheltuielilor bugetare, conform solicitării Ministerului Finanțelor.</w:t>
            </w:r>
          </w:p>
        </w:tc>
        <w:tc>
          <w:tcPr>
            <w:tcW w:w="1135" w:type="dxa"/>
            <w:shd w:val="clear" w:color="auto" w:fill="auto"/>
          </w:tcPr>
          <w:p w:rsidR="006E05EB" w:rsidRPr="005911BC" w:rsidRDefault="001B00A7" w:rsidP="00334505">
            <w:pPr>
              <w:spacing w:after="0" w:line="240" w:lineRule="auto"/>
              <w:ind w:right="27"/>
              <w:jc w:val="center"/>
              <w:rPr>
                <w:rFonts w:ascii="Times New Roman" w:eastAsia="Calibri" w:hAnsi="Times New Roman" w:cs="Times New Roman"/>
                <w:bCs/>
                <w:sz w:val="20"/>
                <w:szCs w:val="20"/>
                <w:lang w:val="ro-MD" w:eastAsia="nl-NL"/>
              </w:rPr>
            </w:pPr>
            <w:r>
              <w:rPr>
                <w:rFonts w:ascii="Times New Roman" w:eastAsia="Calibri" w:hAnsi="Times New Roman" w:cs="Times New Roman"/>
                <w:bCs/>
                <w:sz w:val="20"/>
                <w:szCs w:val="20"/>
                <w:lang w:val="ro-MD" w:eastAsia="nl-NL"/>
              </w:rPr>
              <w:lastRenderedPageBreak/>
              <w:t>5</w:t>
            </w:r>
            <w:r w:rsidR="006E05EB" w:rsidRPr="005911BC">
              <w:rPr>
                <w:rFonts w:ascii="Times New Roman" w:eastAsia="Calibri" w:hAnsi="Times New Roman" w:cs="Times New Roman"/>
                <w:bCs/>
                <w:sz w:val="20"/>
                <w:szCs w:val="20"/>
                <w:lang w:val="ro-MD" w:eastAsia="nl-NL"/>
              </w:rPr>
              <w:t>00,0</w:t>
            </w:r>
          </w:p>
        </w:tc>
        <w:tc>
          <w:tcPr>
            <w:tcW w:w="993" w:type="dxa"/>
            <w:shd w:val="clear" w:color="auto" w:fill="auto"/>
          </w:tcPr>
          <w:p w:rsidR="006E05EB" w:rsidRPr="005911BC" w:rsidRDefault="006E05EB" w:rsidP="00334505">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500,0</w:t>
            </w:r>
          </w:p>
        </w:tc>
        <w:tc>
          <w:tcPr>
            <w:tcW w:w="1561" w:type="dxa"/>
            <w:shd w:val="clear" w:color="auto" w:fill="auto"/>
          </w:tcPr>
          <w:p w:rsidR="006E05EB" w:rsidRPr="004C0446" w:rsidRDefault="006E05EB" w:rsidP="00334505">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xml:space="preserve">Sistem IT bazat pe web pentru desfășurarea </w:t>
            </w:r>
            <w:r w:rsidRPr="004C0446">
              <w:rPr>
                <w:rFonts w:ascii="Times New Roman" w:eastAsia="Calibri" w:hAnsi="Times New Roman" w:cs="Times New Roman"/>
                <w:color w:val="000000"/>
                <w:sz w:val="20"/>
                <w:szCs w:val="20"/>
                <w:lang w:val="ro-RO"/>
              </w:rPr>
              <w:lastRenderedPageBreak/>
              <w:t>lucrărilor de standardizare în cadrul comitetelor tehnice implementat;</w:t>
            </w:r>
          </w:p>
          <w:p w:rsidR="006E05EB" w:rsidRPr="004C0446" w:rsidRDefault="006E05EB" w:rsidP="00334505">
            <w:pPr>
              <w:spacing w:after="0" w:line="240" w:lineRule="auto"/>
              <w:rPr>
                <w:rFonts w:ascii="Times New Roman" w:eastAsia="Calibri" w:hAnsi="Times New Roman" w:cs="Times New Roman"/>
                <w:color w:val="000000"/>
                <w:sz w:val="20"/>
                <w:szCs w:val="20"/>
                <w:lang w:val="ro-RO"/>
              </w:rPr>
            </w:pPr>
          </w:p>
          <w:p w:rsidR="006E05EB" w:rsidRPr="004C0446" w:rsidRDefault="006E05EB" w:rsidP="00334505">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xml:space="preserve">Funcționalitățile Catalogului standardelor moldovene ”e-Standard” dezvoltate; </w:t>
            </w:r>
          </w:p>
          <w:p w:rsidR="006E05EB" w:rsidRPr="004C0446" w:rsidRDefault="006E05EB" w:rsidP="00334505">
            <w:pPr>
              <w:spacing w:after="0" w:line="240" w:lineRule="auto"/>
              <w:rPr>
                <w:rFonts w:ascii="Times New Roman" w:eastAsia="Calibri" w:hAnsi="Times New Roman" w:cs="Times New Roman"/>
                <w:color w:val="000000"/>
                <w:sz w:val="20"/>
                <w:szCs w:val="20"/>
                <w:lang w:val="ro-RO"/>
              </w:rPr>
            </w:pPr>
          </w:p>
          <w:p w:rsidR="006E05EB" w:rsidRPr="004C0446" w:rsidRDefault="006E05EB" w:rsidP="00334505">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Accesul on-line la standardele naţionale implementat;</w:t>
            </w:r>
          </w:p>
          <w:p w:rsidR="006E05EB" w:rsidRPr="004C0446" w:rsidRDefault="006E05EB" w:rsidP="00334505">
            <w:pPr>
              <w:spacing w:after="0" w:line="240" w:lineRule="auto"/>
              <w:rPr>
                <w:rFonts w:ascii="Times New Roman" w:eastAsia="Calibri" w:hAnsi="Times New Roman" w:cs="Times New Roman"/>
                <w:color w:val="000000"/>
                <w:sz w:val="20"/>
                <w:szCs w:val="20"/>
                <w:lang w:val="ro-RO"/>
              </w:rPr>
            </w:pPr>
          </w:p>
          <w:p w:rsidR="006E05EB" w:rsidRPr="004C0446" w:rsidRDefault="006E05EB" w:rsidP="00334505">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xml:space="preserve">Web-forum specializat pe </w:t>
            </w:r>
          </w:p>
          <w:p w:rsidR="006E05EB" w:rsidRPr="004C0446" w:rsidRDefault="006E05EB" w:rsidP="00334505">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tematica implementării standardelor europene creat.</w:t>
            </w:r>
          </w:p>
        </w:tc>
        <w:tc>
          <w:tcPr>
            <w:tcW w:w="1560" w:type="dxa"/>
            <w:shd w:val="clear" w:color="auto" w:fill="auto"/>
          </w:tcPr>
          <w:p w:rsidR="006E05EB" w:rsidRPr="004C0446" w:rsidRDefault="006E05EB"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lastRenderedPageBreak/>
              <w:t>Realizat parțial.</w:t>
            </w:r>
          </w:p>
        </w:tc>
        <w:tc>
          <w:tcPr>
            <w:tcW w:w="1434" w:type="dxa"/>
            <w:gridSpan w:val="2"/>
            <w:tcBorders>
              <w:top w:val="single" w:sz="4" w:space="0" w:color="auto"/>
              <w:bottom w:val="single" w:sz="4" w:space="0" w:color="auto"/>
            </w:tcBorders>
            <w:shd w:val="clear" w:color="auto" w:fill="auto"/>
          </w:tcPr>
          <w:p w:rsidR="006E05EB" w:rsidRPr="004C0446" w:rsidRDefault="006E05EB"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În conformitate cu demersul </w:t>
            </w:r>
            <w:r w:rsidRPr="004C0446">
              <w:rPr>
                <w:rFonts w:ascii="Times New Roman" w:eastAsia="Calibri" w:hAnsi="Times New Roman" w:cs="Times New Roman"/>
                <w:sz w:val="20"/>
                <w:szCs w:val="20"/>
                <w:lang w:val="ro-MD"/>
              </w:rPr>
              <w:lastRenderedPageBreak/>
              <w:t>Ministerului Finanțelor nr. 11/1-2/09-01 din 01.08.2016 (privind reducerea cheltuielilor bugetare), ISM a propus blocarea a 1300,0 mii lei din 1800 mii lei.</w:t>
            </w:r>
          </w:p>
          <w:p w:rsidR="006E05EB" w:rsidRPr="004C0446" w:rsidRDefault="006E05EB" w:rsidP="00334505">
            <w:pPr>
              <w:spacing w:after="40" w:line="240" w:lineRule="auto"/>
              <w:rPr>
                <w:rFonts w:ascii="Times New Roman" w:eastAsia="Calibri" w:hAnsi="Times New Roman" w:cs="Times New Roman"/>
                <w:sz w:val="20"/>
                <w:szCs w:val="20"/>
                <w:lang w:val="ro-MD"/>
              </w:rPr>
            </w:pPr>
          </w:p>
        </w:tc>
        <w:tc>
          <w:tcPr>
            <w:tcW w:w="1215" w:type="dxa"/>
            <w:tcBorders>
              <w:bottom w:val="single" w:sz="4" w:space="0" w:color="auto"/>
            </w:tcBorders>
            <w:shd w:val="clear" w:color="auto" w:fill="auto"/>
          </w:tcPr>
          <w:p w:rsidR="006E05EB" w:rsidRPr="004C0446" w:rsidRDefault="006E05EB" w:rsidP="00334505">
            <w:pPr>
              <w:spacing w:after="0" w:line="240" w:lineRule="auto"/>
              <w:rPr>
                <w:rFonts w:ascii="Times New Roman" w:eastAsia="Calibri" w:hAnsi="Times New Roman" w:cs="Times New Roman"/>
                <w:b/>
                <w:sz w:val="20"/>
                <w:szCs w:val="20"/>
                <w:lang w:val="ro-MD"/>
              </w:rPr>
            </w:pPr>
          </w:p>
        </w:tc>
      </w:tr>
      <w:tr w:rsidR="006E05EB" w:rsidRPr="00E943D3" w:rsidTr="00FB650E">
        <w:trPr>
          <w:trHeight w:val="426"/>
        </w:trPr>
        <w:tc>
          <w:tcPr>
            <w:tcW w:w="1802" w:type="dxa"/>
            <w:gridSpan w:val="2"/>
            <w:vMerge/>
            <w:shd w:val="clear" w:color="auto" w:fill="auto"/>
          </w:tcPr>
          <w:p w:rsidR="006E05EB" w:rsidRPr="004C0446" w:rsidRDefault="006E05EB" w:rsidP="00334505">
            <w:pPr>
              <w:spacing w:after="0" w:line="240" w:lineRule="auto"/>
              <w:rPr>
                <w:rFonts w:ascii="Times New Roman" w:eastAsia="Calibri" w:hAnsi="Times New Roman" w:cs="Times New Roman"/>
                <w:b/>
                <w:sz w:val="20"/>
                <w:szCs w:val="20"/>
                <w:lang w:val="ro-MD"/>
              </w:rPr>
            </w:pPr>
          </w:p>
        </w:tc>
        <w:tc>
          <w:tcPr>
            <w:tcW w:w="2411" w:type="dxa"/>
            <w:shd w:val="clear" w:color="auto" w:fill="auto"/>
          </w:tcPr>
          <w:p w:rsidR="006E05EB" w:rsidRPr="004C0446" w:rsidRDefault="006E05EB" w:rsidP="00334505">
            <w:pPr>
              <w:spacing w:after="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t>Dezvoltarea infrastructurii Institutului de Standardizare din Moldova, necesare pentru desfășurarea activității de standardizare, inclusiv la nivel european.</w:t>
            </w:r>
          </w:p>
        </w:tc>
        <w:tc>
          <w:tcPr>
            <w:tcW w:w="3639" w:type="dxa"/>
            <w:gridSpan w:val="2"/>
            <w:shd w:val="clear" w:color="auto" w:fill="auto"/>
          </w:tcPr>
          <w:p w:rsidR="006E05EB" w:rsidRPr="004C0446" w:rsidRDefault="006E05EB" w:rsidP="00FE7FD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ISM, cu forțele și resursele proprii (personalul angajat la ISM), a dezvoltat un modul electronic care permite actualizarea automatizată a bazei de date a standardelor europene și internaționale, cu utilizarea instrumentarului ce oferă baza de date MSQL ce este gestionată de ISM. Astfel, pe parcursul anului, în scopul </w:t>
            </w:r>
            <w:r w:rsidRPr="004C0446">
              <w:rPr>
                <w:rFonts w:ascii="Times New Roman" w:eastAsia="Calibri" w:hAnsi="Times New Roman" w:cs="Times New Roman"/>
                <w:sz w:val="20"/>
                <w:szCs w:val="20"/>
                <w:lang w:val="ro-MD"/>
              </w:rPr>
              <w:lastRenderedPageBreak/>
              <w:t>economisirii mijloacelor bugetare, în conformitate cu demersul Ministerului Finanțelor, ISM a renunțat la finanțarea cheltuielilor planificate din contul bugetului de stat.</w:t>
            </w:r>
          </w:p>
          <w:p w:rsidR="006E05EB" w:rsidRPr="004C0446" w:rsidRDefault="006E05EB" w:rsidP="00FE7FD5">
            <w:pPr>
              <w:tabs>
                <w:tab w:val="left" w:pos="175"/>
              </w:tabs>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xml:space="preserve">În plus, menționăm că dezvoltarea infrastructurii ISM este o condiție pentru a satisface cerințele față de membrii cu drepturi depline a Comitetului European de Standardizare (CEN) și a Comitetului European de Standardizare în Electrotehnică (CENELEC), stabilite în Ghidul CEN/CENELEC nr. 20. </w:t>
            </w:r>
          </w:p>
          <w:p w:rsidR="006E05EB" w:rsidRPr="004C0446" w:rsidRDefault="006E05EB" w:rsidP="00FE7FD5">
            <w:pPr>
              <w:tabs>
                <w:tab w:val="left" w:pos="175"/>
              </w:tabs>
              <w:spacing w:after="0" w:line="240" w:lineRule="auto"/>
              <w:rPr>
                <w:rFonts w:ascii="Times New Roman" w:eastAsia="Times New Roman" w:hAnsi="Times New Roman" w:cs="Times New Roman"/>
                <w:sz w:val="20"/>
                <w:szCs w:val="20"/>
                <w:lang w:val="ro-MD" w:eastAsia="ru-RU"/>
              </w:rPr>
            </w:pPr>
            <w:r w:rsidRPr="004C0446">
              <w:rPr>
                <w:rFonts w:ascii="Times New Roman" w:eastAsia="Calibri" w:hAnsi="Times New Roman" w:cs="Times New Roman"/>
                <w:sz w:val="20"/>
                <w:szCs w:val="20"/>
                <w:lang w:val="ro-MD"/>
              </w:rPr>
              <w:t xml:space="preserve">În 2016 ISM a aplicat și a obținut acceptul din partea Delegației UE în Moldova privind implementarea unui proiect Twinning Light, care are drept scop consultarea ISM din partea experților europeni în ceea ce privește conformarea ISM cu cerințele CEN/CENELEC față de membrii cu drepturi depline. Experții europeni urmează să consulte ISM, inclusiv în ceea ce privește dezvoltarea infrastructurii institutului. Din motive obiective, lansarea acestui proiect în 2016 nu a avut loc, el fiind transferat pentru anul 2017. </w:t>
            </w:r>
          </w:p>
        </w:tc>
        <w:tc>
          <w:tcPr>
            <w:tcW w:w="1135" w:type="dxa"/>
            <w:shd w:val="clear" w:color="auto" w:fill="FFFFFF" w:themeFill="background1"/>
          </w:tcPr>
          <w:p w:rsidR="006E05EB" w:rsidRPr="005911BC" w:rsidRDefault="001B00A7" w:rsidP="00334505">
            <w:pPr>
              <w:spacing w:after="0" w:line="240" w:lineRule="auto"/>
              <w:ind w:right="27"/>
              <w:jc w:val="center"/>
              <w:rPr>
                <w:rFonts w:ascii="Times New Roman" w:eastAsia="Calibri" w:hAnsi="Times New Roman" w:cs="Times New Roman"/>
                <w:bCs/>
                <w:sz w:val="20"/>
                <w:szCs w:val="20"/>
                <w:lang w:val="ro-MD" w:eastAsia="nl-NL"/>
              </w:rPr>
            </w:pPr>
            <w:r>
              <w:rPr>
                <w:rFonts w:ascii="Times New Roman" w:eastAsia="Calibri" w:hAnsi="Times New Roman" w:cs="Times New Roman"/>
                <w:bCs/>
                <w:sz w:val="20"/>
                <w:szCs w:val="20"/>
                <w:lang w:val="ro-MD" w:eastAsia="nl-NL"/>
              </w:rPr>
              <w:lastRenderedPageBreak/>
              <w:t>400</w:t>
            </w:r>
            <w:r w:rsidR="006E05EB" w:rsidRPr="005911BC">
              <w:rPr>
                <w:rFonts w:ascii="Times New Roman" w:eastAsia="Calibri" w:hAnsi="Times New Roman" w:cs="Times New Roman"/>
                <w:bCs/>
                <w:sz w:val="20"/>
                <w:szCs w:val="20"/>
                <w:lang w:val="ro-MD" w:eastAsia="nl-NL"/>
              </w:rPr>
              <w:t>,0</w:t>
            </w:r>
          </w:p>
        </w:tc>
        <w:tc>
          <w:tcPr>
            <w:tcW w:w="993" w:type="dxa"/>
            <w:shd w:val="clear" w:color="auto" w:fill="FFFFFF" w:themeFill="background1"/>
          </w:tcPr>
          <w:p w:rsidR="006E05EB" w:rsidRPr="005911BC" w:rsidRDefault="006E05EB" w:rsidP="00334505">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400,0</w:t>
            </w:r>
          </w:p>
        </w:tc>
        <w:tc>
          <w:tcPr>
            <w:tcW w:w="1561" w:type="dxa"/>
            <w:shd w:val="clear" w:color="auto" w:fill="auto"/>
          </w:tcPr>
          <w:p w:rsidR="006E05EB" w:rsidRPr="004C0446" w:rsidRDefault="006E05EB"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Echipame</w:t>
            </w:r>
            <w:r w:rsidR="00A95A3C">
              <w:rPr>
                <w:rFonts w:ascii="Times New Roman" w:eastAsia="Calibri" w:hAnsi="Times New Roman" w:cs="Times New Roman"/>
                <w:sz w:val="20"/>
                <w:szCs w:val="20"/>
                <w:lang w:val="ro-MD"/>
              </w:rPr>
              <w:t>nt IT din cadrul ISM modernizat</w:t>
            </w:r>
          </w:p>
          <w:p w:rsidR="006E05EB" w:rsidRPr="004C0446" w:rsidRDefault="006E05EB" w:rsidP="00334505">
            <w:pPr>
              <w:spacing w:after="0" w:line="240" w:lineRule="auto"/>
              <w:rPr>
                <w:rFonts w:ascii="Times New Roman" w:eastAsia="Calibri" w:hAnsi="Times New Roman" w:cs="Times New Roman"/>
                <w:sz w:val="20"/>
                <w:szCs w:val="20"/>
                <w:lang w:val="ro-MD"/>
              </w:rPr>
            </w:pPr>
          </w:p>
          <w:p w:rsidR="006E05EB" w:rsidRPr="004C0446" w:rsidRDefault="006E05EB" w:rsidP="00334505">
            <w:pPr>
              <w:spacing w:after="0" w:line="240" w:lineRule="auto"/>
              <w:rPr>
                <w:rFonts w:ascii="Times New Roman" w:eastAsia="Calibri" w:hAnsi="Times New Roman" w:cs="Times New Roman"/>
                <w:sz w:val="20"/>
                <w:szCs w:val="20"/>
                <w:lang w:val="ro-MD"/>
              </w:rPr>
            </w:pPr>
          </w:p>
          <w:p w:rsidR="006E05EB" w:rsidRPr="004C0446" w:rsidRDefault="006E05EB" w:rsidP="00334505">
            <w:pPr>
              <w:spacing w:after="0" w:line="240" w:lineRule="auto"/>
              <w:rPr>
                <w:rFonts w:ascii="Times New Roman" w:eastAsia="Calibri" w:hAnsi="Times New Roman" w:cs="Times New Roman"/>
                <w:sz w:val="20"/>
                <w:szCs w:val="20"/>
                <w:lang w:val="ro-MD"/>
              </w:rPr>
            </w:pPr>
          </w:p>
          <w:p w:rsidR="006E05EB" w:rsidRPr="004C0446" w:rsidRDefault="006E05EB" w:rsidP="00334505">
            <w:pPr>
              <w:spacing w:after="0" w:line="240" w:lineRule="auto"/>
              <w:rPr>
                <w:rFonts w:ascii="Times New Roman" w:eastAsia="Calibri" w:hAnsi="Times New Roman" w:cs="Times New Roman"/>
                <w:sz w:val="20"/>
                <w:szCs w:val="20"/>
                <w:lang w:val="ro-MD"/>
              </w:rPr>
            </w:pPr>
          </w:p>
          <w:p w:rsidR="006E05EB" w:rsidRPr="004C0446" w:rsidRDefault="006E05EB" w:rsidP="00334505">
            <w:pPr>
              <w:spacing w:after="0" w:line="240" w:lineRule="auto"/>
              <w:rPr>
                <w:rFonts w:ascii="Times New Roman" w:eastAsia="Calibri" w:hAnsi="Times New Roman" w:cs="Times New Roman"/>
                <w:sz w:val="20"/>
                <w:szCs w:val="20"/>
                <w:lang w:val="ro-MD"/>
              </w:rPr>
            </w:pPr>
          </w:p>
          <w:p w:rsidR="006E05EB" w:rsidRPr="004C0446" w:rsidRDefault="006E05EB"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lastRenderedPageBreak/>
              <w:t>Sala de ședințe pent</w:t>
            </w:r>
            <w:r w:rsidR="00A95A3C">
              <w:rPr>
                <w:rFonts w:ascii="Times New Roman" w:eastAsia="Calibri" w:hAnsi="Times New Roman" w:cs="Times New Roman"/>
                <w:sz w:val="20"/>
                <w:szCs w:val="20"/>
                <w:lang w:val="ro-MD"/>
              </w:rPr>
              <w:t>ru Comitetele tehnice amenajată</w:t>
            </w:r>
          </w:p>
          <w:p w:rsidR="006E05EB" w:rsidRPr="004C0446" w:rsidRDefault="006E05EB" w:rsidP="00334505">
            <w:pPr>
              <w:spacing w:after="0" w:line="240" w:lineRule="auto"/>
              <w:rPr>
                <w:rFonts w:ascii="Times New Roman" w:eastAsia="Calibri" w:hAnsi="Times New Roman" w:cs="Times New Roman"/>
                <w:sz w:val="20"/>
                <w:szCs w:val="20"/>
                <w:lang w:val="ro-MD"/>
              </w:rPr>
            </w:pPr>
          </w:p>
          <w:p w:rsidR="006E05EB" w:rsidRPr="004C0446" w:rsidRDefault="006E05EB" w:rsidP="00334505">
            <w:pPr>
              <w:spacing w:after="0" w:line="240" w:lineRule="auto"/>
              <w:rPr>
                <w:rFonts w:ascii="Times New Roman" w:eastAsia="Calibri" w:hAnsi="Times New Roman" w:cs="Times New Roman"/>
                <w:sz w:val="20"/>
                <w:szCs w:val="20"/>
                <w:lang w:val="ro-MD"/>
              </w:rPr>
            </w:pPr>
          </w:p>
          <w:p w:rsidR="006E05EB" w:rsidRPr="004C0446" w:rsidRDefault="006E05EB" w:rsidP="00334505">
            <w:pPr>
              <w:spacing w:after="0" w:line="240" w:lineRule="auto"/>
              <w:rPr>
                <w:rFonts w:ascii="Times New Roman" w:eastAsia="Calibri" w:hAnsi="Times New Roman" w:cs="Times New Roman"/>
                <w:sz w:val="20"/>
                <w:szCs w:val="20"/>
                <w:lang w:val="ro-MD"/>
              </w:rPr>
            </w:pPr>
          </w:p>
          <w:p w:rsidR="006E05EB" w:rsidRPr="004C0446" w:rsidRDefault="006E05EB" w:rsidP="00334505">
            <w:pPr>
              <w:spacing w:after="0" w:line="240" w:lineRule="auto"/>
              <w:rPr>
                <w:rFonts w:ascii="Times New Roman" w:eastAsia="Calibri" w:hAnsi="Times New Roman" w:cs="Times New Roman"/>
                <w:sz w:val="20"/>
                <w:szCs w:val="20"/>
                <w:lang w:val="ro-MD"/>
              </w:rPr>
            </w:pPr>
          </w:p>
          <w:p w:rsidR="006E05EB" w:rsidRPr="004C0446" w:rsidRDefault="006E05EB"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Sistem</w:t>
            </w:r>
            <w:r w:rsidR="00A95A3C">
              <w:rPr>
                <w:rFonts w:ascii="Times New Roman" w:eastAsia="Calibri" w:hAnsi="Times New Roman" w:cs="Times New Roman"/>
                <w:sz w:val="20"/>
                <w:szCs w:val="20"/>
                <w:lang w:val="ro-MD"/>
              </w:rPr>
              <w:t xml:space="preserve"> de videoconferințe implementat</w:t>
            </w:r>
          </w:p>
          <w:p w:rsidR="006E05EB" w:rsidRPr="004C0446" w:rsidRDefault="006E05EB" w:rsidP="00334505">
            <w:pPr>
              <w:spacing w:after="0" w:line="240" w:lineRule="auto"/>
              <w:rPr>
                <w:rFonts w:ascii="Times New Roman" w:eastAsia="Calibri" w:hAnsi="Times New Roman" w:cs="Times New Roman"/>
                <w:color w:val="000000"/>
                <w:sz w:val="20"/>
                <w:szCs w:val="20"/>
                <w:lang w:val="ro-RO"/>
              </w:rPr>
            </w:pPr>
          </w:p>
        </w:tc>
        <w:tc>
          <w:tcPr>
            <w:tcW w:w="1560" w:type="dxa"/>
            <w:shd w:val="clear" w:color="auto" w:fill="FFFFFF" w:themeFill="background1"/>
          </w:tcPr>
          <w:p w:rsidR="006E05EB" w:rsidRPr="005911BC" w:rsidRDefault="006E05EB" w:rsidP="00334505">
            <w:pPr>
              <w:spacing w:after="0" w:line="240" w:lineRule="auto"/>
              <w:rPr>
                <w:rFonts w:ascii="Times New Roman" w:eastAsia="Calibri" w:hAnsi="Times New Roman" w:cs="Times New Roman"/>
                <w:sz w:val="20"/>
                <w:szCs w:val="20"/>
                <w:lang w:val="ro-MD"/>
              </w:rPr>
            </w:pPr>
            <w:r w:rsidRPr="005911BC">
              <w:rPr>
                <w:rFonts w:ascii="Times New Roman" w:eastAsia="Calibri" w:hAnsi="Times New Roman" w:cs="Times New Roman"/>
                <w:sz w:val="20"/>
                <w:szCs w:val="20"/>
                <w:lang w:val="ro-MD"/>
              </w:rPr>
              <w:lastRenderedPageBreak/>
              <w:t>Procurate:</w:t>
            </w:r>
          </w:p>
          <w:p w:rsidR="006E05EB" w:rsidRPr="005911BC" w:rsidRDefault="00A95A3C" w:rsidP="00334505">
            <w:pPr>
              <w:spacing w:after="0" w:line="240" w:lineRule="auto"/>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- 3 imprimante multifunctionale</w:t>
            </w:r>
          </w:p>
          <w:p w:rsidR="006E05EB" w:rsidRPr="005911BC" w:rsidRDefault="006E05EB" w:rsidP="00334505">
            <w:pPr>
              <w:spacing w:after="0" w:line="240" w:lineRule="auto"/>
              <w:rPr>
                <w:rFonts w:ascii="Times New Roman" w:eastAsia="Calibri" w:hAnsi="Times New Roman" w:cs="Times New Roman"/>
                <w:sz w:val="20"/>
                <w:szCs w:val="20"/>
                <w:lang w:val="ro-MD"/>
              </w:rPr>
            </w:pPr>
            <w:r w:rsidRPr="005911BC">
              <w:rPr>
                <w:rFonts w:ascii="Times New Roman" w:eastAsia="Calibri" w:hAnsi="Times New Roman" w:cs="Times New Roman"/>
                <w:sz w:val="20"/>
                <w:szCs w:val="20"/>
                <w:lang w:val="ro-MD"/>
              </w:rPr>
              <w:t>-</w:t>
            </w:r>
            <w:r w:rsidR="00A95A3C">
              <w:rPr>
                <w:rFonts w:ascii="Times New Roman" w:eastAsia="Calibri" w:hAnsi="Times New Roman" w:cs="Times New Roman"/>
                <w:sz w:val="20"/>
                <w:szCs w:val="20"/>
                <w:lang w:val="ro-MD"/>
              </w:rPr>
              <w:t xml:space="preserve"> 4 PC</w:t>
            </w:r>
          </w:p>
          <w:p w:rsidR="006E05EB" w:rsidRPr="005911BC" w:rsidRDefault="00A95A3C" w:rsidP="00334505">
            <w:pPr>
              <w:spacing w:after="0" w:line="240" w:lineRule="auto"/>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-2 Tablete</w:t>
            </w:r>
          </w:p>
          <w:p w:rsidR="006E05EB" w:rsidRPr="005911BC" w:rsidRDefault="006E05EB" w:rsidP="00334505">
            <w:pPr>
              <w:spacing w:after="0" w:line="240" w:lineRule="auto"/>
              <w:rPr>
                <w:rFonts w:ascii="Times New Roman" w:eastAsia="Calibri" w:hAnsi="Times New Roman" w:cs="Times New Roman"/>
                <w:sz w:val="20"/>
                <w:szCs w:val="20"/>
                <w:lang w:val="ro-MD"/>
              </w:rPr>
            </w:pPr>
          </w:p>
          <w:p w:rsidR="006E05EB" w:rsidRPr="005911BC" w:rsidRDefault="006E05EB" w:rsidP="00334505">
            <w:pPr>
              <w:spacing w:after="0" w:line="240" w:lineRule="auto"/>
              <w:rPr>
                <w:rFonts w:ascii="Times New Roman" w:eastAsia="Calibri" w:hAnsi="Times New Roman" w:cs="Times New Roman"/>
                <w:sz w:val="20"/>
                <w:szCs w:val="20"/>
                <w:lang w:val="ro-MD"/>
              </w:rPr>
            </w:pPr>
          </w:p>
          <w:p w:rsidR="006E05EB" w:rsidRPr="005911BC" w:rsidRDefault="006E05EB" w:rsidP="00334505">
            <w:pPr>
              <w:spacing w:after="0" w:line="240" w:lineRule="auto"/>
              <w:rPr>
                <w:rFonts w:ascii="Times New Roman" w:eastAsia="Calibri" w:hAnsi="Times New Roman" w:cs="Times New Roman"/>
                <w:sz w:val="20"/>
                <w:szCs w:val="20"/>
                <w:lang w:val="ro-MD"/>
              </w:rPr>
            </w:pPr>
            <w:r w:rsidRPr="005911BC">
              <w:rPr>
                <w:rFonts w:ascii="Times New Roman" w:eastAsia="Calibri" w:hAnsi="Times New Roman" w:cs="Times New Roman"/>
                <w:sz w:val="20"/>
                <w:szCs w:val="20"/>
                <w:lang w:val="ro-MD"/>
              </w:rPr>
              <w:t>Instalate:</w:t>
            </w:r>
          </w:p>
          <w:p w:rsidR="006E05EB" w:rsidRPr="005911BC" w:rsidRDefault="00A95A3C" w:rsidP="00334505">
            <w:pPr>
              <w:spacing w:after="0" w:line="240" w:lineRule="auto"/>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lastRenderedPageBreak/>
              <w:t>- Proiector</w:t>
            </w:r>
          </w:p>
          <w:p w:rsidR="006E05EB" w:rsidRPr="005911BC" w:rsidRDefault="00A95A3C" w:rsidP="00334505">
            <w:pPr>
              <w:spacing w:after="0" w:line="240" w:lineRule="auto"/>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 Ecran de Proiectie</w:t>
            </w:r>
          </w:p>
          <w:p w:rsidR="006E05EB" w:rsidRPr="005911BC" w:rsidRDefault="00A95A3C" w:rsidP="00334505">
            <w:pPr>
              <w:spacing w:after="0" w:line="240" w:lineRule="auto"/>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 Notebook</w:t>
            </w:r>
          </w:p>
          <w:p w:rsidR="006E05EB" w:rsidRPr="005911BC" w:rsidRDefault="00A95A3C" w:rsidP="00334505">
            <w:pPr>
              <w:spacing w:after="0" w:line="240" w:lineRule="auto"/>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 conexiune internet</w:t>
            </w:r>
          </w:p>
          <w:p w:rsidR="006E05EB" w:rsidRPr="005911BC" w:rsidRDefault="006E05EB" w:rsidP="00334505">
            <w:pPr>
              <w:spacing w:after="0" w:line="240" w:lineRule="auto"/>
              <w:rPr>
                <w:rFonts w:ascii="Times New Roman" w:eastAsia="Calibri" w:hAnsi="Times New Roman" w:cs="Times New Roman"/>
                <w:sz w:val="20"/>
                <w:szCs w:val="20"/>
                <w:lang w:val="ro-MD"/>
              </w:rPr>
            </w:pPr>
          </w:p>
          <w:p w:rsidR="006E05EB" w:rsidRDefault="006E05EB" w:rsidP="00334505">
            <w:pPr>
              <w:spacing w:after="0" w:line="240" w:lineRule="auto"/>
              <w:rPr>
                <w:rFonts w:ascii="Times New Roman" w:eastAsia="Calibri" w:hAnsi="Times New Roman" w:cs="Times New Roman"/>
                <w:sz w:val="20"/>
                <w:szCs w:val="20"/>
                <w:lang w:val="ro-MD"/>
              </w:rPr>
            </w:pPr>
          </w:p>
          <w:p w:rsidR="00090617" w:rsidRPr="005911BC" w:rsidRDefault="00090617" w:rsidP="00334505">
            <w:pPr>
              <w:spacing w:after="0" w:line="240" w:lineRule="auto"/>
              <w:rPr>
                <w:rFonts w:ascii="Times New Roman" w:eastAsia="Calibri" w:hAnsi="Times New Roman" w:cs="Times New Roman"/>
                <w:sz w:val="20"/>
                <w:szCs w:val="20"/>
                <w:lang w:val="ro-MD"/>
              </w:rPr>
            </w:pPr>
          </w:p>
          <w:p w:rsidR="006E05EB" w:rsidRPr="005911BC" w:rsidRDefault="006E05EB" w:rsidP="00334505">
            <w:pPr>
              <w:spacing w:after="0" w:line="240" w:lineRule="auto"/>
              <w:rPr>
                <w:rFonts w:ascii="Times New Roman" w:eastAsia="Calibri" w:hAnsi="Times New Roman" w:cs="Times New Roman"/>
                <w:sz w:val="20"/>
                <w:szCs w:val="20"/>
                <w:lang w:val="ro-MD"/>
              </w:rPr>
            </w:pPr>
            <w:r w:rsidRPr="005911BC">
              <w:rPr>
                <w:rFonts w:ascii="Times New Roman" w:eastAsia="Calibri" w:hAnsi="Times New Roman" w:cs="Times New Roman"/>
                <w:sz w:val="20"/>
                <w:szCs w:val="20"/>
                <w:lang w:val="ro-MD"/>
              </w:rPr>
              <w:t>A fost implementat în activitatea ISM Google Drive</w:t>
            </w:r>
          </w:p>
        </w:tc>
        <w:tc>
          <w:tcPr>
            <w:tcW w:w="1434" w:type="dxa"/>
            <w:gridSpan w:val="2"/>
            <w:tcBorders>
              <w:bottom w:val="single" w:sz="4" w:space="0" w:color="auto"/>
            </w:tcBorders>
            <w:shd w:val="clear" w:color="auto" w:fill="auto"/>
          </w:tcPr>
          <w:p w:rsidR="006E05EB" w:rsidRPr="004C0446" w:rsidRDefault="006E05EB" w:rsidP="00334505">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lastRenderedPageBreak/>
              <w:t xml:space="preserve">În conformitate cu demersul Ministerului Finanțelor nr. 11/1-2/09-01 din 01.08.2016 (privind </w:t>
            </w:r>
            <w:r w:rsidRPr="004C0446">
              <w:rPr>
                <w:rFonts w:ascii="Times New Roman" w:eastAsia="Calibri" w:hAnsi="Times New Roman" w:cs="Times New Roman"/>
                <w:sz w:val="20"/>
                <w:szCs w:val="20"/>
                <w:lang w:val="ro-MD"/>
              </w:rPr>
              <w:lastRenderedPageBreak/>
              <w:t>reducerea cheltuielilor bugetare), ISM a propus blocarea a 1</w:t>
            </w:r>
            <w:r w:rsidR="00A95A3C">
              <w:rPr>
                <w:rFonts w:ascii="Times New Roman" w:eastAsia="Calibri" w:hAnsi="Times New Roman" w:cs="Times New Roman"/>
                <w:sz w:val="20"/>
                <w:szCs w:val="20"/>
                <w:lang w:val="ro-MD"/>
              </w:rPr>
              <w:t>600,0 mii lei din 2000 mii lei.</w:t>
            </w:r>
          </w:p>
          <w:p w:rsidR="006E05EB" w:rsidRPr="004C0446" w:rsidRDefault="006E05EB" w:rsidP="00334505">
            <w:pPr>
              <w:spacing w:after="40" w:line="240" w:lineRule="auto"/>
              <w:rPr>
                <w:rFonts w:ascii="Times New Roman" w:eastAsia="Calibri" w:hAnsi="Times New Roman" w:cs="Times New Roman"/>
                <w:sz w:val="20"/>
                <w:szCs w:val="20"/>
                <w:lang w:val="ro-MD"/>
              </w:rPr>
            </w:pPr>
          </w:p>
        </w:tc>
        <w:tc>
          <w:tcPr>
            <w:tcW w:w="1215" w:type="dxa"/>
            <w:tcBorders>
              <w:bottom w:val="single" w:sz="4" w:space="0" w:color="auto"/>
            </w:tcBorders>
            <w:shd w:val="clear" w:color="auto" w:fill="auto"/>
          </w:tcPr>
          <w:p w:rsidR="006E05EB" w:rsidRPr="004C0446" w:rsidRDefault="006E05EB" w:rsidP="0033450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sz w:val="20"/>
                <w:szCs w:val="20"/>
                <w:lang w:val="ro-MD"/>
              </w:rPr>
              <w:lastRenderedPageBreak/>
              <w:t>În anul 2017 această acțiune va fi realizată integral.</w:t>
            </w:r>
          </w:p>
        </w:tc>
      </w:tr>
      <w:tr w:rsidR="00334505" w:rsidRPr="004C0446" w:rsidTr="00FB650E">
        <w:trPr>
          <w:trHeight w:val="426"/>
        </w:trPr>
        <w:tc>
          <w:tcPr>
            <w:tcW w:w="7852" w:type="dxa"/>
            <w:gridSpan w:val="5"/>
            <w:shd w:val="clear" w:color="auto" w:fill="EAF1DD" w:themeFill="accent3"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Total subprogram, mii lei</w:t>
            </w:r>
          </w:p>
        </w:tc>
        <w:tc>
          <w:tcPr>
            <w:tcW w:w="1135" w:type="dxa"/>
            <w:shd w:val="clear" w:color="auto" w:fill="EAF1DD" w:themeFill="accent3" w:themeFillTint="33"/>
            <w:vAlign w:val="center"/>
          </w:tcPr>
          <w:p w:rsidR="00334505" w:rsidRPr="004C0446" w:rsidRDefault="001B00A7" w:rsidP="00334505">
            <w:pPr>
              <w:spacing w:after="0" w:line="240" w:lineRule="auto"/>
              <w:ind w:right="27"/>
              <w:jc w:val="center"/>
              <w:rPr>
                <w:rFonts w:ascii="Times New Roman" w:eastAsia="Calibri" w:hAnsi="Times New Roman" w:cs="Times New Roman"/>
                <w:b/>
                <w:bCs/>
                <w:sz w:val="20"/>
                <w:szCs w:val="20"/>
                <w:lang w:val="ro-MD" w:eastAsia="nl-NL"/>
              </w:rPr>
            </w:pPr>
            <w:r w:rsidRPr="001B00A7">
              <w:rPr>
                <w:rFonts w:ascii="Times New Roman" w:eastAsia="Calibri" w:hAnsi="Times New Roman" w:cs="Times New Roman"/>
                <w:b/>
                <w:bCs/>
                <w:sz w:val="20"/>
                <w:szCs w:val="20"/>
                <w:lang w:val="ro-MD" w:eastAsia="nl-NL"/>
              </w:rPr>
              <w:t>6840,</w:t>
            </w:r>
            <w:r w:rsidR="00334505" w:rsidRPr="001B00A7">
              <w:rPr>
                <w:rFonts w:ascii="Times New Roman" w:eastAsia="Calibri" w:hAnsi="Times New Roman" w:cs="Times New Roman"/>
                <w:b/>
                <w:bCs/>
                <w:sz w:val="20"/>
                <w:szCs w:val="20"/>
                <w:lang w:val="ro-MD" w:eastAsia="nl-NL"/>
              </w:rPr>
              <w:t>0</w:t>
            </w:r>
          </w:p>
        </w:tc>
        <w:tc>
          <w:tcPr>
            <w:tcW w:w="993" w:type="dxa"/>
            <w:shd w:val="clear" w:color="auto" w:fill="EAF1DD" w:themeFill="accent3" w:themeFillTint="33"/>
            <w:vAlign w:val="center"/>
          </w:tcPr>
          <w:p w:rsidR="00334505" w:rsidRPr="004C0446" w:rsidRDefault="00334505" w:rsidP="00334505">
            <w:pPr>
              <w:spacing w:after="0" w:line="240" w:lineRule="auto"/>
              <w:jc w:val="center"/>
              <w:rPr>
                <w:rFonts w:ascii="Times New Roman" w:eastAsia="Calibri" w:hAnsi="Times New Roman" w:cs="Times New Roman"/>
                <w:b/>
                <w:bCs/>
                <w:sz w:val="20"/>
                <w:szCs w:val="20"/>
                <w:lang w:val="ro-MD" w:eastAsia="nl-NL"/>
              </w:rPr>
            </w:pPr>
            <w:r w:rsidRPr="004C0446">
              <w:rPr>
                <w:rFonts w:ascii="Times New Roman" w:eastAsia="Calibri" w:hAnsi="Times New Roman" w:cs="Times New Roman"/>
                <w:b/>
                <w:bCs/>
                <w:sz w:val="20"/>
                <w:szCs w:val="20"/>
                <w:lang w:val="ro-MD" w:eastAsia="nl-NL"/>
              </w:rPr>
              <w:t>6840,0</w:t>
            </w:r>
          </w:p>
        </w:tc>
        <w:tc>
          <w:tcPr>
            <w:tcW w:w="1561" w:type="dxa"/>
            <w:shd w:val="clear" w:color="auto" w:fill="EAF1DD" w:themeFill="accent3" w:themeFillTint="33"/>
          </w:tcPr>
          <w:p w:rsidR="00334505" w:rsidRPr="004C0446" w:rsidRDefault="00334505" w:rsidP="00334505">
            <w:pPr>
              <w:spacing w:after="0" w:line="240" w:lineRule="auto"/>
              <w:ind w:right="27"/>
              <w:jc w:val="center"/>
              <w:rPr>
                <w:rFonts w:ascii="Times New Roman" w:eastAsia="Calibri" w:hAnsi="Times New Roman" w:cs="Times New Roman"/>
                <w:bCs/>
                <w:sz w:val="20"/>
                <w:szCs w:val="20"/>
                <w:lang w:val="ro-MD" w:eastAsia="nl-NL"/>
              </w:rPr>
            </w:pPr>
          </w:p>
        </w:tc>
        <w:tc>
          <w:tcPr>
            <w:tcW w:w="1560" w:type="dxa"/>
            <w:shd w:val="clear" w:color="auto" w:fill="EAF1DD" w:themeFill="accent3" w:themeFillTint="33"/>
          </w:tcPr>
          <w:p w:rsidR="00334505" w:rsidRPr="004C0446" w:rsidRDefault="00334505" w:rsidP="00334505">
            <w:pPr>
              <w:spacing w:after="0" w:line="240" w:lineRule="auto"/>
              <w:jc w:val="center"/>
              <w:rPr>
                <w:rFonts w:ascii="Times New Roman" w:eastAsia="Calibri" w:hAnsi="Times New Roman" w:cs="Times New Roman"/>
                <w:bCs/>
                <w:sz w:val="20"/>
                <w:szCs w:val="20"/>
                <w:lang w:val="ro-MD" w:eastAsia="nl-NL"/>
              </w:rPr>
            </w:pPr>
          </w:p>
        </w:tc>
        <w:tc>
          <w:tcPr>
            <w:tcW w:w="1434" w:type="dxa"/>
            <w:gridSpan w:val="2"/>
            <w:tcBorders>
              <w:bottom w:val="single" w:sz="4" w:space="0" w:color="auto"/>
            </w:tcBorders>
            <w:shd w:val="clear" w:color="auto" w:fill="EAF1DD" w:themeFill="accent3" w:themeFillTint="33"/>
          </w:tcPr>
          <w:p w:rsidR="00334505" w:rsidRPr="004C0446" w:rsidRDefault="00334505" w:rsidP="00334505">
            <w:pPr>
              <w:spacing w:after="0" w:line="240" w:lineRule="auto"/>
              <w:jc w:val="both"/>
              <w:rPr>
                <w:rFonts w:ascii="Times New Roman" w:eastAsia="Calibri" w:hAnsi="Times New Roman" w:cs="Times New Roman"/>
                <w:color w:val="000000"/>
                <w:sz w:val="20"/>
                <w:szCs w:val="20"/>
                <w:lang w:val="ro-RO"/>
              </w:rPr>
            </w:pPr>
          </w:p>
        </w:tc>
        <w:tc>
          <w:tcPr>
            <w:tcW w:w="1215" w:type="dxa"/>
            <w:tcBorders>
              <w:bottom w:val="single" w:sz="4" w:space="0" w:color="auto"/>
            </w:tcBorders>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sz w:val="20"/>
                <w:szCs w:val="20"/>
                <w:lang w:val="ro-MD"/>
              </w:rPr>
            </w:pPr>
          </w:p>
        </w:tc>
      </w:tr>
      <w:tr w:rsidR="00FE7FD5" w:rsidRPr="00E943D3" w:rsidTr="00FB650E">
        <w:trPr>
          <w:trHeight w:val="426"/>
        </w:trPr>
        <w:tc>
          <w:tcPr>
            <w:tcW w:w="15750" w:type="dxa"/>
            <w:gridSpan w:val="12"/>
            <w:shd w:val="clear" w:color="auto" w:fill="EAF1DD" w:themeFill="accent3" w:themeFillTint="33"/>
            <w:vAlign w:val="center"/>
          </w:tcPr>
          <w:p w:rsidR="00FE7FD5" w:rsidRPr="004C0446" w:rsidRDefault="00FE7FD5" w:rsidP="00FE7FD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Programul 6800 ”Dezvoltarea reglementărilor tehnice naţionale”</w:t>
            </w:r>
          </w:p>
          <w:p w:rsidR="00FE7FD5" w:rsidRPr="004C0446" w:rsidRDefault="00FE7FD5" w:rsidP="00FE7FD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i/>
                <w:sz w:val="20"/>
                <w:szCs w:val="20"/>
                <w:lang w:val="ro-MD"/>
              </w:rPr>
              <w:t>Subprogramul 6804 ”Dezvoltarea sistemului naţional de metrologie”</w:t>
            </w:r>
          </w:p>
        </w:tc>
      </w:tr>
      <w:tr w:rsidR="00CF1FBC" w:rsidRPr="004C0446" w:rsidTr="00FB650E">
        <w:trPr>
          <w:trHeight w:val="976"/>
        </w:trPr>
        <w:tc>
          <w:tcPr>
            <w:tcW w:w="1802" w:type="dxa"/>
            <w:gridSpan w:val="2"/>
            <w:vMerge w:val="restart"/>
          </w:tcPr>
          <w:p w:rsidR="00CF1FBC" w:rsidRPr="004C0446" w:rsidRDefault="00CF1FBC" w:rsidP="00334505">
            <w:pPr>
              <w:numPr>
                <w:ilvl w:val="0"/>
                <w:numId w:val="2"/>
              </w:numPr>
              <w:spacing w:after="0" w:line="240" w:lineRule="auto"/>
              <w:ind w:left="142" w:hanging="142"/>
              <w:rPr>
                <w:rFonts w:ascii="Times New Roman" w:eastAsia="Calibri" w:hAnsi="Times New Roman" w:cs="Times New Roman"/>
                <w:sz w:val="20"/>
                <w:szCs w:val="20"/>
                <w:lang w:val="ro-MD"/>
              </w:rPr>
            </w:pPr>
            <w:r w:rsidRPr="004C0446">
              <w:rPr>
                <w:rFonts w:ascii="Times New Roman" w:eastAsia="Calibri" w:hAnsi="Times New Roman" w:cs="Times New Roman"/>
                <w:color w:val="000000"/>
                <w:sz w:val="20"/>
                <w:szCs w:val="20"/>
                <w:lang w:val="ro-MD"/>
              </w:rPr>
              <w:t xml:space="preserve">Asigurarea trasabilităţii permanente a măsurărilor efectuate în RM la sistemul internaţional de unităţi şi recunoaşterea internaţională a acestor măsurări şi publicarea tabelelor CMC (Calibration and </w:t>
            </w:r>
            <w:r w:rsidRPr="004C0446">
              <w:rPr>
                <w:rFonts w:ascii="Times New Roman" w:eastAsia="Calibri" w:hAnsi="Times New Roman" w:cs="Times New Roman"/>
                <w:color w:val="000000"/>
                <w:sz w:val="20"/>
                <w:szCs w:val="20"/>
                <w:lang w:val="ro-MD"/>
              </w:rPr>
              <w:lastRenderedPageBreak/>
              <w:t>Measurement Capabilities)</w:t>
            </w:r>
            <w:r w:rsidR="00A95A3C">
              <w:rPr>
                <w:rFonts w:ascii="Times New Roman" w:eastAsia="Calibri" w:hAnsi="Times New Roman" w:cs="Times New Roman"/>
                <w:color w:val="000000"/>
                <w:sz w:val="20"/>
                <w:szCs w:val="20"/>
                <w:lang w:val="ro-MD"/>
              </w:rPr>
              <w:t>.</w:t>
            </w:r>
          </w:p>
        </w:tc>
        <w:tc>
          <w:tcPr>
            <w:tcW w:w="2411" w:type="dxa"/>
            <w:vMerge w:val="restart"/>
          </w:tcPr>
          <w:p w:rsidR="00CF1FBC" w:rsidRPr="004C0446" w:rsidRDefault="00CF1FBC" w:rsidP="00EF2D52">
            <w:pPr>
              <w:tabs>
                <w:tab w:val="left" w:pos="155"/>
              </w:tabs>
              <w:autoSpaceDE w:val="0"/>
              <w:autoSpaceDN w:val="0"/>
              <w:adjustRightInd w:val="0"/>
              <w:spacing w:after="40" w:line="240" w:lineRule="auto"/>
              <w:rPr>
                <w:rFonts w:ascii="Times New Roman" w:hAnsi="Times New Roman" w:cs="Times New Roman"/>
                <w:sz w:val="20"/>
                <w:szCs w:val="20"/>
                <w:lang w:val="ro-RO"/>
              </w:rPr>
            </w:pPr>
            <w:r w:rsidRPr="004C0446">
              <w:rPr>
                <w:rFonts w:ascii="Times New Roman" w:hAnsi="Times New Roman" w:cs="Times New Roman"/>
                <w:sz w:val="20"/>
                <w:szCs w:val="20"/>
                <w:lang w:val="ro-RO"/>
              </w:rPr>
              <w:lastRenderedPageBreak/>
              <w:t xml:space="preserve">Modernizarea, dezvoltarea şi gestionarea Bazei Naţionale de Etaloane (BNE), în scopul transmiterii unităţilor de măsură SI credibile, de la etaloanele din componenţa BNE la etaloanele de lucru/ mijloacele de măsurare ale operatorilor economici, precum şi în scopul recunoaşterii rezultatelor măsurărilor </w:t>
            </w:r>
            <w:r w:rsidRPr="004C0446">
              <w:rPr>
                <w:rFonts w:ascii="Times New Roman" w:hAnsi="Times New Roman" w:cs="Times New Roman"/>
                <w:sz w:val="20"/>
                <w:szCs w:val="20"/>
                <w:lang w:val="ro-RO"/>
              </w:rPr>
              <w:lastRenderedPageBreak/>
              <w:t>efectuate în RM la nivel internaţional, prin:</w:t>
            </w:r>
          </w:p>
          <w:p w:rsidR="00CF1FBC" w:rsidRPr="004C0446" w:rsidRDefault="00CF1FBC" w:rsidP="000407C1">
            <w:pPr>
              <w:numPr>
                <w:ilvl w:val="0"/>
                <w:numId w:val="10"/>
              </w:numPr>
              <w:tabs>
                <w:tab w:val="clear" w:pos="720"/>
                <w:tab w:val="num" w:pos="176"/>
              </w:tabs>
              <w:autoSpaceDE w:val="0"/>
              <w:autoSpaceDN w:val="0"/>
              <w:adjustRightInd w:val="0"/>
              <w:spacing w:after="40" w:line="240" w:lineRule="auto"/>
              <w:ind w:left="176" w:hanging="176"/>
              <w:rPr>
                <w:rFonts w:ascii="Times New Roman" w:hAnsi="Times New Roman" w:cs="Times New Roman"/>
                <w:sz w:val="20"/>
                <w:szCs w:val="20"/>
                <w:lang w:val="ro-RO"/>
              </w:rPr>
            </w:pPr>
            <w:r w:rsidRPr="004C0446">
              <w:rPr>
                <w:rFonts w:ascii="Times New Roman" w:hAnsi="Times New Roman" w:cs="Times New Roman"/>
                <w:sz w:val="20"/>
                <w:szCs w:val="20"/>
                <w:lang w:val="ro-RO"/>
              </w:rPr>
              <w:t>cercetarea etaloanelor şi, modernizarea şi crearea etaloanelor noi;</w:t>
            </w:r>
          </w:p>
          <w:p w:rsidR="00CF1FBC" w:rsidRPr="004C0446" w:rsidRDefault="00CF1FBC" w:rsidP="000407C1">
            <w:pPr>
              <w:numPr>
                <w:ilvl w:val="0"/>
                <w:numId w:val="10"/>
              </w:numPr>
              <w:tabs>
                <w:tab w:val="clear" w:pos="720"/>
                <w:tab w:val="num" w:pos="176"/>
              </w:tabs>
              <w:autoSpaceDE w:val="0"/>
              <w:autoSpaceDN w:val="0"/>
              <w:adjustRightInd w:val="0"/>
              <w:spacing w:after="40" w:line="240" w:lineRule="auto"/>
              <w:ind w:left="176" w:hanging="176"/>
              <w:rPr>
                <w:rFonts w:ascii="Times New Roman" w:hAnsi="Times New Roman" w:cs="Times New Roman"/>
                <w:sz w:val="20"/>
                <w:szCs w:val="20"/>
                <w:lang w:val="ro-RO"/>
              </w:rPr>
            </w:pPr>
            <w:r w:rsidRPr="004C0446">
              <w:rPr>
                <w:rFonts w:ascii="Times New Roman" w:hAnsi="Times New Roman" w:cs="Times New Roman"/>
                <w:sz w:val="20"/>
                <w:szCs w:val="20"/>
                <w:lang w:val="ro-RO"/>
              </w:rPr>
              <w:t>efectuarea etalonărilor cu utilizarea BNE;</w:t>
            </w:r>
          </w:p>
          <w:p w:rsidR="00CF1FBC" w:rsidRPr="004C0446" w:rsidRDefault="00CF1FBC" w:rsidP="000407C1">
            <w:pPr>
              <w:numPr>
                <w:ilvl w:val="0"/>
                <w:numId w:val="10"/>
              </w:numPr>
              <w:tabs>
                <w:tab w:val="clear" w:pos="720"/>
                <w:tab w:val="num" w:pos="176"/>
              </w:tabs>
              <w:autoSpaceDE w:val="0"/>
              <w:autoSpaceDN w:val="0"/>
              <w:adjustRightInd w:val="0"/>
              <w:spacing w:after="40" w:line="240" w:lineRule="auto"/>
              <w:ind w:left="176" w:hanging="176"/>
              <w:rPr>
                <w:rFonts w:ascii="Times New Roman" w:hAnsi="Times New Roman" w:cs="Times New Roman"/>
                <w:sz w:val="20"/>
                <w:szCs w:val="20"/>
                <w:lang w:val="ro-RO"/>
              </w:rPr>
            </w:pPr>
            <w:r w:rsidRPr="004C0446">
              <w:rPr>
                <w:rFonts w:ascii="Times New Roman" w:hAnsi="Times New Roman" w:cs="Times New Roman"/>
                <w:sz w:val="20"/>
                <w:szCs w:val="20"/>
                <w:lang w:val="ro-RO"/>
              </w:rPr>
              <w:t>participarea la intercomparări regionale şi publicarea Tabelelor CMC (Calibration and Measurement Capabilities);</w:t>
            </w:r>
          </w:p>
          <w:p w:rsidR="00CF1FBC" w:rsidRPr="004C0446" w:rsidRDefault="00CF1FBC" w:rsidP="000407C1">
            <w:pPr>
              <w:numPr>
                <w:ilvl w:val="0"/>
                <w:numId w:val="10"/>
              </w:numPr>
              <w:tabs>
                <w:tab w:val="clear" w:pos="720"/>
                <w:tab w:val="num" w:pos="176"/>
              </w:tabs>
              <w:autoSpaceDE w:val="0"/>
              <w:autoSpaceDN w:val="0"/>
              <w:adjustRightInd w:val="0"/>
              <w:spacing w:after="40" w:line="240" w:lineRule="auto"/>
              <w:ind w:left="176" w:hanging="176"/>
              <w:rPr>
                <w:rFonts w:ascii="Times New Roman" w:hAnsi="Times New Roman" w:cs="Times New Roman"/>
                <w:sz w:val="20"/>
                <w:szCs w:val="20"/>
                <w:lang w:val="ro-RO"/>
              </w:rPr>
            </w:pPr>
            <w:r w:rsidRPr="004C0446">
              <w:rPr>
                <w:rFonts w:ascii="Times New Roman" w:hAnsi="Times New Roman" w:cs="Times New Roman"/>
                <w:sz w:val="20"/>
                <w:szCs w:val="20"/>
                <w:lang w:val="ro-RO"/>
              </w:rPr>
              <w:t>instruirea şi stagierea  personalului Institutului Naţional de Metrologie (INM);</w:t>
            </w:r>
          </w:p>
          <w:p w:rsidR="00CF1FBC" w:rsidRPr="004C0446" w:rsidRDefault="00CF1FBC" w:rsidP="000407C1">
            <w:pPr>
              <w:numPr>
                <w:ilvl w:val="0"/>
                <w:numId w:val="10"/>
              </w:numPr>
              <w:tabs>
                <w:tab w:val="clear" w:pos="720"/>
                <w:tab w:val="num" w:pos="176"/>
              </w:tabs>
              <w:autoSpaceDE w:val="0"/>
              <w:autoSpaceDN w:val="0"/>
              <w:adjustRightInd w:val="0"/>
              <w:spacing w:after="40" w:line="240" w:lineRule="auto"/>
              <w:ind w:left="176" w:hanging="176"/>
              <w:rPr>
                <w:rFonts w:ascii="Times New Roman" w:eastAsia="Calibri" w:hAnsi="Times New Roman" w:cs="Times New Roman"/>
                <w:sz w:val="20"/>
                <w:szCs w:val="20"/>
                <w:lang w:val="ro-RO"/>
              </w:rPr>
            </w:pPr>
            <w:r w:rsidRPr="004C0446">
              <w:rPr>
                <w:rFonts w:ascii="Times New Roman" w:hAnsi="Times New Roman" w:cs="Times New Roman"/>
                <w:sz w:val="20"/>
                <w:szCs w:val="20"/>
                <w:lang w:val="ro-RO"/>
              </w:rPr>
              <w:t>participarea la activităţile desfăşurate  în cadrul organizaţiei regionale de metrologie COOMET;</w:t>
            </w:r>
          </w:p>
          <w:p w:rsidR="00CF1FBC" w:rsidRPr="004C0446" w:rsidRDefault="00CF1FBC" w:rsidP="000407C1">
            <w:pPr>
              <w:numPr>
                <w:ilvl w:val="0"/>
                <w:numId w:val="10"/>
              </w:numPr>
              <w:tabs>
                <w:tab w:val="clear" w:pos="720"/>
                <w:tab w:val="num" w:pos="176"/>
              </w:tabs>
              <w:autoSpaceDE w:val="0"/>
              <w:autoSpaceDN w:val="0"/>
              <w:adjustRightInd w:val="0"/>
              <w:spacing w:after="0" w:line="240" w:lineRule="auto"/>
              <w:ind w:left="176" w:hanging="176"/>
              <w:rPr>
                <w:rFonts w:ascii="Times New Roman" w:eastAsia="Calibri" w:hAnsi="Times New Roman" w:cs="Times New Roman"/>
                <w:sz w:val="20"/>
                <w:szCs w:val="20"/>
                <w:lang w:val="ro-RO"/>
              </w:rPr>
            </w:pPr>
            <w:r w:rsidRPr="004C0446">
              <w:rPr>
                <w:rFonts w:ascii="Times New Roman" w:hAnsi="Times New Roman" w:cs="Times New Roman"/>
                <w:sz w:val="20"/>
                <w:szCs w:val="20"/>
                <w:lang w:val="ro-RO"/>
              </w:rPr>
              <w:t>menţinerea şi dezvoltarea unui sistem de management al calităţii, recunoscut la nivel internaţional.</w:t>
            </w:r>
          </w:p>
        </w:tc>
        <w:tc>
          <w:tcPr>
            <w:tcW w:w="3639" w:type="dxa"/>
            <w:gridSpan w:val="2"/>
            <w:vMerge w:val="restart"/>
          </w:tcPr>
          <w:p w:rsidR="00CF1FBC" w:rsidRPr="004C0446" w:rsidRDefault="00CF1FBC" w:rsidP="00EF2D52">
            <w:pPr>
              <w:pStyle w:val="ListParagraph"/>
              <w:spacing w:after="40" w:line="240" w:lineRule="auto"/>
              <w:ind w:left="34"/>
              <w:contextualSpacing w:val="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lastRenderedPageBreak/>
              <w:t>În perioada de raportare au fost realizate următoarele activităţi:</w:t>
            </w:r>
          </w:p>
          <w:p w:rsidR="00CF1FBC" w:rsidRPr="004C0446" w:rsidRDefault="00CF1FBC" w:rsidP="000407C1">
            <w:pPr>
              <w:pStyle w:val="ListParagraph"/>
              <w:numPr>
                <w:ilvl w:val="0"/>
                <w:numId w:val="11"/>
              </w:numPr>
              <w:spacing w:after="40" w:line="240" w:lineRule="auto"/>
              <w:ind w:left="317" w:hanging="283"/>
              <w:contextualSpacing w:val="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572 de cercetări a 124 de compartimente a 11 etaloane naţionale, 2 etaloane de referinţă națională, 13 etaloane de referință și 59 de etaloane de lucru din dotarea laboratoarelor INM;</w:t>
            </w:r>
          </w:p>
          <w:p w:rsidR="00CF1FBC" w:rsidRPr="004C0446" w:rsidRDefault="00CF1FBC" w:rsidP="000407C1">
            <w:pPr>
              <w:pStyle w:val="ListParagraph"/>
              <w:numPr>
                <w:ilvl w:val="0"/>
                <w:numId w:val="11"/>
              </w:numPr>
              <w:spacing w:after="40" w:line="240" w:lineRule="auto"/>
              <w:ind w:left="317" w:hanging="283"/>
              <w:contextualSpacing w:val="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în data de 11.07.2016 au fost aprobate dou</w:t>
            </w:r>
            <w:r w:rsidRPr="004C0446">
              <w:rPr>
                <w:rFonts w:ascii="Times New Roman" w:eastAsia="Times New Roman" w:hAnsi="Times New Roman" w:cs="Times New Roman"/>
                <w:sz w:val="20"/>
                <w:szCs w:val="20"/>
                <w:lang w:val="ro-RO" w:eastAsia="ru-RU"/>
              </w:rPr>
              <w:t>ă etaloane drept etaloane naţionale;</w:t>
            </w:r>
          </w:p>
          <w:p w:rsidR="00CF1FBC" w:rsidRPr="004C0446" w:rsidRDefault="00CF1FBC" w:rsidP="000407C1">
            <w:pPr>
              <w:pStyle w:val="ListParagraph"/>
              <w:numPr>
                <w:ilvl w:val="0"/>
                <w:numId w:val="11"/>
              </w:numPr>
              <w:spacing w:after="40" w:line="240" w:lineRule="auto"/>
              <w:ind w:left="317" w:hanging="283"/>
              <w:contextualSpacing w:val="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 xml:space="preserve">efectuate 2204 de etalonări ale etaloanelor de lucru şi mijloacelor de </w:t>
            </w:r>
            <w:r w:rsidRPr="004C0446">
              <w:rPr>
                <w:rFonts w:ascii="Times New Roman" w:eastAsia="Times New Roman" w:hAnsi="Times New Roman" w:cs="Times New Roman"/>
                <w:sz w:val="20"/>
                <w:szCs w:val="20"/>
                <w:lang w:val="ro-MD" w:eastAsia="ru-RU"/>
              </w:rPr>
              <w:lastRenderedPageBreak/>
              <w:t>măsurare solicitate de beneficiari şi 180 de etalonări ale etaloanelor de lucru şi mijloacelor de măsurare din dotarea laboratoarelor INM;</w:t>
            </w:r>
          </w:p>
          <w:p w:rsidR="00CF1FBC" w:rsidRPr="004C0446" w:rsidRDefault="00CF1FBC" w:rsidP="000407C1">
            <w:pPr>
              <w:pStyle w:val="ListParagraph"/>
              <w:numPr>
                <w:ilvl w:val="0"/>
                <w:numId w:val="11"/>
              </w:numPr>
              <w:spacing w:after="40" w:line="240" w:lineRule="auto"/>
              <w:ind w:left="317" w:hanging="283"/>
              <w:contextualSpacing w:val="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participarea la 9 şedinţe a Comitetelor Tehnice din Cadrul COOMET;</w:t>
            </w:r>
          </w:p>
          <w:p w:rsidR="00CF1FBC" w:rsidRPr="004C0446" w:rsidRDefault="00CF1FBC" w:rsidP="000407C1">
            <w:pPr>
              <w:pStyle w:val="ListParagraph"/>
              <w:numPr>
                <w:ilvl w:val="0"/>
                <w:numId w:val="11"/>
              </w:numPr>
              <w:spacing w:after="40" w:line="240" w:lineRule="auto"/>
              <w:ind w:left="317" w:hanging="283"/>
              <w:contextualSpacing w:val="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organizarea a 3 audituri interne;</w:t>
            </w:r>
          </w:p>
          <w:p w:rsidR="00CF1FBC" w:rsidRPr="004C0446" w:rsidRDefault="00CF1FBC" w:rsidP="000407C1">
            <w:pPr>
              <w:pStyle w:val="ListParagraph"/>
              <w:numPr>
                <w:ilvl w:val="0"/>
                <w:numId w:val="11"/>
              </w:numPr>
              <w:spacing w:after="40" w:line="240" w:lineRule="auto"/>
              <w:ind w:left="317" w:hanging="283"/>
              <w:contextualSpacing w:val="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în perioada 05-09 septembrie 2016 a fost efectuată o evaluare din partea Organismul Naţional de Acreditare MOLDAC, în scopul extinderii acreditării pentru domeniile: presiune, electricitate, forță, volum, debite și fizico chimie;</w:t>
            </w:r>
          </w:p>
          <w:p w:rsidR="00CF1FBC" w:rsidRPr="004C0446" w:rsidRDefault="00CF1FBC" w:rsidP="000407C1">
            <w:pPr>
              <w:pStyle w:val="ListParagraph"/>
              <w:numPr>
                <w:ilvl w:val="0"/>
                <w:numId w:val="11"/>
              </w:numPr>
              <w:spacing w:after="40" w:line="240" w:lineRule="auto"/>
              <w:ind w:left="317" w:hanging="283"/>
              <w:contextualSpacing w:val="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în perioada de 26-27 septembrie 2016 a fost efectuată o altă evaluare de supraveghere din partea Organismul Naţional de Acreditare MOLDAC, pentru domeniile: mase, lungimi și umiditate;</w:t>
            </w:r>
          </w:p>
          <w:p w:rsidR="00CF1FBC" w:rsidRPr="004C0446" w:rsidRDefault="00CF1FBC" w:rsidP="000407C1">
            <w:pPr>
              <w:pStyle w:val="ListParagraph"/>
              <w:numPr>
                <w:ilvl w:val="0"/>
                <w:numId w:val="11"/>
              </w:numPr>
              <w:spacing w:after="0" w:line="240" w:lineRule="auto"/>
              <w:ind w:left="318" w:hanging="284"/>
              <w:contextualSpacing w:val="0"/>
              <w:rPr>
                <w:rFonts w:ascii="Times New Roman" w:eastAsia="Times New Roman" w:hAnsi="Times New Roman" w:cs="Times New Roman"/>
                <w:sz w:val="20"/>
                <w:szCs w:val="20"/>
                <w:lang w:val="ro-MD" w:eastAsia="ru-RU"/>
              </w:rPr>
            </w:pPr>
            <w:r w:rsidRPr="004C0446">
              <w:rPr>
                <w:rFonts w:ascii="Times New Roman" w:eastAsia="Times New Roman" w:hAnsi="Times New Roman" w:cs="Times New Roman"/>
                <w:sz w:val="20"/>
                <w:szCs w:val="20"/>
                <w:lang w:val="ro-MD" w:eastAsia="ru-RU"/>
              </w:rPr>
              <w:t>în perioada 21-25 noiembrie 2016 a fost efectuat un Pre-audit, misiune în cadrul proiectului Twinning. Scopul pre-auditului a fost evaluarea funcționalității SMC-INM în conformitate cu standardul de referință. Evaluarea a cuprins și următoarele domenii metrologice:  masa, debite-gaz, debite lichide, lungimi și mărimi electrice.</w:t>
            </w:r>
          </w:p>
        </w:tc>
        <w:tc>
          <w:tcPr>
            <w:tcW w:w="1135" w:type="dxa"/>
            <w:vMerge w:val="restart"/>
          </w:tcPr>
          <w:p w:rsidR="00CF1FBC" w:rsidRPr="005911BC" w:rsidRDefault="00CF1FBC" w:rsidP="00334505">
            <w:pPr>
              <w:spacing w:after="0" w:line="240" w:lineRule="auto"/>
              <w:ind w:right="27"/>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lastRenderedPageBreak/>
              <w:t>7397,5</w:t>
            </w:r>
          </w:p>
        </w:tc>
        <w:tc>
          <w:tcPr>
            <w:tcW w:w="993" w:type="dxa"/>
            <w:vMerge w:val="restart"/>
          </w:tcPr>
          <w:p w:rsidR="00CF1FBC" w:rsidRPr="005911BC" w:rsidRDefault="00CF1FBC" w:rsidP="00334505">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7397,5</w:t>
            </w:r>
          </w:p>
        </w:tc>
        <w:tc>
          <w:tcPr>
            <w:tcW w:w="1561" w:type="dxa"/>
            <w:shd w:val="clear" w:color="auto" w:fill="FFFFFF"/>
          </w:tcPr>
          <w:p w:rsidR="00CF1FBC" w:rsidRPr="004C0446" w:rsidRDefault="00CF1FBC" w:rsidP="00EF2D52">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Numărul de etaloane gestionate (cercetate) -13</w:t>
            </w:r>
          </w:p>
        </w:tc>
        <w:tc>
          <w:tcPr>
            <w:tcW w:w="1560" w:type="dxa"/>
            <w:shd w:val="clear" w:color="auto" w:fill="FFFFFF"/>
          </w:tcPr>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RO"/>
              </w:rPr>
              <w:t>13</w:t>
            </w:r>
          </w:p>
        </w:tc>
        <w:tc>
          <w:tcPr>
            <w:tcW w:w="1418" w:type="dxa"/>
          </w:tcPr>
          <w:p w:rsidR="00CF1FBC" w:rsidRPr="004C0446" w:rsidRDefault="00CF1FBC" w:rsidP="00EF2D52">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tc>
        <w:tc>
          <w:tcPr>
            <w:tcW w:w="1231" w:type="dxa"/>
            <w:gridSpan w:val="2"/>
            <w:vMerge w:val="restart"/>
          </w:tcPr>
          <w:p w:rsidR="00CF1FBC" w:rsidRPr="004C0446" w:rsidRDefault="00CF1FBC" w:rsidP="00334505">
            <w:pPr>
              <w:spacing w:after="0" w:line="240" w:lineRule="auto"/>
              <w:rPr>
                <w:rFonts w:ascii="Times New Roman" w:eastAsia="Calibri" w:hAnsi="Times New Roman" w:cs="Times New Roman"/>
                <w:sz w:val="20"/>
                <w:szCs w:val="20"/>
                <w:lang w:val="ro-MD"/>
              </w:rPr>
            </w:pPr>
          </w:p>
        </w:tc>
      </w:tr>
      <w:tr w:rsidR="00CF1FBC" w:rsidRPr="004C0446" w:rsidTr="00FB650E">
        <w:tc>
          <w:tcPr>
            <w:tcW w:w="1802"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c>
          <w:tcPr>
            <w:tcW w:w="2411" w:type="dxa"/>
            <w:vMerge/>
          </w:tcPr>
          <w:p w:rsidR="00CF1FBC" w:rsidRPr="004C0446" w:rsidRDefault="00CF1FBC" w:rsidP="00334505">
            <w:pPr>
              <w:spacing w:after="0" w:line="240" w:lineRule="auto"/>
              <w:jc w:val="both"/>
              <w:rPr>
                <w:rFonts w:ascii="Times New Roman" w:eastAsia="Calibri" w:hAnsi="Times New Roman" w:cs="Times New Roman"/>
                <w:color w:val="000000"/>
                <w:sz w:val="20"/>
                <w:szCs w:val="20"/>
                <w:lang w:val="ro-MD" w:eastAsia="ro-RO"/>
              </w:rPr>
            </w:pPr>
          </w:p>
        </w:tc>
        <w:tc>
          <w:tcPr>
            <w:tcW w:w="3639"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c>
          <w:tcPr>
            <w:tcW w:w="1135" w:type="dxa"/>
            <w:vMerge/>
          </w:tcPr>
          <w:p w:rsidR="00CF1FBC" w:rsidRPr="004C0446" w:rsidRDefault="00CF1FBC"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CF1FBC" w:rsidRPr="004C0446" w:rsidRDefault="00CF1FBC" w:rsidP="00334505">
            <w:pPr>
              <w:spacing w:after="0" w:line="240" w:lineRule="auto"/>
              <w:jc w:val="center"/>
              <w:rPr>
                <w:rFonts w:ascii="Times New Roman" w:eastAsia="Calibri" w:hAnsi="Times New Roman" w:cs="Times New Roman"/>
                <w:bCs/>
                <w:sz w:val="20"/>
                <w:szCs w:val="20"/>
                <w:lang w:val="ro-MD" w:eastAsia="nl-NL"/>
              </w:rPr>
            </w:pPr>
          </w:p>
        </w:tc>
        <w:tc>
          <w:tcPr>
            <w:tcW w:w="1561" w:type="dxa"/>
          </w:tcPr>
          <w:p w:rsidR="00CF1FBC" w:rsidRPr="004C0446" w:rsidRDefault="00CF1FBC" w:rsidP="00EF2D52">
            <w:pPr>
              <w:tabs>
                <w:tab w:val="left" w:pos="189"/>
              </w:tabs>
              <w:spacing w:after="0" w:line="240" w:lineRule="auto"/>
              <w:ind w:right="-71"/>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Numărul de etaloane naţionale și de referință națională create/ modernizate/ aprobate- 2</w:t>
            </w:r>
          </w:p>
        </w:tc>
        <w:tc>
          <w:tcPr>
            <w:tcW w:w="1560" w:type="dxa"/>
          </w:tcPr>
          <w:p w:rsidR="00CF1FBC" w:rsidRPr="004C0446" w:rsidRDefault="00CF1FBC" w:rsidP="00334505">
            <w:pPr>
              <w:tabs>
                <w:tab w:val="left" w:pos="189"/>
              </w:tabs>
              <w:spacing w:after="0" w:line="240" w:lineRule="auto"/>
              <w:ind w:right="-71"/>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2</w:t>
            </w:r>
          </w:p>
          <w:p w:rsidR="00CF1FBC" w:rsidRPr="004C0446" w:rsidRDefault="00CF1FBC" w:rsidP="00334505">
            <w:pPr>
              <w:tabs>
                <w:tab w:val="left" w:pos="189"/>
              </w:tabs>
              <w:spacing w:after="0" w:line="240" w:lineRule="auto"/>
              <w:ind w:right="-71"/>
              <w:rPr>
                <w:rFonts w:ascii="Times New Roman" w:eastAsia="Calibri" w:hAnsi="Times New Roman" w:cs="Times New Roman"/>
                <w:sz w:val="20"/>
                <w:szCs w:val="20"/>
                <w:lang w:val="ro-RO"/>
              </w:rPr>
            </w:pPr>
          </w:p>
        </w:tc>
        <w:tc>
          <w:tcPr>
            <w:tcW w:w="1418" w:type="dxa"/>
          </w:tcPr>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tc>
        <w:tc>
          <w:tcPr>
            <w:tcW w:w="1231"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r>
      <w:tr w:rsidR="00CF1FBC" w:rsidRPr="004C0446" w:rsidTr="00FB650E">
        <w:tc>
          <w:tcPr>
            <w:tcW w:w="1802"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c>
          <w:tcPr>
            <w:tcW w:w="2411" w:type="dxa"/>
            <w:vMerge/>
          </w:tcPr>
          <w:p w:rsidR="00CF1FBC" w:rsidRPr="004C0446" w:rsidRDefault="00CF1FBC" w:rsidP="00334505">
            <w:pPr>
              <w:spacing w:after="0" w:line="240" w:lineRule="auto"/>
              <w:jc w:val="both"/>
              <w:rPr>
                <w:rFonts w:ascii="Times New Roman" w:eastAsia="Calibri" w:hAnsi="Times New Roman" w:cs="Times New Roman"/>
                <w:color w:val="000000"/>
                <w:sz w:val="20"/>
                <w:szCs w:val="20"/>
                <w:lang w:val="ro-MD" w:eastAsia="ro-RO"/>
              </w:rPr>
            </w:pPr>
          </w:p>
        </w:tc>
        <w:tc>
          <w:tcPr>
            <w:tcW w:w="3639"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c>
          <w:tcPr>
            <w:tcW w:w="1135" w:type="dxa"/>
            <w:vMerge/>
          </w:tcPr>
          <w:p w:rsidR="00CF1FBC" w:rsidRPr="004C0446" w:rsidRDefault="00CF1FBC"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CF1FBC" w:rsidRPr="004C0446" w:rsidRDefault="00CF1FBC" w:rsidP="00334505">
            <w:pPr>
              <w:spacing w:after="0" w:line="240" w:lineRule="auto"/>
              <w:jc w:val="center"/>
              <w:rPr>
                <w:rFonts w:ascii="Times New Roman" w:eastAsia="Calibri" w:hAnsi="Times New Roman" w:cs="Times New Roman"/>
                <w:bCs/>
                <w:sz w:val="20"/>
                <w:szCs w:val="20"/>
                <w:lang w:val="ro-MD" w:eastAsia="nl-NL"/>
              </w:rPr>
            </w:pPr>
          </w:p>
        </w:tc>
        <w:tc>
          <w:tcPr>
            <w:tcW w:w="1561" w:type="dxa"/>
          </w:tcPr>
          <w:p w:rsidR="00CF1FBC" w:rsidRPr="004C0446" w:rsidRDefault="00CF1FBC" w:rsidP="00EF2D52">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 xml:space="preserve">Numărul de participări la intercomparări </w:t>
            </w:r>
            <w:r w:rsidRPr="004C0446">
              <w:rPr>
                <w:rFonts w:ascii="Times New Roman" w:eastAsia="Calibri" w:hAnsi="Times New Roman" w:cs="Times New Roman"/>
                <w:sz w:val="20"/>
                <w:szCs w:val="20"/>
                <w:lang w:val="ro-RO"/>
              </w:rPr>
              <w:lastRenderedPageBreak/>
              <w:t>la nivel regional - 3</w:t>
            </w:r>
          </w:p>
        </w:tc>
        <w:tc>
          <w:tcPr>
            <w:tcW w:w="1560" w:type="dxa"/>
          </w:tcPr>
          <w:p w:rsidR="00CF1FBC" w:rsidRPr="004C0446" w:rsidRDefault="00CF1FBC" w:rsidP="00EF2D52">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RO"/>
              </w:rPr>
              <w:lastRenderedPageBreak/>
              <w:t>21</w:t>
            </w:r>
          </w:p>
        </w:tc>
        <w:tc>
          <w:tcPr>
            <w:tcW w:w="1418" w:type="dxa"/>
          </w:tcPr>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+18</w:t>
            </w:r>
          </w:p>
        </w:tc>
        <w:tc>
          <w:tcPr>
            <w:tcW w:w="1231"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r>
      <w:tr w:rsidR="00CF1FBC" w:rsidRPr="004C0446" w:rsidTr="00FB650E">
        <w:tc>
          <w:tcPr>
            <w:tcW w:w="1802"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c>
          <w:tcPr>
            <w:tcW w:w="2411" w:type="dxa"/>
            <w:vMerge/>
          </w:tcPr>
          <w:p w:rsidR="00CF1FBC" w:rsidRPr="004C0446" w:rsidRDefault="00CF1FBC" w:rsidP="00334505">
            <w:pPr>
              <w:spacing w:after="0" w:line="240" w:lineRule="auto"/>
              <w:jc w:val="both"/>
              <w:rPr>
                <w:rFonts w:ascii="Times New Roman" w:eastAsia="Calibri" w:hAnsi="Times New Roman" w:cs="Times New Roman"/>
                <w:color w:val="000000"/>
                <w:sz w:val="20"/>
                <w:szCs w:val="20"/>
                <w:lang w:val="ro-MD" w:eastAsia="ro-RO"/>
              </w:rPr>
            </w:pPr>
          </w:p>
        </w:tc>
        <w:tc>
          <w:tcPr>
            <w:tcW w:w="3639"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c>
          <w:tcPr>
            <w:tcW w:w="1135" w:type="dxa"/>
            <w:vMerge/>
          </w:tcPr>
          <w:p w:rsidR="00CF1FBC" w:rsidRPr="004C0446" w:rsidRDefault="00CF1FBC"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CF1FBC" w:rsidRPr="004C0446" w:rsidRDefault="00CF1FBC" w:rsidP="00334505">
            <w:pPr>
              <w:spacing w:after="0" w:line="240" w:lineRule="auto"/>
              <w:jc w:val="center"/>
              <w:rPr>
                <w:rFonts w:ascii="Times New Roman" w:eastAsia="Calibri" w:hAnsi="Times New Roman" w:cs="Times New Roman"/>
                <w:bCs/>
                <w:sz w:val="20"/>
                <w:szCs w:val="20"/>
                <w:lang w:val="ro-MD" w:eastAsia="nl-NL"/>
              </w:rPr>
            </w:pPr>
          </w:p>
        </w:tc>
        <w:tc>
          <w:tcPr>
            <w:tcW w:w="1561" w:type="dxa"/>
          </w:tcPr>
          <w:p w:rsidR="00CF1FBC" w:rsidRPr="004C0446" w:rsidRDefault="00CF1FBC" w:rsidP="00EF2D52">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 xml:space="preserve">Numărul de articole ştiinţifice publicate -10 </w:t>
            </w:r>
          </w:p>
        </w:tc>
        <w:tc>
          <w:tcPr>
            <w:tcW w:w="1560" w:type="dxa"/>
          </w:tcPr>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RO"/>
              </w:rPr>
              <w:t>28</w:t>
            </w:r>
          </w:p>
        </w:tc>
        <w:tc>
          <w:tcPr>
            <w:tcW w:w="1418" w:type="dxa"/>
          </w:tcPr>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+18</w:t>
            </w:r>
          </w:p>
        </w:tc>
        <w:tc>
          <w:tcPr>
            <w:tcW w:w="1231"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r>
      <w:tr w:rsidR="00CF1FBC" w:rsidRPr="004C0446" w:rsidTr="00FB650E">
        <w:trPr>
          <w:trHeight w:val="3259"/>
        </w:trPr>
        <w:tc>
          <w:tcPr>
            <w:tcW w:w="1802"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c>
          <w:tcPr>
            <w:tcW w:w="2411" w:type="dxa"/>
            <w:vMerge/>
          </w:tcPr>
          <w:p w:rsidR="00CF1FBC" w:rsidRPr="004C0446" w:rsidRDefault="00CF1FBC" w:rsidP="00334505">
            <w:pPr>
              <w:spacing w:after="0" w:line="240" w:lineRule="auto"/>
              <w:jc w:val="both"/>
              <w:rPr>
                <w:rFonts w:ascii="Times New Roman" w:eastAsia="Calibri" w:hAnsi="Times New Roman" w:cs="Times New Roman"/>
                <w:color w:val="000000"/>
                <w:sz w:val="20"/>
                <w:szCs w:val="20"/>
                <w:lang w:val="ro-MD" w:eastAsia="ro-RO"/>
              </w:rPr>
            </w:pPr>
          </w:p>
        </w:tc>
        <w:tc>
          <w:tcPr>
            <w:tcW w:w="3639"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c>
          <w:tcPr>
            <w:tcW w:w="1135" w:type="dxa"/>
            <w:vMerge/>
          </w:tcPr>
          <w:p w:rsidR="00CF1FBC" w:rsidRPr="004C0446" w:rsidRDefault="00CF1FBC"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CF1FBC" w:rsidRPr="004C0446" w:rsidRDefault="00CF1FBC" w:rsidP="00334505">
            <w:pPr>
              <w:spacing w:after="0" w:line="240" w:lineRule="auto"/>
              <w:jc w:val="center"/>
              <w:rPr>
                <w:rFonts w:ascii="Times New Roman" w:eastAsia="Calibri" w:hAnsi="Times New Roman" w:cs="Times New Roman"/>
                <w:bCs/>
                <w:sz w:val="20"/>
                <w:szCs w:val="20"/>
                <w:lang w:val="ro-MD" w:eastAsia="nl-NL"/>
              </w:rPr>
            </w:pPr>
          </w:p>
        </w:tc>
        <w:tc>
          <w:tcPr>
            <w:tcW w:w="1561" w:type="dxa"/>
          </w:tcPr>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RO"/>
              </w:rPr>
              <w:t xml:space="preserve">Numărul de certificate de etalonare eliberate- 450 </w:t>
            </w:r>
          </w:p>
        </w:tc>
        <w:tc>
          <w:tcPr>
            <w:tcW w:w="1560" w:type="dxa"/>
          </w:tcPr>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Times New Roman" w:hAnsi="Times New Roman" w:cs="Times New Roman"/>
                <w:sz w:val="20"/>
                <w:szCs w:val="20"/>
                <w:lang w:val="ro-MD" w:eastAsia="ru-RU"/>
              </w:rPr>
              <w:t>2204</w:t>
            </w:r>
          </w:p>
        </w:tc>
        <w:tc>
          <w:tcPr>
            <w:tcW w:w="1418" w:type="dxa"/>
          </w:tcPr>
          <w:p w:rsidR="00CF1FBC" w:rsidRPr="004C0446" w:rsidRDefault="00CF1FBC"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+1754</w:t>
            </w:r>
          </w:p>
        </w:tc>
        <w:tc>
          <w:tcPr>
            <w:tcW w:w="1231" w:type="dxa"/>
            <w:gridSpan w:val="2"/>
            <w:vMerge/>
          </w:tcPr>
          <w:p w:rsidR="00CF1FBC" w:rsidRPr="004C0446" w:rsidRDefault="00CF1FBC" w:rsidP="00334505">
            <w:pPr>
              <w:spacing w:after="0" w:line="240" w:lineRule="auto"/>
              <w:rPr>
                <w:rFonts w:ascii="Times New Roman" w:eastAsia="Calibri" w:hAnsi="Times New Roman" w:cs="Times New Roman"/>
                <w:sz w:val="20"/>
                <w:szCs w:val="20"/>
                <w:lang w:val="ro-MD"/>
              </w:rPr>
            </w:pPr>
          </w:p>
        </w:tc>
      </w:tr>
      <w:tr w:rsidR="00334505" w:rsidRPr="004C0446" w:rsidTr="00FB650E">
        <w:tc>
          <w:tcPr>
            <w:tcW w:w="1802" w:type="dxa"/>
            <w:gridSpan w:val="2"/>
            <w:vMerge/>
          </w:tcPr>
          <w:p w:rsidR="00334505" w:rsidRPr="004C0446" w:rsidRDefault="00334505" w:rsidP="00334505">
            <w:pPr>
              <w:spacing w:after="0" w:line="240" w:lineRule="auto"/>
              <w:rPr>
                <w:rFonts w:ascii="Times New Roman" w:eastAsia="Calibri" w:hAnsi="Times New Roman" w:cs="Times New Roman"/>
                <w:sz w:val="20"/>
                <w:szCs w:val="20"/>
                <w:lang w:val="ro-MD"/>
              </w:rPr>
            </w:pPr>
          </w:p>
        </w:tc>
        <w:tc>
          <w:tcPr>
            <w:tcW w:w="2411" w:type="dxa"/>
            <w:tcBorders>
              <w:bottom w:val="single" w:sz="4" w:space="0" w:color="auto"/>
            </w:tcBorders>
          </w:tcPr>
          <w:p w:rsidR="00334505" w:rsidRPr="004C0446" w:rsidRDefault="00334505" w:rsidP="00737606">
            <w:pPr>
              <w:tabs>
                <w:tab w:val="left" w:pos="176"/>
              </w:tabs>
              <w:autoSpaceDE w:val="0"/>
              <w:autoSpaceDN w:val="0"/>
              <w:adjustRightInd w:val="0"/>
              <w:spacing w:after="0" w:line="240" w:lineRule="auto"/>
              <w:rPr>
                <w:rFonts w:ascii="Times New Roman" w:eastAsia="Times New Roman" w:hAnsi="Times New Roman" w:cs="Times New Roman"/>
                <w:sz w:val="20"/>
                <w:szCs w:val="20"/>
                <w:lang w:val="ro-RO"/>
              </w:rPr>
            </w:pPr>
            <w:r w:rsidRPr="004C0446">
              <w:rPr>
                <w:rFonts w:ascii="Times New Roman" w:eastAsia="Times New Roman" w:hAnsi="Times New Roman" w:cs="Times New Roman"/>
                <w:sz w:val="20"/>
                <w:szCs w:val="20"/>
                <w:lang w:val="ro-RO"/>
              </w:rPr>
              <w:t xml:space="preserve">Implementarea proiectului Twinning ”Consolidarea sectorului standardizării şi metrologiei în conformitate cu </w:t>
            </w:r>
            <w:r w:rsidR="00A95A3C">
              <w:rPr>
                <w:rFonts w:ascii="Times New Roman" w:eastAsia="Times New Roman" w:hAnsi="Times New Roman" w:cs="Times New Roman"/>
                <w:sz w:val="20"/>
                <w:szCs w:val="20"/>
                <w:lang w:val="ro-RO"/>
              </w:rPr>
              <w:t>cele mai bune practici ale UE”.</w:t>
            </w:r>
          </w:p>
        </w:tc>
        <w:tc>
          <w:tcPr>
            <w:tcW w:w="3639" w:type="dxa"/>
            <w:gridSpan w:val="2"/>
            <w:tcBorders>
              <w:bottom w:val="single" w:sz="4" w:space="0" w:color="auto"/>
            </w:tcBorders>
          </w:tcPr>
          <w:p w:rsidR="00334505" w:rsidRPr="004C0446" w:rsidRDefault="00334505" w:rsidP="00E63789">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RO"/>
              </w:rPr>
              <w:t>P</w:t>
            </w:r>
            <w:r w:rsidRPr="004C0446">
              <w:rPr>
                <w:rFonts w:ascii="Times New Roman" w:eastAsia="Calibri" w:hAnsi="Times New Roman" w:cs="Times New Roman"/>
                <w:sz w:val="20"/>
                <w:szCs w:val="20"/>
                <w:lang w:val="ro-MD"/>
              </w:rPr>
              <w:t>e parcursul perioadei de raportare,</w:t>
            </w:r>
            <w:r w:rsidRPr="004C0446">
              <w:rPr>
                <w:rFonts w:ascii="Times New Roman" w:eastAsia="Calibri" w:hAnsi="Times New Roman" w:cs="Times New Roman"/>
                <w:sz w:val="20"/>
                <w:szCs w:val="20"/>
                <w:lang w:val="ro-RO"/>
              </w:rPr>
              <w:t xml:space="preserve"> în contextul implementării </w:t>
            </w:r>
            <w:r w:rsidRPr="004C0446">
              <w:rPr>
                <w:rFonts w:ascii="Times New Roman" w:eastAsia="Calibri" w:hAnsi="Times New Roman" w:cs="Times New Roman"/>
                <w:sz w:val="20"/>
                <w:szCs w:val="20"/>
                <w:lang w:val="ro-MD"/>
              </w:rPr>
              <w:t>Proiectului Twinning „Consolidarea sectorului standardizării şi metrologiei în conformitate cu cele mai bune practici din statele membre ale UE”, specialiştii INM au participat la 31 sesiuni de instruire pe diverse tema</w:t>
            </w:r>
            <w:r w:rsidR="00E63789" w:rsidRPr="004C0446">
              <w:rPr>
                <w:rFonts w:ascii="Times New Roman" w:eastAsia="Calibri" w:hAnsi="Times New Roman" w:cs="Times New Roman"/>
                <w:sz w:val="20"/>
                <w:szCs w:val="20"/>
                <w:lang w:val="ro-MD"/>
              </w:rPr>
              <w:t>tici din domeniul metrologiei</w:t>
            </w:r>
            <w:r w:rsidRPr="004C0446">
              <w:rPr>
                <w:rFonts w:ascii="Times New Roman" w:eastAsia="Calibri" w:hAnsi="Times New Roman" w:cs="Times New Roman"/>
                <w:sz w:val="20"/>
                <w:szCs w:val="20"/>
                <w:lang w:val="ro-MD"/>
              </w:rPr>
              <w:t>.</w:t>
            </w:r>
          </w:p>
        </w:tc>
        <w:tc>
          <w:tcPr>
            <w:tcW w:w="1135" w:type="dxa"/>
            <w:vMerge/>
            <w:tcBorders>
              <w:bottom w:val="single" w:sz="4" w:space="0" w:color="auto"/>
            </w:tcBorders>
          </w:tcPr>
          <w:p w:rsidR="00334505" w:rsidRPr="004C0446" w:rsidRDefault="00334505"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Borders>
              <w:bottom w:val="single" w:sz="4" w:space="0" w:color="auto"/>
            </w:tcBorders>
          </w:tcPr>
          <w:p w:rsidR="00334505" w:rsidRPr="004C0446" w:rsidRDefault="00334505" w:rsidP="00334505">
            <w:pPr>
              <w:spacing w:after="0" w:line="240" w:lineRule="auto"/>
              <w:jc w:val="center"/>
              <w:rPr>
                <w:rFonts w:ascii="Times New Roman" w:eastAsia="Calibri" w:hAnsi="Times New Roman" w:cs="Times New Roman"/>
                <w:bCs/>
                <w:sz w:val="20"/>
                <w:szCs w:val="20"/>
                <w:lang w:val="ro-MD" w:eastAsia="nl-NL"/>
              </w:rPr>
            </w:pPr>
          </w:p>
        </w:tc>
        <w:tc>
          <w:tcPr>
            <w:tcW w:w="1561" w:type="dxa"/>
          </w:tcPr>
          <w:p w:rsidR="00334505" w:rsidRPr="004C0446" w:rsidRDefault="00334505" w:rsidP="00334505">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Proiect Twinning implementat</w:t>
            </w:r>
            <w:r w:rsidR="00E63789" w:rsidRPr="004C0446">
              <w:rPr>
                <w:rFonts w:ascii="Times New Roman" w:eastAsia="Calibri" w:hAnsi="Times New Roman" w:cs="Times New Roman"/>
                <w:sz w:val="20"/>
                <w:szCs w:val="20"/>
                <w:lang w:val="ro-RO"/>
              </w:rPr>
              <w:t>- 1</w:t>
            </w:r>
          </w:p>
          <w:p w:rsidR="00334505" w:rsidRPr="004C0446" w:rsidRDefault="00334505" w:rsidP="00334505">
            <w:pPr>
              <w:spacing w:after="0" w:line="240" w:lineRule="auto"/>
              <w:rPr>
                <w:rFonts w:ascii="Times New Roman" w:eastAsia="Calibri" w:hAnsi="Times New Roman" w:cs="Times New Roman"/>
                <w:sz w:val="20"/>
                <w:szCs w:val="20"/>
                <w:lang w:val="ro-MD"/>
              </w:rPr>
            </w:pPr>
          </w:p>
        </w:tc>
        <w:tc>
          <w:tcPr>
            <w:tcW w:w="1560" w:type="dxa"/>
          </w:tcPr>
          <w:p w:rsidR="00334505" w:rsidRPr="004C0446" w:rsidRDefault="00E63789"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RO"/>
              </w:rPr>
              <w:t>1</w:t>
            </w:r>
          </w:p>
        </w:tc>
        <w:tc>
          <w:tcPr>
            <w:tcW w:w="1418" w:type="dxa"/>
          </w:tcPr>
          <w:p w:rsidR="00334505" w:rsidRPr="004C0446" w:rsidRDefault="00E63789"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tc>
        <w:tc>
          <w:tcPr>
            <w:tcW w:w="1231" w:type="dxa"/>
            <w:gridSpan w:val="2"/>
          </w:tcPr>
          <w:p w:rsidR="00334505" w:rsidRPr="004C0446" w:rsidRDefault="00334505" w:rsidP="00334505">
            <w:pPr>
              <w:spacing w:after="0" w:line="240" w:lineRule="auto"/>
              <w:rPr>
                <w:rFonts w:ascii="Times New Roman" w:eastAsia="Calibri" w:hAnsi="Times New Roman" w:cs="Times New Roman"/>
                <w:sz w:val="20"/>
                <w:szCs w:val="20"/>
                <w:lang w:val="ro-MD"/>
              </w:rPr>
            </w:pPr>
          </w:p>
        </w:tc>
      </w:tr>
      <w:tr w:rsidR="00334505" w:rsidRPr="004C0446" w:rsidTr="00FB650E">
        <w:tc>
          <w:tcPr>
            <w:tcW w:w="1802" w:type="dxa"/>
            <w:gridSpan w:val="2"/>
            <w:vMerge/>
            <w:tcBorders>
              <w:bottom w:val="single" w:sz="4" w:space="0" w:color="auto"/>
            </w:tcBorders>
          </w:tcPr>
          <w:p w:rsidR="00334505" w:rsidRPr="004C0446" w:rsidRDefault="00334505" w:rsidP="00334505">
            <w:pPr>
              <w:spacing w:after="0" w:line="240" w:lineRule="auto"/>
              <w:rPr>
                <w:rFonts w:ascii="Times New Roman" w:eastAsia="Calibri" w:hAnsi="Times New Roman" w:cs="Times New Roman"/>
                <w:sz w:val="20"/>
                <w:szCs w:val="20"/>
                <w:lang w:val="ro-MD"/>
              </w:rPr>
            </w:pPr>
          </w:p>
        </w:tc>
        <w:tc>
          <w:tcPr>
            <w:tcW w:w="2411" w:type="dxa"/>
            <w:tcBorders>
              <w:bottom w:val="single" w:sz="4" w:space="0" w:color="auto"/>
            </w:tcBorders>
          </w:tcPr>
          <w:p w:rsidR="00334505" w:rsidRPr="004C0446" w:rsidRDefault="00334505" w:rsidP="00D35052">
            <w:pPr>
              <w:autoSpaceDE w:val="0"/>
              <w:autoSpaceDN w:val="0"/>
              <w:adjustRightInd w:val="0"/>
              <w:spacing w:after="0" w:line="240" w:lineRule="auto"/>
              <w:rPr>
                <w:rFonts w:ascii="Times New Roman" w:hAnsi="Times New Roman" w:cs="Times New Roman"/>
                <w:sz w:val="20"/>
                <w:szCs w:val="20"/>
                <w:lang w:val="it-IT" w:eastAsia="ru-RU"/>
              </w:rPr>
            </w:pPr>
            <w:r w:rsidRPr="004C0446">
              <w:rPr>
                <w:rFonts w:ascii="Times New Roman" w:hAnsi="Times New Roman" w:cs="Times New Roman"/>
                <w:sz w:val="20"/>
                <w:szCs w:val="20"/>
                <w:lang w:val="it-IT" w:eastAsia="ru-RU"/>
              </w:rPr>
              <w:t>Implementarea strategiei privind asigurarea trasabilităţii măsurărilor prin:</w:t>
            </w:r>
          </w:p>
          <w:p w:rsidR="00334505" w:rsidRPr="004C0446" w:rsidRDefault="00334505" w:rsidP="000407C1">
            <w:pPr>
              <w:pStyle w:val="ListParagraph"/>
              <w:numPr>
                <w:ilvl w:val="0"/>
                <w:numId w:val="12"/>
              </w:numPr>
              <w:spacing w:line="240" w:lineRule="auto"/>
              <w:ind w:left="176" w:hanging="142"/>
              <w:rPr>
                <w:rFonts w:ascii="Times New Roman" w:hAnsi="Times New Roman" w:cs="Times New Roman"/>
                <w:bCs/>
                <w:i/>
                <w:sz w:val="20"/>
                <w:szCs w:val="20"/>
                <w:u w:val="single"/>
                <w:lang w:val="ro-RO"/>
              </w:rPr>
            </w:pPr>
            <w:r w:rsidRPr="004C0446">
              <w:rPr>
                <w:rFonts w:ascii="Times New Roman" w:hAnsi="Times New Roman" w:cs="Times New Roman"/>
                <w:sz w:val="20"/>
                <w:szCs w:val="20"/>
                <w:lang w:val="ro-RO" w:eastAsia="ru-RU"/>
              </w:rPr>
              <w:t xml:space="preserve">iniţierea cooperării cu organismele de </w:t>
            </w:r>
            <w:r w:rsidRPr="004C0446">
              <w:rPr>
                <w:rFonts w:ascii="Times New Roman" w:hAnsi="Times New Roman" w:cs="Times New Roman"/>
                <w:sz w:val="20"/>
                <w:szCs w:val="20"/>
                <w:lang w:val="ro-RO" w:eastAsia="ru-RU"/>
              </w:rPr>
              <w:lastRenderedPageBreak/>
              <w:t>metrologie europene WELMEC şi EURAMET, inclusiv achitarea cotizaţiilor de membru după caz;</w:t>
            </w:r>
          </w:p>
          <w:p w:rsidR="00334505" w:rsidRPr="004C0446" w:rsidRDefault="00334505" w:rsidP="000407C1">
            <w:pPr>
              <w:pStyle w:val="ListParagraph"/>
              <w:numPr>
                <w:ilvl w:val="0"/>
                <w:numId w:val="12"/>
              </w:numPr>
              <w:spacing w:line="240" w:lineRule="auto"/>
              <w:ind w:left="176" w:hanging="142"/>
              <w:rPr>
                <w:rFonts w:ascii="Times New Roman" w:hAnsi="Times New Roman" w:cs="Times New Roman"/>
                <w:sz w:val="20"/>
                <w:szCs w:val="20"/>
                <w:lang w:val="ro-RO" w:eastAsia="ru-RU"/>
              </w:rPr>
            </w:pPr>
            <w:r w:rsidRPr="004C0446">
              <w:rPr>
                <w:rFonts w:ascii="Times New Roman" w:hAnsi="Times New Roman" w:cs="Times New Roman"/>
                <w:sz w:val="20"/>
                <w:szCs w:val="20"/>
                <w:lang w:val="it-IT" w:eastAsia="ru-RU"/>
              </w:rPr>
              <w:t>participarea la intercomparări la nivel european COOMET şi EURAMET;</w:t>
            </w:r>
          </w:p>
          <w:p w:rsidR="00334505" w:rsidRPr="004C0446" w:rsidRDefault="00334505" w:rsidP="000407C1">
            <w:pPr>
              <w:pStyle w:val="ListParagraph"/>
              <w:numPr>
                <w:ilvl w:val="0"/>
                <w:numId w:val="12"/>
              </w:numPr>
              <w:spacing w:line="240" w:lineRule="auto"/>
              <w:ind w:left="176" w:hanging="142"/>
              <w:rPr>
                <w:rFonts w:ascii="Times New Roman" w:hAnsi="Times New Roman" w:cs="Times New Roman"/>
                <w:sz w:val="20"/>
                <w:szCs w:val="20"/>
                <w:lang w:val="fr-FR" w:eastAsia="ru-RU"/>
              </w:rPr>
            </w:pPr>
            <w:r w:rsidRPr="004C0446">
              <w:rPr>
                <w:rFonts w:ascii="Times New Roman" w:hAnsi="Times New Roman" w:cs="Times New Roman"/>
                <w:sz w:val="20"/>
                <w:szCs w:val="20"/>
                <w:lang w:val="it-IT" w:eastAsia="ru-RU"/>
              </w:rPr>
              <w:t xml:space="preserve">elaborarea reglementărilor de metrologie legală (RGML, NML, PML); </w:t>
            </w:r>
          </w:p>
          <w:p w:rsidR="00334505" w:rsidRPr="004C0446" w:rsidRDefault="00334505" w:rsidP="000407C1">
            <w:pPr>
              <w:pStyle w:val="ListParagraph"/>
              <w:numPr>
                <w:ilvl w:val="0"/>
                <w:numId w:val="12"/>
              </w:numPr>
              <w:autoSpaceDE w:val="0"/>
              <w:autoSpaceDN w:val="0"/>
              <w:adjustRightInd w:val="0"/>
              <w:spacing w:after="0" w:line="240" w:lineRule="auto"/>
              <w:ind w:left="176" w:hanging="142"/>
              <w:rPr>
                <w:rFonts w:ascii="Times New Roman" w:eastAsia="Calibri" w:hAnsi="Times New Roman" w:cs="Times New Roman"/>
                <w:sz w:val="20"/>
                <w:szCs w:val="20"/>
                <w:lang w:val="ro-MD"/>
              </w:rPr>
            </w:pPr>
            <w:r w:rsidRPr="004C0446">
              <w:rPr>
                <w:rFonts w:ascii="Times New Roman" w:hAnsi="Times New Roman" w:cs="Times New Roman"/>
                <w:sz w:val="20"/>
                <w:szCs w:val="20"/>
                <w:lang w:val="it-IT" w:eastAsia="ru-RU"/>
              </w:rPr>
              <w:t>menținerea Sistemului de Management al Calității şi recunoașterea  acestui sistem de către Organizația Regională de Metrologie.</w:t>
            </w:r>
          </w:p>
        </w:tc>
        <w:tc>
          <w:tcPr>
            <w:tcW w:w="3639" w:type="dxa"/>
            <w:gridSpan w:val="2"/>
            <w:tcBorders>
              <w:bottom w:val="single" w:sz="4" w:space="0" w:color="auto"/>
            </w:tcBorders>
          </w:tcPr>
          <w:p w:rsidR="00334505" w:rsidRPr="004C0446" w:rsidRDefault="00334505" w:rsidP="00440EB9">
            <w:pPr>
              <w:spacing w:after="40" w:line="240" w:lineRule="auto"/>
              <w:rPr>
                <w:rFonts w:ascii="Times New Roman" w:hAnsi="Times New Roman" w:cs="Times New Roman"/>
                <w:sz w:val="20"/>
                <w:szCs w:val="20"/>
                <w:lang w:val="ro-MD" w:eastAsia="ru-RU"/>
              </w:rPr>
            </w:pPr>
            <w:r w:rsidRPr="004C0446">
              <w:rPr>
                <w:rFonts w:ascii="Times New Roman" w:hAnsi="Times New Roman" w:cs="Times New Roman"/>
                <w:sz w:val="20"/>
                <w:szCs w:val="20"/>
                <w:lang w:val="ro-MD" w:eastAsia="ru-RU"/>
              </w:rPr>
              <w:lastRenderedPageBreak/>
              <w:t>Pe parcursul anului 2016 a fost depusă cererea de aderare la EURAMET şi WELMEC ca membru asociat, prin:</w:t>
            </w:r>
          </w:p>
          <w:p w:rsidR="00334505" w:rsidRPr="004C0446" w:rsidRDefault="00334505" w:rsidP="00440EB9">
            <w:pPr>
              <w:pStyle w:val="ListParagraph"/>
              <w:numPr>
                <w:ilvl w:val="0"/>
                <w:numId w:val="4"/>
              </w:numPr>
              <w:tabs>
                <w:tab w:val="clear" w:pos="720"/>
                <w:tab w:val="num" w:pos="33"/>
                <w:tab w:val="num" w:pos="213"/>
              </w:tabs>
              <w:spacing w:after="40" w:line="240" w:lineRule="auto"/>
              <w:ind w:left="71" w:firstLine="0"/>
              <w:rPr>
                <w:rFonts w:ascii="Times New Roman" w:hAnsi="Times New Roman" w:cs="Times New Roman"/>
                <w:sz w:val="20"/>
                <w:szCs w:val="20"/>
                <w:lang w:val="ro-MD" w:eastAsia="ru-RU"/>
              </w:rPr>
            </w:pPr>
            <w:r w:rsidRPr="004C0446">
              <w:rPr>
                <w:rFonts w:ascii="Times New Roman" w:hAnsi="Times New Roman" w:cs="Times New Roman"/>
                <w:sz w:val="20"/>
                <w:szCs w:val="20"/>
                <w:lang w:val="ro-MD" w:eastAsia="ru-RU"/>
              </w:rPr>
              <w:t xml:space="preserve">implicarea în 21 de comparări regionale (în cadrul COOMET ŞI EURAMET), </w:t>
            </w:r>
            <w:r w:rsidRPr="004C0446">
              <w:rPr>
                <w:rFonts w:ascii="Times New Roman" w:hAnsi="Times New Roman" w:cs="Times New Roman"/>
                <w:sz w:val="20"/>
                <w:szCs w:val="20"/>
                <w:lang w:val="ro-MD" w:eastAsia="ru-RU"/>
              </w:rPr>
              <w:lastRenderedPageBreak/>
              <w:t>dintre care 3 sunt deja la a cincea etapă din şase;</w:t>
            </w:r>
          </w:p>
          <w:p w:rsidR="00440EB9" w:rsidRPr="004C0446" w:rsidRDefault="00334505" w:rsidP="00440EB9">
            <w:pPr>
              <w:pStyle w:val="ListParagraph"/>
              <w:numPr>
                <w:ilvl w:val="0"/>
                <w:numId w:val="4"/>
              </w:numPr>
              <w:tabs>
                <w:tab w:val="clear" w:pos="720"/>
                <w:tab w:val="num" w:pos="33"/>
                <w:tab w:val="num" w:pos="213"/>
              </w:tabs>
              <w:spacing w:after="40" w:line="240" w:lineRule="auto"/>
              <w:ind w:left="71" w:firstLine="0"/>
              <w:rPr>
                <w:rFonts w:ascii="Times New Roman" w:hAnsi="Times New Roman" w:cs="Times New Roman"/>
                <w:sz w:val="20"/>
                <w:szCs w:val="20"/>
                <w:lang w:val="ro-MD" w:eastAsia="ru-RU"/>
              </w:rPr>
            </w:pPr>
            <w:r w:rsidRPr="004C0446">
              <w:rPr>
                <w:rFonts w:ascii="Times New Roman" w:hAnsi="Times New Roman" w:cs="Times New Roman"/>
                <w:sz w:val="20"/>
                <w:szCs w:val="20"/>
                <w:lang w:val="ro-MD" w:eastAsia="ru-RU"/>
              </w:rPr>
              <w:t>8 comparări bilaterale în afara programului COOMET (6 fiind finalizate deja).</w:t>
            </w:r>
          </w:p>
          <w:p w:rsidR="00334505" w:rsidRPr="004C0446" w:rsidRDefault="00334505" w:rsidP="00440EB9">
            <w:pPr>
              <w:tabs>
                <w:tab w:val="num" w:pos="213"/>
              </w:tabs>
              <w:spacing w:after="40" w:line="240" w:lineRule="auto"/>
              <w:ind w:left="71"/>
              <w:rPr>
                <w:rFonts w:ascii="Times New Roman" w:hAnsi="Times New Roman" w:cs="Times New Roman"/>
                <w:sz w:val="20"/>
                <w:szCs w:val="20"/>
                <w:lang w:val="ro-MD" w:eastAsia="ru-RU"/>
              </w:rPr>
            </w:pPr>
            <w:r w:rsidRPr="004C0446">
              <w:rPr>
                <w:rFonts w:ascii="Times New Roman" w:hAnsi="Times New Roman" w:cs="Times New Roman"/>
                <w:sz w:val="20"/>
                <w:szCs w:val="20"/>
                <w:lang w:val="ro-MD" w:eastAsia="ru-RU"/>
              </w:rPr>
              <w:t>Au fost publicate 4 ediţii ale revistei „Metrologie”,</w:t>
            </w:r>
            <w:r w:rsidR="00D96106" w:rsidRPr="004C0446">
              <w:rPr>
                <w:rFonts w:ascii="Times New Roman" w:hAnsi="Times New Roman" w:cs="Times New Roman"/>
                <w:sz w:val="20"/>
                <w:szCs w:val="20"/>
                <w:lang w:val="ro-MD" w:eastAsia="ru-RU"/>
              </w:rPr>
              <w:t xml:space="preserve"> </w:t>
            </w:r>
            <w:r w:rsidRPr="004C0446">
              <w:rPr>
                <w:rFonts w:ascii="Times New Roman" w:hAnsi="Times New Roman" w:cs="Times New Roman"/>
                <w:sz w:val="20"/>
                <w:szCs w:val="20"/>
                <w:lang w:val="ro-MD" w:eastAsia="ru-RU"/>
              </w:rPr>
              <w:t>28 de articole publicate;</w:t>
            </w:r>
          </w:p>
          <w:p w:rsidR="00334505" w:rsidRPr="004C0446" w:rsidRDefault="00334505" w:rsidP="00440EB9">
            <w:pPr>
              <w:pStyle w:val="ListParagraph"/>
              <w:numPr>
                <w:ilvl w:val="0"/>
                <w:numId w:val="4"/>
              </w:numPr>
              <w:tabs>
                <w:tab w:val="clear" w:pos="720"/>
                <w:tab w:val="num" w:pos="33"/>
                <w:tab w:val="num" w:pos="213"/>
              </w:tabs>
              <w:spacing w:after="40" w:line="240" w:lineRule="auto"/>
              <w:ind w:left="71" w:firstLine="0"/>
              <w:rPr>
                <w:rFonts w:ascii="Times New Roman" w:hAnsi="Times New Roman" w:cs="Times New Roman"/>
                <w:sz w:val="20"/>
                <w:szCs w:val="20"/>
                <w:lang w:val="ro-MD" w:eastAsia="ru-RU"/>
              </w:rPr>
            </w:pPr>
            <w:r w:rsidRPr="004C0446">
              <w:rPr>
                <w:rFonts w:ascii="Times New Roman" w:hAnsi="Times New Roman" w:cs="Times New Roman"/>
                <w:sz w:val="20"/>
                <w:szCs w:val="20"/>
                <w:lang w:val="ro-MD" w:eastAsia="ru-RU"/>
              </w:rPr>
              <w:t>Au fost elaborate 8 reglementări de metrologie legală: 4 NML și 4 PML;</w:t>
            </w:r>
          </w:p>
          <w:p w:rsidR="00334505" w:rsidRPr="004C0446" w:rsidRDefault="00334505" w:rsidP="00440EB9">
            <w:pPr>
              <w:pStyle w:val="ListParagraph"/>
              <w:numPr>
                <w:ilvl w:val="0"/>
                <w:numId w:val="4"/>
              </w:numPr>
              <w:tabs>
                <w:tab w:val="clear" w:pos="720"/>
                <w:tab w:val="num" w:pos="33"/>
                <w:tab w:val="num" w:pos="213"/>
              </w:tabs>
              <w:spacing w:after="40" w:line="240" w:lineRule="auto"/>
              <w:ind w:left="71" w:firstLine="0"/>
              <w:rPr>
                <w:rFonts w:ascii="Times New Roman" w:hAnsi="Times New Roman" w:cs="Times New Roman"/>
                <w:sz w:val="20"/>
                <w:szCs w:val="20"/>
                <w:lang w:val="ro-MD" w:eastAsia="ru-RU"/>
              </w:rPr>
            </w:pPr>
            <w:r w:rsidRPr="004C0446">
              <w:rPr>
                <w:rFonts w:ascii="Times New Roman" w:hAnsi="Times New Roman" w:cs="Times New Roman"/>
                <w:sz w:val="20"/>
                <w:szCs w:val="20"/>
                <w:lang w:val="ro-MD" w:eastAsia="ru-RU"/>
              </w:rPr>
              <w:t>39 mijloace de măsurare noi introduse în „Registrul de Stat al mijloacelor de măsurare permise spre utilizare în RM”;</w:t>
            </w:r>
          </w:p>
          <w:p w:rsidR="00334505" w:rsidRPr="004C0446" w:rsidRDefault="00334505" w:rsidP="00440EB9">
            <w:pPr>
              <w:pStyle w:val="ListParagraph"/>
              <w:numPr>
                <w:ilvl w:val="0"/>
                <w:numId w:val="4"/>
              </w:numPr>
              <w:tabs>
                <w:tab w:val="clear" w:pos="720"/>
                <w:tab w:val="num" w:pos="33"/>
                <w:tab w:val="num" w:pos="213"/>
              </w:tabs>
              <w:spacing w:after="40" w:line="240" w:lineRule="auto"/>
              <w:ind w:left="71" w:firstLine="0"/>
              <w:rPr>
                <w:rFonts w:ascii="Times New Roman" w:hAnsi="Times New Roman" w:cs="Times New Roman"/>
                <w:sz w:val="20"/>
                <w:szCs w:val="20"/>
                <w:lang w:val="ro-MD" w:eastAsia="ru-RU"/>
              </w:rPr>
            </w:pPr>
            <w:r w:rsidRPr="004C0446">
              <w:rPr>
                <w:rFonts w:ascii="Times New Roman" w:hAnsi="Times New Roman" w:cs="Times New Roman"/>
                <w:sz w:val="20"/>
                <w:szCs w:val="20"/>
                <w:lang w:val="ro-MD" w:eastAsia="ru-RU"/>
              </w:rPr>
              <w:t>Au fost elaborate 24 Proceduri de etalonare și Proceduri de lucru;</w:t>
            </w:r>
          </w:p>
          <w:p w:rsidR="00334505" w:rsidRPr="004C0446" w:rsidRDefault="00334505" w:rsidP="00440EB9">
            <w:pPr>
              <w:pStyle w:val="ListParagraph"/>
              <w:numPr>
                <w:ilvl w:val="0"/>
                <w:numId w:val="4"/>
              </w:numPr>
              <w:tabs>
                <w:tab w:val="clear" w:pos="720"/>
                <w:tab w:val="num" w:pos="33"/>
                <w:tab w:val="num" w:pos="213"/>
              </w:tabs>
              <w:spacing w:after="40" w:line="240" w:lineRule="auto"/>
              <w:ind w:left="71" w:firstLine="0"/>
              <w:rPr>
                <w:rFonts w:ascii="Times New Roman" w:hAnsi="Times New Roman" w:cs="Times New Roman"/>
                <w:sz w:val="20"/>
                <w:szCs w:val="20"/>
                <w:lang w:val="ro-MD" w:eastAsia="ru-RU"/>
              </w:rPr>
            </w:pPr>
            <w:r w:rsidRPr="004C0446">
              <w:rPr>
                <w:rFonts w:ascii="Times New Roman" w:hAnsi="Times New Roman" w:cs="Times New Roman"/>
                <w:sz w:val="20"/>
                <w:szCs w:val="20"/>
                <w:lang w:val="ro-MD" w:eastAsia="ru-RU"/>
              </w:rPr>
              <w:t>Au fost revizuite 34 Proceduri de etalonare și Proceduri de lucru;</w:t>
            </w:r>
          </w:p>
          <w:p w:rsidR="00334505" w:rsidRPr="004C0446" w:rsidRDefault="00334505" w:rsidP="00440EB9">
            <w:pPr>
              <w:pStyle w:val="ListParagraph"/>
              <w:numPr>
                <w:ilvl w:val="0"/>
                <w:numId w:val="4"/>
              </w:numPr>
              <w:tabs>
                <w:tab w:val="clear" w:pos="720"/>
                <w:tab w:val="num" w:pos="33"/>
                <w:tab w:val="num" w:pos="213"/>
              </w:tabs>
              <w:spacing w:after="40" w:line="240" w:lineRule="auto"/>
              <w:ind w:left="71" w:firstLine="0"/>
              <w:rPr>
                <w:rFonts w:ascii="Times New Roman" w:eastAsia="Times New Roman" w:hAnsi="Times New Roman" w:cs="Times New Roman"/>
                <w:sz w:val="20"/>
                <w:szCs w:val="20"/>
                <w:lang w:val="ro-MD" w:eastAsia="ru-RU"/>
              </w:rPr>
            </w:pPr>
            <w:r w:rsidRPr="004C0446">
              <w:rPr>
                <w:rFonts w:ascii="Times New Roman" w:hAnsi="Times New Roman" w:cs="Times New Roman"/>
                <w:sz w:val="20"/>
                <w:szCs w:val="20"/>
                <w:lang w:val="ro-MD" w:eastAsia="ru-RU"/>
              </w:rPr>
              <w:t>11 documente SMC revizuite şi puse în aplicare.</w:t>
            </w:r>
          </w:p>
        </w:tc>
        <w:tc>
          <w:tcPr>
            <w:tcW w:w="1135" w:type="dxa"/>
            <w:tcBorders>
              <w:bottom w:val="single" w:sz="4" w:space="0" w:color="auto"/>
            </w:tcBorders>
          </w:tcPr>
          <w:p w:rsidR="00334505" w:rsidRPr="005911BC" w:rsidRDefault="00334505" w:rsidP="00334505">
            <w:pPr>
              <w:spacing w:after="0" w:line="240" w:lineRule="auto"/>
              <w:ind w:right="27"/>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lastRenderedPageBreak/>
              <w:t>5000,0</w:t>
            </w:r>
          </w:p>
        </w:tc>
        <w:tc>
          <w:tcPr>
            <w:tcW w:w="993" w:type="dxa"/>
            <w:tcBorders>
              <w:bottom w:val="single" w:sz="4" w:space="0" w:color="auto"/>
            </w:tcBorders>
          </w:tcPr>
          <w:p w:rsidR="00334505" w:rsidRPr="005911BC" w:rsidRDefault="00334505" w:rsidP="00334505">
            <w:pPr>
              <w:spacing w:after="0" w:line="240" w:lineRule="auto"/>
              <w:jc w:val="center"/>
              <w:rPr>
                <w:rFonts w:ascii="Times New Roman" w:eastAsia="Calibri" w:hAnsi="Times New Roman" w:cs="Times New Roman"/>
                <w:bCs/>
                <w:sz w:val="20"/>
                <w:szCs w:val="20"/>
                <w:lang w:val="ro-MD" w:eastAsia="nl-NL"/>
              </w:rPr>
            </w:pPr>
            <w:r w:rsidRPr="005911BC">
              <w:rPr>
                <w:rFonts w:ascii="Times New Roman" w:eastAsia="Calibri" w:hAnsi="Times New Roman" w:cs="Times New Roman"/>
                <w:bCs/>
                <w:sz w:val="20"/>
                <w:szCs w:val="20"/>
                <w:lang w:val="ro-MD" w:eastAsia="nl-NL"/>
              </w:rPr>
              <w:t>5000,0</w:t>
            </w:r>
          </w:p>
        </w:tc>
        <w:tc>
          <w:tcPr>
            <w:tcW w:w="1561" w:type="dxa"/>
          </w:tcPr>
          <w:p w:rsidR="00334505" w:rsidRPr="004C0446" w:rsidRDefault="00334505"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RO"/>
              </w:rPr>
              <w:t>Strategie implementată</w:t>
            </w:r>
            <w:r w:rsidR="00D96106" w:rsidRPr="004C0446">
              <w:rPr>
                <w:rFonts w:ascii="Times New Roman" w:eastAsia="Calibri" w:hAnsi="Times New Roman" w:cs="Times New Roman"/>
                <w:sz w:val="20"/>
                <w:szCs w:val="20"/>
                <w:lang w:val="ro-RO"/>
              </w:rPr>
              <w:t xml:space="preserve"> -</w:t>
            </w:r>
            <w:r w:rsidR="00FB650E">
              <w:rPr>
                <w:rFonts w:ascii="Times New Roman" w:eastAsia="Calibri" w:hAnsi="Times New Roman" w:cs="Times New Roman"/>
                <w:sz w:val="20"/>
                <w:szCs w:val="20"/>
                <w:lang w:val="ro-RO"/>
              </w:rPr>
              <w:t xml:space="preserve"> </w:t>
            </w:r>
            <w:r w:rsidR="00D96106" w:rsidRPr="004C0446">
              <w:rPr>
                <w:rFonts w:ascii="Times New Roman" w:eastAsia="Calibri" w:hAnsi="Times New Roman" w:cs="Times New Roman"/>
                <w:sz w:val="20"/>
                <w:szCs w:val="20"/>
                <w:lang w:val="ro-RO"/>
              </w:rPr>
              <w:t>1</w:t>
            </w:r>
          </w:p>
        </w:tc>
        <w:tc>
          <w:tcPr>
            <w:tcW w:w="1560" w:type="dxa"/>
          </w:tcPr>
          <w:p w:rsidR="00334505" w:rsidRPr="004C0446" w:rsidRDefault="00D96106"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RO"/>
              </w:rPr>
              <w:t>1</w:t>
            </w:r>
          </w:p>
        </w:tc>
        <w:tc>
          <w:tcPr>
            <w:tcW w:w="1418" w:type="dxa"/>
          </w:tcPr>
          <w:p w:rsidR="00334505" w:rsidRPr="004C0446" w:rsidRDefault="00D96106"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tc>
        <w:tc>
          <w:tcPr>
            <w:tcW w:w="1231" w:type="dxa"/>
            <w:gridSpan w:val="2"/>
          </w:tcPr>
          <w:p w:rsidR="00334505" w:rsidRPr="004C0446" w:rsidRDefault="00334505" w:rsidP="00334505">
            <w:pPr>
              <w:spacing w:after="0" w:line="240" w:lineRule="auto"/>
              <w:rPr>
                <w:rFonts w:ascii="Times New Roman" w:eastAsia="Calibri" w:hAnsi="Times New Roman" w:cs="Times New Roman"/>
                <w:sz w:val="20"/>
                <w:szCs w:val="20"/>
                <w:lang w:val="ro-MD"/>
              </w:rPr>
            </w:pPr>
          </w:p>
        </w:tc>
      </w:tr>
      <w:tr w:rsidR="00334505" w:rsidRPr="004C0446" w:rsidTr="00FB650E">
        <w:trPr>
          <w:trHeight w:val="414"/>
        </w:trPr>
        <w:tc>
          <w:tcPr>
            <w:tcW w:w="7852" w:type="dxa"/>
            <w:gridSpan w:val="5"/>
            <w:shd w:val="clear" w:color="auto" w:fill="EAF1DD" w:themeFill="accent3"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Total subprogram, mii lei</w:t>
            </w:r>
          </w:p>
        </w:tc>
        <w:tc>
          <w:tcPr>
            <w:tcW w:w="1135" w:type="dxa"/>
            <w:shd w:val="clear" w:color="auto" w:fill="EAF1DD" w:themeFill="accent3" w:themeFillTint="33"/>
            <w:vAlign w:val="center"/>
          </w:tcPr>
          <w:p w:rsidR="00334505" w:rsidRPr="005911BC" w:rsidRDefault="00334505" w:rsidP="00334505">
            <w:pPr>
              <w:spacing w:after="0" w:line="240" w:lineRule="auto"/>
              <w:ind w:right="27"/>
              <w:jc w:val="center"/>
              <w:rPr>
                <w:rFonts w:ascii="Times New Roman" w:eastAsia="Calibri" w:hAnsi="Times New Roman" w:cs="Times New Roman"/>
                <w:b/>
                <w:bCs/>
                <w:sz w:val="20"/>
                <w:szCs w:val="20"/>
                <w:lang w:val="ro-MD" w:eastAsia="nl-NL"/>
              </w:rPr>
            </w:pPr>
            <w:r w:rsidRPr="005911BC">
              <w:rPr>
                <w:rFonts w:ascii="Times New Roman" w:eastAsia="Calibri" w:hAnsi="Times New Roman" w:cs="Times New Roman"/>
                <w:b/>
                <w:bCs/>
                <w:sz w:val="20"/>
                <w:szCs w:val="20"/>
                <w:lang w:val="ro-MD" w:eastAsia="nl-NL"/>
              </w:rPr>
              <w:t>12397,5</w:t>
            </w:r>
          </w:p>
        </w:tc>
        <w:tc>
          <w:tcPr>
            <w:tcW w:w="993" w:type="dxa"/>
            <w:shd w:val="clear" w:color="auto" w:fill="EAF1DD" w:themeFill="accent3" w:themeFillTint="33"/>
            <w:vAlign w:val="center"/>
          </w:tcPr>
          <w:p w:rsidR="00334505" w:rsidRPr="005911BC" w:rsidRDefault="00334505" w:rsidP="00334505">
            <w:pPr>
              <w:spacing w:after="0" w:line="240" w:lineRule="auto"/>
              <w:jc w:val="center"/>
              <w:rPr>
                <w:rFonts w:ascii="Times New Roman" w:eastAsia="Calibri" w:hAnsi="Times New Roman" w:cs="Times New Roman"/>
                <w:b/>
                <w:bCs/>
                <w:sz w:val="20"/>
                <w:szCs w:val="20"/>
                <w:lang w:val="ro-MD" w:eastAsia="nl-NL"/>
              </w:rPr>
            </w:pPr>
            <w:r w:rsidRPr="005911BC">
              <w:rPr>
                <w:rFonts w:ascii="Times New Roman" w:eastAsia="Calibri" w:hAnsi="Times New Roman" w:cs="Times New Roman"/>
                <w:b/>
                <w:bCs/>
                <w:sz w:val="20"/>
                <w:szCs w:val="20"/>
                <w:lang w:val="ro-MD" w:eastAsia="nl-NL"/>
              </w:rPr>
              <w:t>12397,5</w:t>
            </w:r>
          </w:p>
        </w:tc>
        <w:tc>
          <w:tcPr>
            <w:tcW w:w="1561" w:type="dxa"/>
            <w:shd w:val="clear" w:color="auto" w:fill="EAF1DD" w:themeFill="accent3"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560" w:type="dxa"/>
            <w:shd w:val="clear" w:color="auto" w:fill="EAF1DD" w:themeFill="accent3"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418" w:type="dxa"/>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231" w:type="dxa"/>
            <w:gridSpan w:val="2"/>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b/>
                <w:sz w:val="20"/>
                <w:szCs w:val="20"/>
                <w:lang w:val="ro-MD"/>
              </w:rPr>
            </w:pPr>
          </w:p>
        </w:tc>
      </w:tr>
      <w:tr w:rsidR="00334505" w:rsidRPr="00E943D3" w:rsidTr="00FB650E">
        <w:trPr>
          <w:trHeight w:val="414"/>
        </w:trPr>
        <w:tc>
          <w:tcPr>
            <w:tcW w:w="15750" w:type="dxa"/>
            <w:gridSpan w:val="12"/>
            <w:shd w:val="clear" w:color="auto" w:fill="FDE9D9" w:themeFill="accent6"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Programul 6800 ”Dezvoltarea reglementărilor tehnice naţionale”</w:t>
            </w:r>
          </w:p>
          <w:p w:rsidR="00334505" w:rsidRPr="004C0446" w:rsidRDefault="00334505"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bCs/>
                <w:i/>
                <w:sz w:val="20"/>
                <w:szCs w:val="20"/>
                <w:lang w:val="ro-RO"/>
              </w:rPr>
              <w:t xml:space="preserve">Subprogramul </w:t>
            </w:r>
            <w:r w:rsidR="00D01CA5">
              <w:rPr>
                <w:rFonts w:ascii="Times New Roman" w:eastAsia="Calibri" w:hAnsi="Times New Roman" w:cs="Times New Roman"/>
                <w:bCs/>
                <w:i/>
                <w:sz w:val="20"/>
                <w:szCs w:val="20"/>
                <w:lang w:val="ro-RO"/>
              </w:rPr>
              <w:t>6806</w:t>
            </w:r>
            <w:r w:rsidRPr="004C0446">
              <w:rPr>
                <w:rFonts w:ascii="Times New Roman" w:eastAsia="Calibri" w:hAnsi="Times New Roman" w:cs="Times New Roman"/>
                <w:bCs/>
                <w:i/>
                <w:sz w:val="20"/>
                <w:szCs w:val="20"/>
                <w:lang w:val="ro-RO"/>
              </w:rPr>
              <w:t xml:space="preserve"> „Dezvoltarea infrastructurii de evaluare a conformităţii”</w:t>
            </w:r>
          </w:p>
        </w:tc>
      </w:tr>
      <w:tr w:rsidR="00334505" w:rsidRPr="004C0446" w:rsidTr="00FB650E">
        <w:trPr>
          <w:trHeight w:val="525"/>
        </w:trPr>
        <w:tc>
          <w:tcPr>
            <w:tcW w:w="1802" w:type="dxa"/>
            <w:gridSpan w:val="2"/>
            <w:vMerge w:val="restart"/>
            <w:shd w:val="clear" w:color="auto" w:fill="auto"/>
          </w:tcPr>
          <w:p w:rsidR="00334505" w:rsidRPr="004C0446" w:rsidRDefault="00334505" w:rsidP="00737606">
            <w:pPr>
              <w:numPr>
                <w:ilvl w:val="0"/>
                <w:numId w:val="2"/>
              </w:numPr>
              <w:spacing w:after="40" w:line="240" w:lineRule="auto"/>
              <w:ind w:left="142" w:hanging="142"/>
              <w:rPr>
                <w:rFonts w:ascii="Times New Roman" w:eastAsia="Calibri" w:hAnsi="Times New Roman" w:cs="Times New Roman"/>
                <w:bCs/>
                <w:color w:val="000000"/>
                <w:sz w:val="20"/>
                <w:szCs w:val="20"/>
                <w:lang w:val="ro-RO"/>
              </w:rPr>
            </w:pPr>
            <w:r w:rsidRPr="004C0446">
              <w:rPr>
                <w:rFonts w:ascii="Times New Roman" w:eastAsia="Calibri" w:hAnsi="Times New Roman" w:cs="Times New Roman"/>
                <w:bCs/>
                <w:color w:val="000000"/>
                <w:sz w:val="20"/>
                <w:szCs w:val="20"/>
                <w:lang w:val="ro-RO"/>
              </w:rPr>
              <w:t>Dezvoltarea capacităţilor şi competenţei tehnice a laboratoarelor de încercări pentru implementarea metodelor de încercăr</w:t>
            </w:r>
            <w:r w:rsidR="00A95A3C">
              <w:rPr>
                <w:rFonts w:ascii="Times New Roman" w:eastAsia="Calibri" w:hAnsi="Times New Roman" w:cs="Times New Roman"/>
                <w:bCs/>
                <w:color w:val="000000"/>
                <w:sz w:val="20"/>
                <w:szCs w:val="20"/>
                <w:lang w:val="ro-RO"/>
              </w:rPr>
              <w:t>i conform standardelor europene.</w:t>
            </w:r>
          </w:p>
          <w:p w:rsidR="00334505" w:rsidRPr="004C0446" w:rsidRDefault="00334505" w:rsidP="00737606">
            <w:pPr>
              <w:numPr>
                <w:ilvl w:val="0"/>
                <w:numId w:val="2"/>
              </w:numPr>
              <w:spacing w:after="40" w:line="240" w:lineRule="auto"/>
              <w:ind w:left="142" w:hanging="142"/>
              <w:rPr>
                <w:rFonts w:ascii="Times New Roman" w:eastAsia="Calibri" w:hAnsi="Times New Roman" w:cs="Times New Roman"/>
                <w:color w:val="000000"/>
                <w:sz w:val="20"/>
                <w:szCs w:val="20"/>
                <w:lang w:val="en-US"/>
              </w:rPr>
            </w:pPr>
            <w:r w:rsidRPr="004C0446">
              <w:rPr>
                <w:rFonts w:ascii="Times New Roman" w:eastAsia="Calibri" w:hAnsi="Times New Roman" w:cs="Times New Roman"/>
                <w:bCs/>
                <w:color w:val="000000"/>
                <w:sz w:val="20"/>
                <w:szCs w:val="20"/>
                <w:lang w:val="ro-RO"/>
              </w:rPr>
              <w:t>Semnarea Acordului privind evaluarea conformităţii şi acceptarea produselor industriale</w:t>
            </w:r>
            <w:r w:rsidR="00737606" w:rsidRPr="004C0446">
              <w:rPr>
                <w:rFonts w:ascii="Times New Roman" w:eastAsia="Calibri" w:hAnsi="Times New Roman" w:cs="Times New Roman"/>
                <w:bCs/>
                <w:color w:val="000000"/>
                <w:sz w:val="20"/>
                <w:szCs w:val="20"/>
                <w:lang w:val="ro-RO"/>
              </w:rPr>
              <w:t>.</w:t>
            </w:r>
          </w:p>
        </w:tc>
        <w:tc>
          <w:tcPr>
            <w:tcW w:w="2411" w:type="dxa"/>
            <w:vMerge w:val="restart"/>
            <w:shd w:val="clear" w:color="auto" w:fill="auto"/>
          </w:tcPr>
          <w:p w:rsidR="00334505" w:rsidRPr="004C0446" w:rsidRDefault="00334505" w:rsidP="00737606">
            <w:pPr>
              <w:spacing w:after="40" w:line="240" w:lineRule="auto"/>
              <w:rPr>
                <w:rFonts w:ascii="Times New Roman" w:eastAsia="Times New Roman" w:hAnsi="Times New Roman" w:cs="Calibri"/>
                <w:sz w:val="20"/>
                <w:szCs w:val="20"/>
                <w:lang w:val="ro-RO"/>
              </w:rPr>
            </w:pPr>
            <w:r w:rsidRPr="004C0446">
              <w:rPr>
                <w:rFonts w:ascii="Times New Roman" w:eastAsia="Times New Roman" w:hAnsi="Times New Roman" w:cs="Calibri"/>
                <w:sz w:val="20"/>
                <w:szCs w:val="20"/>
                <w:lang w:val="ro-RO"/>
              </w:rPr>
              <w:t>Implementarea de către INM, ÎS CMAC şi ÎS CTSIC a metodelor de încercări conform standardelor europene, prin:</w:t>
            </w:r>
          </w:p>
          <w:p w:rsidR="00334505" w:rsidRPr="004C0446" w:rsidRDefault="00334505" w:rsidP="00737606">
            <w:pPr>
              <w:spacing w:after="40" w:line="240" w:lineRule="auto"/>
              <w:rPr>
                <w:rFonts w:ascii="Times New Roman" w:eastAsia="Times New Roman" w:hAnsi="Times New Roman" w:cs="Calibri"/>
                <w:sz w:val="20"/>
                <w:szCs w:val="20"/>
                <w:lang w:val="ro-RO"/>
              </w:rPr>
            </w:pPr>
            <w:r w:rsidRPr="004C0446">
              <w:rPr>
                <w:rFonts w:ascii="Times New Roman" w:eastAsia="Times New Roman" w:hAnsi="Times New Roman" w:cs="Calibri"/>
                <w:sz w:val="20"/>
                <w:szCs w:val="20"/>
                <w:lang w:val="ro-RO"/>
              </w:rPr>
              <w:t>- elaborarea Planului de achiziţii pentru procurarea echipamentului în scopul consolidării capacităţilor tehnice ale laboratoarelor de încercări;</w:t>
            </w:r>
          </w:p>
          <w:p w:rsidR="00334505" w:rsidRPr="004C0446" w:rsidRDefault="00334505" w:rsidP="00737606">
            <w:pPr>
              <w:spacing w:after="40" w:line="240" w:lineRule="auto"/>
              <w:rPr>
                <w:rFonts w:ascii="Times New Roman" w:eastAsia="Times New Roman" w:hAnsi="Times New Roman" w:cs="Calibri"/>
                <w:sz w:val="20"/>
                <w:szCs w:val="20"/>
                <w:lang w:val="ro-RO"/>
              </w:rPr>
            </w:pPr>
            <w:r w:rsidRPr="004C0446">
              <w:rPr>
                <w:rFonts w:ascii="Times New Roman" w:eastAsia="Times New Roman" w:hAnsi="Times New Roman" w:cs="Calibri"/>
                <w:sz w:val="20"/>
                <w:szCs w:val="20"/>
                <w:lang w:val="ro-RO"/>
              </w:rPr>
              <w:t>-procurarea echipamentului necesar pentru implementarea metodelor de încercări conform standardelor europene;</w:t>
            </w:r>
          </w:p>
          <w:p w:rsidR="00334505" w:rsidRPr="004C0446" w:rsidRDefault="00334505" w:rsidP="00737606">
            <w:pPr>
              <w:spacing w:after="40" w:line="240" w:lineRule="auto"/>
              <w:rPr>
                <w:rFonts w:ascii="Times New Roman" w:eastAsia="Times New Roman" w:hAnsi="Times New Roman" w:cs="Calibri"/>
                <w:sz w:val="20"/>
                <w:szCs w:val="20"/>
                <w:lang w:val="ro-RO"/>
              </w:rPr>
            </w:pPr>
            <w:r w:rsidRPr="004C0446">
              <w:rPr>
                <w:rFonts w:ascii="Times New Roman" w:eastAsia="Times New Roman" w:hAnsi="Times New Roman" w:cs="Calibri"/>
                <w:sz w:val="20"/>
                <w:szCs w:val="20"/>
                <w:lang w:val="ro-RO"/>
              </w:rPr>
              <w:t xml:space="preserve">- instruirea personalului implicat în procesul de </w:t>
            </w:r>
            <w:r w:rsidRPr="004C0446">
              <w:rPr>
                <w:rFonts w:ascii="Times New Roman" w:eastAsia="Times New Roman" w:hAnsi="Times New Roman" w:cs="Calibri"/>
                <w:sz w:val="20"/>
                <w:szCs w:val="20"/>
                <w:lang w:val="ro-RO"/>
              </w:rPr>
              <w:lastRenderedPageBreak/>
              <w:t>implementar</w:t>
            </w:r>
            <w:r w:rsidR="00737606" w:rsidRPr="004C0446">
              <w:rPr>
                <w:rFonts w:ascii="Times New Roman" w:eastAsia="Times New Roman" w:hAnsi="Times New Roman" w:cs="Calibri"/>
                <w:sz w:val="20"/>
                <w:szCs w:val="20"/>
                <w:lang w:val="ro-RO"/>
              </w:rPr>
              <w:t>e a metodelor de încercări noi.</w:t>
            </w:r>
          </w:p>
        </w:tc>
        <w:tc>
          <w:tcPr>
            <w:tcW w:w="3639" w:type="dxa"/>
            <w:gridSpan w:val="2"/>
            <w:vMerge w:val="restart"/>
            <w:shd w:val="clear" w:color="auto" w:fill="auto"/>
          </w:tcPr>
          <w:p w:rsidR="00334505" w:rsidRPr="004C0446" w:rsidRDefault="00334505" w:rsidP="00737606">
            <w:pPr>
              <w:spacing w:after="40" w:line="240" w:lineRule="auto"/>
              <w:rPr>
                <w:rFonts w:ascii="Times New Roman" w:eastAsia="Times New Roman" w:hAnsi="Times New Roman" w:cs="Times New Roman"/>
                <w:sz w:val="20"/>
                <w:szCs w:val="20"/>
                <w:lang w:val="en-US" w:eastAsia="ru-RU"/>
              </w:rPr>
            </w:pPr>
            <w:r w:rsidRPr="004C0446">
              <w:rPr>
                <w:rFonts w:ascii="Times New Roman" w:eastAsia="Times New Roman" w:hAnsi="Times New Roman" w:cs="Times New Roman"/>
                <w:sz w:val="20"/>
                <w:szCs w:val="20"/>
                <w:lang w:val="en-US" w:eastAsia="ru-RU"/>
              </w:rPr>
              <w:lastRenderedPageBreak/>
              <w:t xml:space="preserve">În perioada de raportare </w:t>
            </w:r>
            <w:r w:rsidRPr="004C0446">
              <w:rPr>
                <w:rFonts w:ascii="Times New Roman" w:hAnsi="Times New Roman" w:cs="Times New Roman"/>
                <w:sz w:val="20"/>
                <w:szCs w:val="20"/>
                <w:lang w:val="ro-RO" w:eastAsia="ru-RU"/>
              </w:rPr>
              <w:t>î</w:t>
            </w:r>
            <w:r w:rsidRPr="004C0446">
              <w:rPr>
                <w:rFonts w:ascii="Times New Roman" w:hAnsi="Times New Roman" w:cs="Times New Roman"/>
                <w:sz w:val="20"/>
                <w:szCs w:val="20"/>
                <w:lang w:val="en-US" w:eastAsia="ru-RU"/>
              </w:rPr>
              <w:t>n scopul procurării echipamentelor necesare au fost efectuate următoarele:</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1.</w:t>
            </w:r>
            <w:r w:rsidRPr="004C0446">
              <w:rPr>
                <w:rFonts w:ascii="Times New Roman" w:hAnsi="Times New Roman" w:cs="Times New Roman"/>
                <w:sz w:val="20"/>
                <w:szCs w:val="20"/>
                <w:lang w:val="ro-RO" w:eastAsia="ru-RU"/>
              </w:rPr>
              <w:t xml:space="preserve"> Grupul de lucru pentru achiziţia echipamentelor necesare pentru dotarea laboratoarelor din domeniul infrastructurii calităţii (aprobat prin Ordinul ME nr.186 din 14.12.2015) a desfăşurat 4 şedinţe cu părţile participante.</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2. Au fost organizate licitaţii publice: nr.1137/15 din 01.02.2016 şi 132/16 din 21.03.2016.</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3. La 31 martie 2016 au fost înregistrate la Agenţia pentru Achiziţii Publice documentele licitaţiei publice nr.132/16 din 21.03.2016.</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 xml:space="preserve">4. În urma activităţilor efectuate, în adresa Agenţiei pentru Achiziţii Publice a fost prezentată Darea de seamă nr. 06-132/16 din 11.05.2016 privind achiziţionarea Echipamentelor de laborator, inclusiv </w:t>
            </w:r>
            <w:r w:rsidRPr="004C0446">
              <w:rPr>
                <w:rFonts w:ascii="Times New Roman" w:hAnsi="Times New Roman" w:cs="Times New Roman"/>
                <w:sz w:val="20"/>
                <w:szCs w:val="20"/>
                <w:lang w:eastAsia="ru-RU"/>
              </w:rPr>
              <w:lastRenderedPageBreak/>
              <w:t>Lista ofertanţilor câștigători cu care au fost încheiate contracte de achiziţie.</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5. Cu suportul Proiectului Asistenţă Teh</w:t>
            </w:r>
            <w:r w:rsidR="00737606" w:rsidRPr="004C0446">
              <w:rPr>
                <w:rFonts w:ascii="Times New Roman" w:hAnsi="Times New Roman" w:cs="Times New Roman"/>
                <w:sz w:val="20"/>
                <w:szCs w:val="20"/>
                <w:lang w:eastAsia="ru-RU"/>
              </w:rPr>
              <w:t>nică pentru implementarea DCFTA</w:t>
            </w:r>
            <w:r w:rsidRPr="004C0446">
              <w:rPr>
                <w:rFonts w:ascii="Times New Roman" w:hAnsi="Times New Roman" w:cs="Times New Roman"/>
                <w:sz w:val="20"/>
                <w:szCs w:val="20"/>
                <w:lang w:eastAsia="ru-RU"/>
              </w:rPr>
              <w:t xml:space="preserve"> s-a iniţiat procesul de revizuire a Planului multianual de achiziţii 2015-2017 pentru dotarea laboratoarelor infrastructurii calităţii cu minim echipament, aprobat prin Ordinul nr.183 din 08.12.2015. </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În luna iunie 2016 a fost elaborat proiectul de modificare a Ordinului nr.183 din 08.12.2015 în scopul modificării Anexei nr.2 a ordinului privind Lista utilajului şi echipamentului necesar.</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 xml:space="preserve">6. În luna august </w:t>
            </w:r>
            <w:r w:rsidR="00737606" w:rsidRPr="004C0446">
              <w:rPr>
                <w:rFonts w:ascii="Times New Roman" w:hAnsi="Times New Roman" w:cs="Times New Roman"/>
                <w:sz w:val="20"/>
                <w:szCs w:val="20"/>
                <w:lang w:eastAsia="ru-RU"/>
              </w:rPr>
              <w:t xml:space="preserve">2016 </w:t>
            </w:r>
            <w:r w:rsidRPr="004C0446">
              <w:rPr>
                <w:rFonts w:ascii="Times New Roman" w:hAnsi="Times New Roman" w:cs="Times New Roman"/>
                <w:sz w:val="20"/>
                <w:szCs w:val="20"/>
                <w:lang w:eastAsia="ru-RU"/>
              </w:rPr>
              <w:t>au fost iniţiate Procedurile de Achiziţii publice pentru procurarea echipamentelor necesare.</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7. Prin Ordinul nr.188 din 26.09.2016 au fost aprobate modificările şi completările operate în Planul multianual de achiziţii 2015-2017 pentru dotarea laboratoarelor infrastructurii calităţii cu minim echipament.</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8.</w:t>
            </w:r>
            <w:r w:rsidRPr="004C0446">
              <w:rPr>
                <w:rFonts w:ascii="Times New Roman" w:hAnsi="Times New Roman" w:cs="Times New Roman"/>
                <w:sz w:val="20"/>
                <w:szCs w:val="20"/>
                <w:lang w:val="ro-RO" w:eastAsia="ru-RU"/>
              </w:rPr>
              <w:t xml:space="preserve"> Grupul de lucru pentru achiziţia echipamentelor necesare pentru dotarea laboratoarelor din domeniul infrastructurii calităţii, aprobat prin Ordinul INM nr.71 din 20.07.2016, a desfăşurat 3 şedinţe cu părţile participante.</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9. Au fost organizate licitaţii publice: Cod CPV: 3800000-5 şi cod CPV: 48421000-5.</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10. În urma licitației publice au fost semnate contracte pentru livrarea echipamentelor pentru dezvoltarea etaloanelor naţionale în domeniile mase, forţă, temperaturi înalte şi fizico-chimice, duritate şi debit de gaze. Beneficiar este INM.</w:t>
            </w:r>
          </w:p>
          <w:p w:rsidR="00334505" w:rsidRPr="004C0446" w:rsidRDefault="00334505" w:rsidP="00737606">
            <w:pPr>
              <w:pStyle w:val="NoSpacing"/>
              <w:spacing w:after="40"/>
              <w:rPr>
                <w:rFonts w:ascii="Times New Roman" w:hAnsi="Times New Roman" w:cs="Times New Roman"/>
                <w:sz w:val="20"/>
                <w:szCs w:val="20"/>
                <w:lang w:eastAsia="ru-RU"/>
              </w:rPr>
            </w:pPr>
            <w:r w:rsidRPr="004C0446">
              <w:rPr>
                <w:rFonts w:ascii="Times New Roman" w:hAnsi="Times New Roman" w:cs="Times New Roman"/>
                <w:sz w:val="20"/>
                <w:szCs w:val="20"/>
                <w:lang w:eastAsia="ru-RU"/>
              </w:rPr>
              <w:t xml:space="preserve">11. A fost dotat laboratorul din cadrul ÎS </w:t>
            </w:r>
            <w:r w:rsidRPr="004C0446">
              <w:rPr>
                <w:rFonts w:ascii="Times New Roman" w:hAnsi="Times New Roman" w:cs="Times New Roman"/>
                <w:sz w:val="20"/>
                <w:szCs w:val="20"/>
                <w:lang w:val="ro-RO" w:eastAsia="ru-RU"/>
              </w:rPr>
              <w:t>”</w:t>
            </w:r>
            <w:r w:rsidRPr="004C0446">
              <w:rPr>
                <w:rFonts w:ascii="Times New Roman" w:hAnsi="Times New Roman" w:cs="Times New Roman"/>
                <w:sz w:val="20"/>
                <w:szCs w:val="20"/>
                <w:lang w:eastAsia="ru-RU"/>
              </w:rPr>
              <w:t xml:space="preserve">Centrul Tehnic de Securitate Industrială şi Certificare” cu echipament pentru </w:t>
            </w:r>
            <w:r w:rsidRPr="004C0446">
              <w:rPr>
                <w:rFonts w:ascii="Times New Roman" w:hAnsi="Times New Roman" w:cs="Times New Roman"/>
                <w:sz w:val="20"/>
                <w:szCs w:val="20"/>
                <w:lang w:eastAsia="ru-RU"/>
              </w:rPr>
              <w:lastRenderedPageBreak/>
              <w:t>testarea biocombustibilului şi produselor petroliere.</w:t>
            </w:r>
          </w:p>
          <w:p w:rsidR="00334505" w:rsidRPr="004C0446" w:rsidRDefault="00334505" w:rsidP="00737606">
            <w:pPr>
              <w:spacing w:after="40" w:line="240" w:lineRule="auto"/>
              <w:rPr>
                <w:rFonts w:ascii="Times New Roman" w:hAnsi="Times New Roman" w:cs="Times New Roman"/>
                <w:sz w:val="20"/>
                <w:szCs w:val="20"/>
                <w:lang w:val="en-US" w:eastAsia="ru-RU"/>
              </w:rPr>
            </w:pPr>
            <w:r w:rsidRPr="004C0446">
              <w:rPr>
                <w:rFonts w:ascii="Times New Roman" w:hAnsi="Times New Roman" w:cs="Times New Roman"/>
                <w:sz w:val="20"/>
                <w:szCs w:val="20"/>
                <w:lang w:val="en-US" w:eastAsia="ru-RU"/>
              </w:rPr>
              <w:t>12. Pentru ÎS ”Centrul de Metrologie Aplicată şi Certificare” a fost dotat laboratorul de încercări cu echipamente pentru încercarea produselor din domeniul textile.</w:t>
            </w:r>
          </w:p>
        </w:tc>
        <w:tc>
          <w:tcPr>
            <w:tcW w:w="1135" w:type="dxa"/>
            <w:vMerge w:val="restart"/>
            <w:shd w:val="clear" w:color="auto" w:fill="auto"/>
          </w:tcPr>
          <w:p w:rsidR="00334505" w:rsidRPr="005911BC" w:rsidRDefault="00737606" w:rsidP="00737606">
            <w:pPr>
              <w:jc w:val="center"/>
              <w:rPr>
                <w:rFonts w:ascii="Times New Roman" w:hAnsi="Times New Roman" w:cs="Times New Roman"/>
                <w:sz w:val="20"/>
                <w:szCs w:val="20"/>
                <w:lang w:val="ro-RO"/>
              </w:rPr>
            </w:pPr>
            <w:r w:rsidRPr="005911BC">
              <w:rPr>
                <w:rFonts w:ascii="Times New Roman" w:hAnsi="Times New Roman" w:cs="Times New Roman"/>
                <w:sz w:val="20"/>
                <w:szCs w:val="20"/>
                <w:lang w:val="ro-RO"/>
              </w:rPr>
              <w:lastRenderedPageBreak/>
              <w:t>17 600,0</w:t>
            </w:r>
          </w:p>
        </w:tc>
        <w:tc>
          <w:tcPr>
            <w:tcW w:w="993" w:type="dxa"/>
            <w:vMerge w:val="restart"/>
            <w:shd w:val="clear" w:color="auto" w:fill="auto"/>
          </w:tcPr>
          <w:p w:rsidR="00334505" w:rsidRPr="005911BC" w:rsidRDefault="00334505" w:rsidP="00334505">
            <w:pPr>
              <w:spacing w:after="0" w:line="240" w:lineRule="auto"/>
              <w:jc w:val="center"/>
              <w:rPr>
                <w:rFonts w:ascii="Times New Roman" w:eastAsia="Times New Roman" w:hAnsi="Times New Roman" w:cs="Calibri"/>
                <w:sz w:val="20"/>
                <w:szCs w:val="20"/>
                <w:lang w:val="ro-RO"/>
              </w:rPr>
            </w:pPr>
            <w:r w:rsidRPr="005911BC">
              <w:rPr>
                <w:rFonts w:ascii="Times New Roman" w:eastAsia="Times New Roman" w:hAnsi="Times New Roman" w:cs="Calibri"/>
                <w:sz w:val="20"/>
                <w:szCs w:val="20"/>
                <w:lang w:val="ro-RO"/>
              </w:rPr>
              <w:t>17 600,0</w:t>
            </w:r>
          </w:p>
          <w:p w:rsidR="00334505" w:rsidRPr="005911BC" w:rsidRDefault="00334505" w:rsidP="00334505">
            <w:pPr>
              <w:spacing w:after="0" w:line="240" w:lineRule="auto"/>
              <w:jc w:val="center"/>
              <w:rPr>
                <w:rFonts w:ascii="Times New Roman" w:eastAsia="Calibri" w:hAnsi="Times New Roman" w:cs="Times New Roman"/>
                <w:bCs/>
                <w:sz w:val="20"/>
                <w:szCs w:val="20"/>
                <w:lang w:eastAsia="nl-NL"/>
              </w:rPr>
            </w:pPr>
          </w:p>
        </w:tc>
        <w:tc>
          <w:tcPr>
            <w:tcW w:w="1561" w:type="dxa"/>
            <w:shd w:val="clear" w:color="auto" w:fill="auto"/>
          </w:tcPr>
          <w:p w:rsidR="00334505" w:rsidRPr="004C0446" w:rsidRDefault="00334505" w:rsidP="00737606">
            <w:pPr>
              <w:spacing w:after="0" w:line="240" w:lineRule="auto"/>
              <w:ind w:right="-79"/>
              <w:rPr>
                <w:rFonts w:ascii="Times New Roman" w:eastAsia="Times New Roman" w:hAnsi="Times New Roman" w:cs="Calibri"/>
                <w:bCs/>
                <w:sz w:val="20"/>
                <w:szCs w:val="20"/>
                <w:lang w:val="ro-RO"/>
              </w:rPr>
            </w:pPr>
            <w:r w:rsidRPr="004C0446">
              <w:rPr>
                <w:rFonts w:ascii="Times New Roman" w:eastAsia="Times New Roman" w:hAnsi="Times New Roman" w:cs="Calibri"/>
                <w:bCs/>
                <w:sz w:val="20"/>
                <w:szCs w:val="20"/>
                <w:lang w:val="ro-RO"/>
              </w:rPr>
              <w:t xml:space="preserve">Plan de achiziţii elaborat </w:t>
            </w:r>
            <w:r w:rsidR="00A95A3C">
              <w:rPr>
                <w:rFonts w:ascii="Times New Roman" w:eastAsia="Times New Roman" w:hAnsi="Times New Roman" w:cs="Calibri"/>
                <w:bCs/>
                <w:sz w:val="20"/>
                <w:szCs w:val="20"/>
                <w:lang w:val="ro-RO"/>
              </w:rPr>
              <w:t>-1</w:t>
            </w:r>
          </w:p>
        </w:tc>
        <w:tc>
          <w:tcPr>
            <w:tcW w:w="1560" w:type="dxa"/>
            <w:shd w:val="clear" w:color="auto" w:fill="auto"/>
          </w:tcPr>
          <w:p w:rsidR="00334505" w:rsidRPr="004C0446" w:rsidRDefault="00737606" w:rsidP="00334505">
            <w:pPr>
              <w:spacing w:after="0" w:line="240" w:lineRule="auto"/>
              <w:rPr>
                <w:rFonts w:ascii="Times New Roman" w:eastAsia="Times New Roman" w:hAnsi="Times New Roman" w:cs="Calibri"/>
                <w:bCs/>
                <w:sz w:val="20"/>
                <w:szCs w:val="20"/>
                <w:lang w:val="ro-RO"/>
              </w:rPr>
            </w:pPr>
            <w:r w:rsidRPr="004C0446">
              <w:rPr>
                <w:rFonts w:ascii="Times New Roman" w:eastAsia="Times New Roman" w:hAnsi="Times New Roman" w:cs="Calibri"/>
                <w:bCs/>
                <w:sz w:val="20"/>
                <w:szCs w:val="20"/>
                <w:lang w:val="en-US"/>
              </w:rPr>
              <w:t>1</w:t>
            </w:r>
          </w:p>
          <w:p w:rsidR="00334505" w:rsidRPr="004C0446" w:rsidRDefault="00334505" w:rsidP="00334505">
            <w:pPr>
              <w:spacing w:after="0" w:line="240" w:lineRule="auto"/>
              <w:rPr>
                <w:rFonts w:ascii="Times New Roman" w:eastAsia="Calibri" w:hAnsi="Times New Roman" w:cs="Times New Roman"/>
                <w:sz w:val="20"/>
                <w:szCs w:val="20"/>
                <w:lang w:val="ro-RO"/>
              </w:rPr>
            </w:pPr>
          </w:p>
        </w:tc>
        <w:tc>
          <w:tcPr>
            <w:tcW w:w="1418" w:type="dxa"/>
            <w:shd w:val="clear" w:color="auto" w:fill="auto"/>
          </w:tcPr>
          <w:p w:rsidR="00334505" w:rsidRPr="004C0446" w:rsidRDefault="00334505" w:rsidP="00737606">
            <w:pPr>
              <w:spacing w:after="0" w:line="240" w:lineRule="auto"/>
              <w:rPr>
                <w:rFonts w:ascii="Times New Roman" w:eastAsia="Calibri" w:hAnsi="Times New Roman" w:cs="Times New Roman"/>
                <w:sz w:val="20"/>
                <w:szCs w:val="20"/>
              </w:rPr>
            </w:pPr>
            <w:r w:rsidRPr="004C0446">
              <w:rPr>
                <w:rFonts w:ascii="Times New Roman" w:eastAsia="Calibri" w:hAnsi="Times New Roman" w:cs="Times New Roman"/>
                <w:sz w:val="20"/>
                <w:szCs w:val="20"/>
              </w:rPr>
              <w:t>-</w:t>
            </w:r>
          </w:p>
        </w:tc>
        <w:tc>
          <w:tcPr>
            <w:tcW w:w="1231" w:type="dxa"/>
            <w:gridSpan w:val="2"/>
            <w:shd w:val="clear" w:color="auto" w:fill="auto"/>
          </w:tcPr>
          <w:p w:rsidR="00334505" w:rsidRPr="004C0446" w:rsidRDefault="00334505" w:rsidP="00737606">
            <w:pPr>
              <w:spacing w:after="0" w:line="240" w:lineRule="auto"/>
              <w:jc w:val="center"/>
              <w:rPr>
                <w:rFonts w:ascii="Times New Roman" w:eastAsia="Calibri" w:hAnsi="Times New Roman" w:cs="Times New Roman"/>
                <w:b/>
                <w:sz w:val="20"/>
                <w:szCs w:val="20"/>
                <w:lang w:val="ro-MD"/>
              </w:rPr>
            </w:pPr>
          </w:p>
        </w:tc>
      </w:tr>
      <w:tr w:rsidR="00334505" w:rsidRPr="004C0446" w:rsidTr="00FB650E">
        <w:trPr>
          <w:trHeight w:val="575"/>
        </w:trPr>
        <w:tc>
          <w:tcPr>
            <w:tcW w:w="1802" w:type="dxa"/>
            <w:gridSpan w:val="2"/>
            <w:vMerge/>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2411" w:type="dxa"/>
            <w:vMerge/>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3639" w:type="dxa"/>
            <w:gridSpan w:val="2"/>
            <w:vMerge/>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135" w:type="dxa"/>
            <w:vMerge/>
            <w:shd w:val="clear" w:color="auto" w:fill="auto"/>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993" w:type="dxa"/>
            <w:vMerge/>
            <w:shd w:val="clear" w:color="auto" w:fill="auto"/>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561" w:type="dxa"/>
            <w:shd w:val="clear" w:color="auto" w:fill="auto"/>
          </w:tcPr>
          <w:p w:rsidR="00334505" w:rsidRPr="004C0446" w:rsidRDefault="00737606" w:rsidP="00334505">
            <w:pPr>
              <w:tabs>
                <w:tab w:val="left" w:pos="189"/>
              </w:tabs>
              <w:spacing w:after="0" w:line="240" w:lineRule="auto"/>
              <w:ind w:right="-71"/>
              <w:rPr>
                <w:rFonts w:ascii="Times New Roman" w:eastAsia="Calibri" w:hAnsi="Times New Roman" w:cs="Times New Roman"/>
                <w:bCs/>
                <w:sz w:val="20"/>
                <w:szCs w:val="20"/>
                <w:lang w:val="ro-RO"/>
              </w:rPr>
            </w:pPr>
            <w:r w:rsidRPr="004C0446">
              <w:rPr>
                <w:rFonts w:ascii="Times New Roman" w:eastAsia="Calibri" w:hAnsi="Times New Roman" w:cs="Times New Roman"/>
                <w:bCs/>
                <w:sz w:val="20"/>
                <w:szCs w:val="20"/>
                <w:lang w:val="ro-RO"/>
              </w:rPr>
              <w:t>N</w:t>
            </w:r>
            <w:r w:rsidR="00A95A3C">
              <w:rPr>
                <w:rFonts w:ascii="Times New Roman" w:eastAsia="Calibri" w:hAnsi="Times New Roman" w:cs="Times New Roman"/>
                <w:bCs/>
                <w:sz w:val="20"/>
                <w:szCs w:val="20"/>
                <w:lang w:val="ro-RO"/>
              </w:rPr>
              <w:t>umăr de echipamente procurate</w:t>
            </w:r>
          </w:p>
        </w:tc>
        <w:tc>
          <w:tcPr>
            <w:tcW w:w="1560" w:type="dxa"/>
            <w:shd w:val="clear" w:color="auto" w:fill="auto"/>
          </w:tcPr>
          <w:p w:rsidR="00334505" w:rsidRPr="004C0446" w:rsidRDefault="00334505" w:rsidP="00737606">
            <w:pPr>
              <w:spacing w:after="0" w:line="240" w:lineRule="auto"/>
              <w:jc w:val="both"/>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t>31</w:t>
            </w:r>
          </w:p>
        </w:tc>
        <w:tc>
          <w:tcPr>
            <w:tcW w:w="1418" w:type="dxa"/>
            <w:shd w:val="clear" w:color="auto" w:fill="auto"/>
          </w:tcPr>
          <w:p w:rsidR="00334505" w:rsidRPr="004C0446" w:rsidRDefault="00737606"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tc>
        <w:tc>
          <w:tcPr>
            <w:tcW w:w="1231" w:type="dxa"/>
            <w:gridSpan w:val="2"/>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r>
      <w:tr w:rsidR="00334505" w:rsidRPr="004C0446" w:rsidTr="00FB650E">
        <w:trPr>
          <w:trHeight w:val="575"/>
        </w:trPr>
        <w:tc>
          <w:tcPr>
            <w:tcW w:w="1802" w:type="dxa"/>
            <w:gridSpan w:val="2"/>
            <w:vMerge/>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2411" w:type="dxa"/>
            <w:vMerge/>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3639" w:type="dxa"/>
            <w:gridSpan w:val="2"/>
            <w:vMerge/>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135" w:type="dxa"/>
            <w:vMerge/>
            <w:shd w:val="clear" w:color="auto" w:fill="auto"/>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993" w:type="dxa"/>
            <w:vMerge/>
            <w:shd w:val="clear" w:color="auto" w:fill="auto"/>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561" w:type="dxa"/>
            <w:shd w:val="clear" w:color="auto" w:fill="auto"/>
          </w:tcPr>
          <w:p w:rsidR="00334505" w:rsidRPr="004C0446" w:rsidRDefault="00334505" w:rsidP="00737606">
            <w:pPr>
              <w:spacing w:after="0" w:line="240" w:lineRule="auto"/>
              <w:rPr>
                <w:rFonts w:ascii="Times New Roman" w:eastAsia="Calibri" w:hAnsi="Times New Roman" w:cs="Times New Roman"/>
                <w:bCs/>
                <w:sz w:val="20"/>
                <w:szCs w:val="20"/>
                <w:lang w:val="ro-RO"/>
              </w:rPr>
            </w:pPr>
            <w:r w:rsidRPr="004C0446">
              <w:rPr>
                <w:rFonts w:ascii="Times New Roman" w:eastAsia="Calibri" w:hAnsi="Times New Roman" w:cs="Times New Roman"/>
                <w:bCs/>
                <w:sz w:val="20"/>
                <w:szCs w:val="20"/>
                <w:lang w:val="ro-RO"/>
              </w:rPr>
              <w:t>Număr de metod</w:t>
            </w:r>
            <w:r w:rsidR="00A95A3C">
              <w:rPr>
                <w:rFonts w:ascii="Times New Roman" w:eastAsia="Calibri" w:hAnsi="Times New Roman" w:cs="Times New Roman"/>
                <w:bCs/>
                <w:sz w:val="20"/>
                <w:szCs w:val="20"/>
                <w:lang w:val="ro-RO"/>
              </w:rPr>
              <w:t>e de încercări noi implementate</w:t>
            </w:r>
          </w:p>
        </w:tc>
        <w:tc>
          <w:tcPr>
            <w:tcW w:w="1560" w:type="dxa"/>
            <w:shd w:val="clear" w:color="auto" w:fill="auto"/>
          </w:tcPr>
          <w:p w:rsidR="00334505" w:rsidRPr="004C0446" w:rsidRDefault="00334505" w:rsidP="00737606">
            <w:pPr>
              <w:spacing w:after="0" w:line="240" w:lineRule="auto"/>
              <w:rPr>
                <w:rFonts w:ascii="Times New Roman" w:eastAsia="Calibri" w:hAnsi="Times New Roman" w:cs="Times New Roman"/>
                <w:sz w:val="20"/>
                <w:szCs w:val="20"/>
                <w:lang w:val="ro-RO"/>
              </w:rPr>
            </w:pPr>
            <w:r w:rsidRPr="004C0446">
              <w:rPr>
                <w:rFonts w:ascii="Times New Roman" w:eastAsia="Times New Roman" w:hAnsi="Times New Roman" w:cs="Times New Roman"/>
                <w:bCs/>
                <w:sz w:val="20"/>
                <w:szCs w:val="20"/>
                <w:lang w:val="ro-RO"/>
              </w:rPr>
              <w:t>33</w:t>
            </w:r>
          </w:p>
        </w:tc>
        <w:tc>
          <w:tcPr>
            <w:tcW w:w="1418" w:type="dxa"/>
            <w:shd w:val="clear" w:color="auto" w:fill="auto"/>
          </w:tcPr>
          <w:p w:rsidR="00334505" w:rsidRPr="004C0446" w:rsidRDefault="00737606"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tc>
        <w:tc>
          <w:tcPr>
            <w:tcW w:w="1231" w:type="dxa"/>
            <w:gridSpan w:val="2"/>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r>
      <w:tr w:rsidR="00334505" w:rsidRPr="004C0446" w:rsidTr="00FB650E">
        <w:trPr>
          <w:trHeight w:val="575"/>
        </w:trPr>
        <w:tc>
          <w:tcPr>
            <w:tcW w:w="1802" w:type="dxa"/>
            <w:gridSpan w:val="2"/>
            <w:vMerge/>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2411" w:type="dxa"/>
            <w:vMerge/>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3639" w:type="dxa"/>
            <w:gridSpan w:val="2"/>
            <w:vMerge/>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135" w:type="dxa"/>
            <w:vMerge/>
            <w:shd w:val="clear" w:color="auto" w:fill="auto"/>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993" w:type="dxa"/>
            <w:vMerge/>
            <w:shd w:val="clear" w:color="auto" w:fill="auto"/>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561" w:type="dxa"/>
            <w:shd w:val="clear" w:color="auto" w:fill="auto"/>
          </w:tcPr>
          <w:p w:rsidR="00334505" w:rsidRPr="004C0446" w:rsidRDefault="00334505" w:rsidP="00334505">
            <w:pPr>
              <w:spacing w:after="0" w:line="240" w:lineRule="auto"/>
              <w:rPr>
                <w:rFonts w:ascii="Times New Roman" w:eastAsia="Calibri" w:hAnsi="Times New Roman" w:cs="Times New Roman"/>
                <w:sz w:val="20"/>
                <w:szCs w:val="20"/>
              </w:rPr>
            </w:pPr>
            <w:r w:rsidRPr="004C0446">
              <w:rPr>
                <w:rFonts w:ascii="Times New Roman" w:eastAsia="Calibri" w:hAnsi="Times New Roman" w:cs="Times New Roman"/>
                <w:bCs/>
                <w:sz w:val="20"/>
                <w:szCs w:val="20"/>
                <w:lang w:val="ro-RO"/>
              </w:rPr>
              <w:t>Număr de personal instruit</w:t>
            </w:r>
          </w:p>
        </w:tc>
        <w:tc>
          <w:tcPr>
            <w:tcW w:w="1560" w:type="dxa"/>
            <w:shd w:val="clear" w:color="auto" w:fill="auto"/>
          </w:tcPr>
          <w:p w:rsidR="00334505" w:rsidRPr="004C0446" w:rsidRDefault="00334505" w:rsidP="00737606">
            <w:pPr>
              <w:spacing w:after="0" w:line="240" w:lineRule="auto"/>
              <w:rPr>
                <w:rFonts w:ascii="Times New Roman" w:eastAsia="Times New Roman" w:hAnsi="Times New Roman" w:cs="Times New Roman"/>
                <w:bCs/>
                <w:sz w:val="20"/>
                <w:szCs w:val="20"/>
                <w:lang w:val="ro-RO"/>
              </w:rPr>
            </w:pPr>
            <w:r w:rsidRPr="004C0446">
              <w:rPr>
                <w:rFonts w:ascii="Times New Roman" w:eastAsia="Times New Roman" w:hAnsi="Times New Roman" w:cs="Times New Roman"/>
                <w:bCs/>
                <w:sz w:val="20"/>
                <w:szCs w:val="20"/>
                <w:lang w:val="ro-RO"/>
              </w:rPr>
              <w:t>27</w:t>
            </w:r>
          </w:p>
          <w:p w:rsidR="00334505" w:rsidRPr="004C0446" w:rsidRDefault="00334505" w:rsidP="00334505">
            <w:pPr>
              <w:spacing w:after="0" w:line="240" w:lineRule="auto"/>
              <w:rPr>
                <w:rFonts w:ascii="Times New Roman" w:eastAsia="Calibri" w:hAnsi="Times New Roman" w:cs="Times New Roman"/>
                <w:sz w:val="20"/>
                <w:szCs w:val="20"/>
                <w:lang w:val="ro-RO"/>
              </w:rPr>
            </w:pPr>
            <w:r w:rsidRPr="004C0446">
              <w:rPr>
                <w:rFonts w:ascii="Times New Roman" w:eastAsia="Times New Roman" w:hAnsi="Times New Roman" w:cs="Times New Roman"/>
                <w:iCs/>
                <w:sz w:val="20"/>
                <w:szCs w:val="20"/>
                <w:lang w:val="ro-RO" w:eastAsia="ru-RU"/>
              </w:rPr>
              <w:t xml:space="preserve">  </w:t>
            </w:r>
          </w:p>
        </w:tc>
        <w:tc>
          <w:tcPr>
            <w:tcW w:w="1418" w:type="dxa"/>
            <w:shd w:val="clear" w:color="auto" w:fill="auto"/>
          </w:tcPr>
          <w:p w:rsidR="00334505" w:rsidRPr="004C0446" w:rsidRDefault="00737606"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tc>
        <w:tc>
          <w:tcPr>
            <w:tcW w:w="1231" w:type="dxa"/>
            <w:gridSpan w:val="2"/>
            <w:shd w:val="clear" w:color="auto" w:fill="auto"/>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r>
      <w:tr w:rsidR="00334505" w:rsidRPr="004C0446" w:rsidTr="00FB650E">
        <w:trPr>
          <w:trHeight w:val="487"/>
        </w:trPr>
        <w:tc>
          <w:tcPr>
            <w:tcW w:w="7852" w:type="dxa"/>
            <w:gridSpan w:val="5"/>
            <w:shd w:val="clear" w:color="auto" w:fill="EAF1DD" w:themeFill="accent3"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lastRenderedPageBreak/>
              <w:t>Total subprogram, mii lei</w:t>
            </w:r>
          </w:p>
        </w:tc>
        <w:tc>
          <w:tcPr>
            <w:tcW w:w="1135" w:type="dxa"/>
            <w:shd w:val="clear" w:color="auto" w:fill="EAF1DD" w:themeFill="accent3" w:themeFillTint="33"/>
            <w:vAlign w:val="center"/>
          </w:tcPr>
          <w:p w:rsidR="00334505" w:rsidRPr="005911BC" w:rsidRDefault="00737606" w:rsidP="00737606">
            <w:pPr>
              <w:spacing w:after="0" w:line="240" w:lineRule="auto"/>
              <w:ind w:right="27"/>
              <w:jc w:val="center"/>
              <w:rPr>
                <w:rFonts w:ascii="Times New Roman" w:eastAsia="Calibri" w:hAnsi="Times New Roman" w:cs="Times New Roman"/>
                <w:b/>
                <w:bCs/>
                <w:sz w:val="20"/>
                <w:szCs w:val="20"/>
                <w:lang w:val="ro-RO" w:eastAsia="nl-NL"/>
              </w:rPr>
            </w:pPr>
            <w:r w:rsidRPr="005911BC">
              <w:rPr>
                <w:rFonts w:ascii="Times New Roman" w:eastAsia="Calibri" w:hAnsi="Times New Roman" w:cs="Times New Roman"/>
                <w:b/>
                <w:bCs/>
                <w:sz w:val="20"/>
                <w:szCs w:val="20"/>
                <w:lang w:val="ro-RO" w:eastAsia="nl-NL"/>
              </w:rPr>
              <w:t>17 600,0</w:t>
            </w:r>
          </w:p>
        </w:tc>
        <w:tc>
          <w:tcPr>
            <w:tcW w:w="993" w:type="dxa"/>
            <w:shd w:val="clear" w:color="auto" w:fill="EAF1DD" w:themeFill="accent3" w:themeFillTint="33"/>
            <w:vAlign w:val="center"/>
          </w:tcPr>
          <w:p w:rsidR="00334505" w:rsidRPr="005911BC" w:rsidRDefault="00737606" w:rsidP="00737606">
            <w:pPr>
              <w:spacing w:after="0" w:line="240" w:lineRule="auto"/>
              <w:jc w:val="center"/>
              <w:rPr>
                <w:rFonts w:ascii="Times New Roman" w:eastAsia="Calibri" w:hAnsi="Times New Roman" w:cs="Times New Roman"/>
                <w:b/>
                <w:bCs/>
                <w:sz w:val="20"/>
                <w:szCs w:val="20"/>
                <w:lang w:val="ro-RO" w:eastAsia="nl-NL"/>
              </w:rPr>
            </w:pPr>
            <w:r w:rsidRPr="005911BC">
              <w:rPr>
                <w:rFonts w:ascii="Times New Roman" w:eastAsia="Calibri" w:hAnsi="Times New Roman" w:cs="Times New Roman"/>
                <w:b/>
                <w:bCs/>
                <w:sz w:val="20"/>
                <w:szCs w:val="20"/>
                <w:lang w:val="ro-RO" w:eastAsia="nl-NL"/>
              </w:rPr>
              <w:t>17 600,0</w:t>
            </w:r>
          </w:p>
        </w:tc>
        <w:tc>
          <w:tcPr>
            <w:tcW w:w="1561" w:type="dxa"/>
            <w:shd w:val="clear" w:color="auto" w:fill="EAF1DD" w:themeFill="accent3"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560" w:type="dxa"/>
            <w:shd w:val="clear" w:color="auto" w:fill="EAF1DD" w:themeFill="accent3"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418" w:type="dxa"/>
            <w:shd w:val="clear" w:color="auto" w:fill="EAF1DD" w:themeFill="accent3"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231" w:type="dxa"/>
            <w:gridSpan w:val="2"/>
            <w:shd w:val="clear" w:color="auto" w:fill="EAF1DD" w:themeFill="accent3"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p>
        </w:tc>
      </w:tr>
      <w:tr w:rsidR="00334505" w:rsidRPr="00E943D3" w:rsidTr="00FB650E">
        <w:trPr>
          <w:trHeight w:val="575"/>
        </w:trPr>
        <w:tc>
          <w:tcPr>
            <w:tcW w:w="15750" w:type="dxa"/>
            <w:gridSpan w:val="12"/>
            <w:shd w:val="clear" w:color="auto" w:fill="FDE9D9" w:themeFill="accent6"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Programul 6800 ”Dezvoltarea reglementărilor tehnice naţionale”</w:t>
            </w:r>
          </w:p>
          <w:p w:rsidR="00334505" w:rsidRPr="004C0446" w:rsidRDefault="00334505" w:rsidP="00334505">
            <w:pPr>
              <w:spacing w:after="0" w:line="240" w:lineRule="auto"/>
              <w:rPr>
                <w:rFonts w:ascii="Times New Roman" w:eastAsia="Calibri" w:hAnsi="Times New Roman" w:cs="Times New Roman"/>
                <w:i/>
                <w:sz w:val="20"/>
                <w:szCs w:val="20"/>
                <w:lang w:val="ro-MD"/>
              </w:rPr>
            </w:pPr>
            <w:r w:rsidRPr="004C0446">
              <w:rPr>
                <w:rFonts w:ascii="Times New Roman" w:eastAsia="Calibri" w:hAnsi="Times New Roman" w:cs="Times New Roman"/>
                <w:i/>
                <w:sz w:val="20"/>
                <w:szCs w:val="20"/>
                <w:lang w:val="ro-MD"/>
              </w:rPr>
              <w:t>Subprogramul 6805 ”Dezvoltarea sistemului naţional de acreditare”</w:t>
            </w:r>
          </w:p>
        </w:tc>
      </w:tr>
      <w:tr w:rsidR="00CC269D" w:rsidRPr="004C0446" w:rsidTr="00FB650E">
        <w:trPr>
          <w:trHeight w:val="408"/>
        </w:trPr>
        <w:tc>
          <w:tcPr>
            <w:tcW w:w="1802" w:type="dxa"/>
            <w:gridSpan w:val="2"/>
            <w:vMerge w:val="restart"/>
          </w:tcPr>
          <w:p w:rsidR="00CC269D" w:rsidRPr="004C0446" w:rsidRDefault="00CC269D" w:rsidP="00334505">
            <w:pPr>
              <w:numPr>
                <w:ilvl w:val="1"/>
                <w:numId w:val="1"/>
              </w:numPr>
              <w:spacing w:after="0" w:line="240" w:lineRule="auto"/>
              <w:ind w:left="169" w:hanging="169"/>
              <w:rPr>
                <w:rFonts w:ascii="Times New Roman" w:eastAsia="Calibri" w:hAnsi="Times New Roman"/>
                <w:color w:val="000000"/>
                <w:sz w:val="20"/>
                <w:szCs w:val="20"/>
                <w:lang w:val="ro-MD"/>
              </w:rPr>
            </w:pPr>
            <w:r w:rsidRPr="004C0446">
              <w:rPr>
                <w:rFonts w:ascii="Times New Roman" w:hAnsi="Times New Roman"/>
                <w:color w:val="000000"/>
                <w:sz w:val="20"/>
                <w:szCs w:val="20"/>
                <w:lang w:val="ro-RO"/>
              </w:rPr>
              <w:t>Dezvoltarea şi menţinerea competenţei Centrului Naţional de Acreditare MOLDAC în conformitate cu cerinţele standardului ISO/CEI 17011 „Evaluarea conformităţii. Cerinţe generale pentru organismele de acreditare care acreditează organisme de evaluare a conformităţii”, şi cerinţele organizaţiilor internaţionale şi europene de acreditare (EA, IAF, ILAC)</w:t>
            </w:r>
            <w:r w:rsidR="00A95A3C">
              <w:rPr>
                <w:rFonts w:ascii="Times New Roman" w:hAnsi="Times New Roman"/>
                <w:color w:val="000000"/>
                <w:sz w:val="20"/>
                <w:szCs w:val="20"/>
                <w:lang w:val="ro-RO"/>
              </w:rPr>
              <w:t>.</w:t>
            </w:r>
          </w:p>
          <w:p w:rsidR="00CC269D" w:rsidRPr="004C0446" w:rsidRDefault="00CC269D" w:rsidP="00334505">
            <w:pPr>
              <w:spacing w:after="0" w:line="240" w:lineRule="auto"/>
              <w:ind w:left="169"/>
              <w:jc w:val="both"/>
              <w:rPr>
                <w:rFonts w:ascii="Times New Roman" w:eastAsia="Calibri" w:hAnsi="Times New Roman" w:cs="Times New Roman"/>
                <w:color w:val="000000"/>
                <w:sz w:val="20"/>
                <w:szCs w:val="20"/>
                <w:lang w:val="ro-MD"/>
              </w:rPr>
            </w:pPr>
          </w:p>
        </w:tc>
        <w:tc>
          <w:tcPr>
            <w:tcW w:w="2411" w:type="dxa"/>
            <w:vMerge w:val="restart"/>
          </w:tcPr>
          <w:p w:rsidR="00CC269D" w:rsidRPr="004C0446" w:rsidRDefault="00CC269D" w:rsidP="003C492F">
            <w:pPr>
              <w:spacing w:after="4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Consolidarea continuă a capacităţilor instituţionale ale Centrului Naţional de Acreditare MOLDAC, în scopul semnării Acordului de recunoaştere multilaterală în cadrul Cooperării Europene pentru Acreditare (EA MLA) prin:</w:t>
            </w:r>
          </w:p>
          <w:p w:rsidR="00CC269D" w:rsidRPr="004C0446" w:rsidRDefault="00CC269D" w:rsidP="003C492F">
            <w:pPr>
              <w:spacing w:after="4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dezvoltarea continuă a documentelor sistemului de management al Centrului Naţional de Acreditare MOLDAC la cerinţele organizaţiilor internaţionale şi europene de acreditare (EA, IAF, ILAC), şi implementarea lor în activitatea de acreditare;</w:t>
            </w:r>
          </w:p>
          <w:p w:rsidR="00CC269D" w:rsidRPr="004C0446" w:rsidRDefault="00CC269D" w:rsidP="003C492F">
            <w:pPr>
              <w:spacing w:after="4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instruirea personalului implicat în procesul de acreditare, precum şi familiarizarea acestuia cu cerinţele standardelor de referinţă şi documentele organizaţiilor internaţionale şi europene de acreditare (EA, IAF, ILAC);</w:t>
            </w:r>
          </w:p>
          <w:p w:rsidR="00CC269D" w:rsidRPr="004C0446" w:rsidRDefault="00CC269D" w:rsidP="003C492F">
            <w:pPr>
              <w:spacing w:after="4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lastRenderedPageBreak/>
              <w:t>- instruirea şi stagierea personalului Centrului Naţional de Acreditare MOLDAC în cadrul Organismelor Naţionale de Acreditare semnatari EA MLA;</w:t>
            </w:r>
          </w:p>
          <w:p w:rsidR="00CC269D" w:rsidRPr="004C0446" w:rsidRDefault="00CC269D" w:rsidP="003C492F">
            <w:pPr>
              <w:spacing w:after="4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extinderea competenţei Centrului Naţional de Acreditare MOLDAC pentru acreditarea domeniilor noi, în conformitate cu necesităţile economiei naţionale;</w:t>
            </w:r>
          </w:p>
          <w:p w:rsidR="00CC269D" w:rsidRPr="004C0446" w:rsidRDefault="00CC269D" w:rsidP="003C492F">
            <w:pPr>
              <w:spacing w:after="4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consolidarea capacităţii Organismului Naţional de Acreditare în cadrul Politicilor Europene (realizarea Proiectului Twinning light).</w:t>
            </w:r>
          </w:p>
        </w:tc>
        <w:tc>
          <w:tcPr>
            <w:tcW w:w="3639" w:type="dxa"/>
            <w:gridSpan w:val="2"/>
            <w:vMerge w:val="restart"/>
          </w:tcPr>
          <w:p w:rsidR="00CC269D" w:rsidRPr="004C0446" w:rsidRDefault="00CC269D" w:rsidP="003C492F">
            <w:pPr>
              <w:tabs>
                <w:tab w:val="left" w:pos="175"/>
              </w:tabs>
              <w:spacing w:after="40" w:line="240" w:lineRule="auto"/>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lastRenderedPageBreak/>
              <w:t>Pe parcursul anului 2016 au fost efectuate următoarele activități:</w:t>
            </w:r>
          </w:p>
          <w:p w:rsidR="00CC269D" w:rsidRPr="004C0446" w:rsidRDefault="00CC269D" w:rsidP="003C492F">
            <w:pPr>
              <w:pStyle w:val="ListParagraph"/>
              <w:numPr>
                <w:ilvl w:val="0"/>
                <w:numId w:val="6"/>
              </w:numPr>
              <w:tabs>
                <w:tab w:val="left" w:pos="175"/>
              </w:tabs>
              <w:spacing w:after="40" w:line="240" w:lineRule="auto"/>
              <w:ind w:left="175" w:hanging="175"/>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Toate documentele sistemului de management al MOLDAC (politici, regulamente, manualul sistemului de management, criterii, reguli, documente de referinţă, documente informative, proceduri, instrucţiuni, cerinţe), în total 36 la număr, sunt armonizate cu documentele EA, IAF şi ILAC şi sunt puse în aplicare.</w:t>
            </w:r>
          </w:p>
          <w:p w:rsidR="00CC269D" w:rsidRPr="004C0446" w:rsidRDefault="00CC269D" w:rsidP="003C492F">
            <w:pPr>
              <w:pStyle w:val="ListParagraph"/>
              <w:numPr>
                <w:ilvl w:val="0"/>
                <w:numId w:val="6"/>
              </w:numPr>
              <w:tabs>
                <w:tab w:val="left" w:pos="175"/>
              </w:tabs>
              <w:spacing w:after="40" w:line="240" w:lineRule="auto"/>
              <w:ind w:left="175" w:hanging="175"/>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Au fost elaborate şi aprobate 2 documente noi; au fost operate modificări de armonizare cu documentele EA, IAF şi ILAC şi de ajustare în 21 de documente ale sistemului de management.</w:t>
            </w:r>
          </w:p>
          <w:p w:rsidR="00CC269D" w:rsidRPr="004C0446" w:rsidRDefault="00CC269D" w:rsidP="003C492F">
            <w:pPr>
              <w:pStyle w:val="ListParagraph"/>
              <w:numPr>
                <w:ilvl w:val="0"/>
                <w:numId w:val="6"/>
              </w:numPr>
              <w:tabs>
                <w:tab w:val="left" w:pos="175"/>
              </w:tabs>
              <w:spacing w:after="40" w:line="240" w:lineRule="auto"/>
              <w:ind w:left="175" w:hanging="175"/>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Au fost instruiți 9 evaluatori şefi şi 58 de evaluatori, precum şi familiarizaţi cu cerinţele standardelor de referinţă şi documentele organizaţiilor internaţionale şi europene de acreditare, inclusiv pentru domenii noi de acreditare (organisme de inspecţii, produse ecologice, noi scheme de certificare, laboratoare de etalonare, medicale, criminalistica, organizatori PT/ILC etc.).</w:t>
            </w:r>
          </w:p>
          <w:p w:rsidR="00CC269D" w:rsidRPr="004C0446" w:rsidRDefault="00CC269D" w:rsidP="003C492F">
            <w:pPr>
              <w:pStyle w:val="ListParagraph"/>
              <w:numPr>
                <w:ilvl w:val="0"/>
                <w:numId w:val="6"/>
              </w:numPr>
              <w:tabs>
                <w:tab w:val="left" w:pos="175"/>
              </w:tabs>
              <w:spacing w:after="40" w:line="240" w:lineRule="auto"/>
              <w:ind w:left="175" w:hanging="175"/>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 xml:space="preserve">Pe parcursul anului de gestiune a fost efectuată instruirea şi stagierea personalului MOLDAC în cadrul ONA – semnatare EA MLA. </w:t>
            </w:r>
          </w:p>
          <w:p w:rsidR="00CC269D" w:rsidRPr="004C0446" w:rsidRDefault="00CC269D" w:rsidP="003C492F">
            <w:pPr>
              <w:pStyle w:val="ListParagraph"/>
              <w:numPr>
                <w:ilvl w:val="0"/>
                <w:numId w:val="6"/>
              </w:numPr>
              <w:tabs>
                <w:tab w:val="left" w:pos="175"/>
              </w:tabs>
              <w:spacing w:after="40" w:line="240" w:lineRule="auto"/>
              <w:ind w:left="175" w:hanging="175"/>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lastRenderedPageBreak/>
              <w:t>Au fost acreditate 3 organisme de evaluare a conformităţii pe domenii noi (de acreditare Biocombustibili solizi, de acreditare Fertilizanţi, de acreditare Produse metalurgice).</w:t>
            </w:r>
          </w:p>
          <w:p w:rsidR="00CC269D" w:rsidRPr="004C0446" w:rsidRDefault="00CC269D" w:rsidP="003C492F">
            <w:pPr>
              <w:pStyle w:val="ListParagraph"/>
              <w:numPr>
                <w:ilvl w:val="0"/>
                <w:numId w:val="6"/>
              </w:numPr>
              <w:tabs>
                <w:tab w:val="left" w:pos="175"/>
              </w:tabs>
              <w:spacing w:after="40" w:line="240" w:lineRule="auto"/>
              <w:ind w:left="175" w:hanging="175"/>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 xml:space="preserve">În perioada ianuarie – aprilie 2016 a continuat derularea Proiectului Twinning Light ”Suport pentru Centrul Naţional de Acreditare MOLDAC </w:t>
            </w:r>
          </w:p>
          <w:p w:rsidR="00CC269D" w:rsidRPr="004C0446" w:rsidRDefault="00CC269D" w:rsidP="003C492F">
            <w:pPr>
              <w:pStyle w:val="ListParagraph"/>
              <w:numPr>
                <w:ilvl w:val="0"/>
                <w:numId w:val="6"/>
              </w:numPr>
              <w:tabs>
                <w:tab w:val="left" w:pos="175"/>
              </w:tabs>
              <w:spacing w:after="40" w:line="240" w:lineRule="auto"/>
              <w:ind w:left="175" w:hanging="175"/>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 xml:space="preserve">Astfel, în perioada 18-22.01.2016 fost efectuată cea de-a 2-a etapă de evaluare simulată a MOLDAC, din cele 3 planificate. </w:t>
            </w:r>
          </w:p>
          <w:p w:rsidR="00CC269D" w:rsidRPr="004C0446" w:rsidRDefault="00CC269D" w:rsidP="003C492F">
            <w:pPr>
              <w:pStyle w:val="ListParagraph"/>
              <w:numPr>
                <w:ilvl w:val="0"/>
                <w:numId w:val="6"/>
              </w:numPr>
              <w:spacing w:after="40" w:line="240" w:lineRule="auto"/>
              <w:ind w:left="175" w:hanging="175"/>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La 11-15 aprilie 2016 a fost realizată evaluarea simulată finală a MOLDAC, care a constatat că au fost implementate multe acţiuni pentru a corecta toate  lacunele şi punctele slabe depistate pe parcursul activităţilor proiectului.</w:t>
            </w:r>
          </w:p>
          <w:p w:rsidR="00CC269D" w:rsidRPr="004C0446" w:rsidRDefault="00CC269D" w:rsidP="003C492F">
            <w:pPr>
              <w:pStyle w:val="ListParagraph"/>
              <w:numPr>
                <w:ilvl w:val="0"/>
                <w:numId w:val="6"/>
              </w:numPr>
              <w:tabs>
                <w:tab w:val="left" w:pos="175"/>
              </w:tabs>
              <w:spacing w:after="40" w:line="240" w:lineRule="auto"/>
              <w:ind w:left="175" w:hanging="175"/>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Au fost organizate  9 seminare şi 2 mese rotunde, în cadrul cărora au fost instruiţi 28 evaluatori şefi/evaluatori tehnici şi 16 experţi tehnici, precum şi reprezentanţi ai OEC.</w:t>
            </w:r>
          </w:p>
          <w:p w:rsidR="00CC269D" w:rsidRPr="004C0446" w:rsidRDefault="00CC269D" w:rsidP="003C492F">
            <w:pPr>
              <w:pStyle w:val="ListParagraph"/>
              <w:numPr>
                <w:ilvl w:val="0"/>
                <w:numId w:val="6"/>
              </w:numPr>
              <w:spacing w:after="40" w:line="240" w:lineRule="auto"/>
              <w:ind w:left="175" w:hanging="175"/>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În luna februarie 2016, în cadrul proiectului, 6 persoane au efectuat o vizită de studiu la Organismul Naţional de Acreditare din Italia (ACCREDIA) – semnatar EA MLA. Pe data de 28.04.2016 a avut loc conferinţa de închidere a Proiectului.</w:t>
            </w:r>
          </w:p>
        </w:tc>
        <w:tc>
          <w:tcPr>
            <w:tcW w:w="1135" w:type="dxa"/>
            <w:vMerge w:val="restart"/>
          </w:tcPr>
          <w:p w:rsidR="00CC269D" w:rsidRPr="00CC269D" w:rsidRDefault="00CC269D" w:rsidP="00334505">
            <w:pPr>
              <w:spacing w:after="0" w:line="240" w:lineRule="auto"/>
              <w:ind w:right="27"/>
              <w:jc w:val="center"/>
              <w:rPr>
                <w:rFonts w:ascii="Times New Roman" w:eastAsia="Calibri" w:hAnsi="Times New Roman" w:cs="Times New Roman"/>
                <w:bCs/>
                <w:sz w:val="20"/>
                <w:szCs w:val="20"/>
                <w:lang w:val="ro-MD" w:eastAsia="nl-NL"/>
              </w:rPr>
            </w:pPr>
            <w:r w:rsidRPr="00CC269D">
              <w:rPr>
                <w:rFonts w:ascii="Times New Roman" w:eastAsia="Calibri" w:hAnsi="Times New Roman" w:cs="Times New Roman"/>
                <w:bCs/>
                <w:sz w:val="20"/>
                <w:szCs w:val="20"/>
                <w:lang w:val="ro-MD" w:eastAsia="nl-NL"/>
              </w:rPr>
              <w:lastRenderedPageBreak/>
              <w:t>772,7</w:t>
            </w:r>
          </w:p>
          <w:p w:rsidR="00CC269D" w:rsidRPr="00CC269D" w:rsidRDefault="00CC269D"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val="restart"/>
          </w:tcPr>
          <w:p w:rsidR="00CC269D" w:rsidRPr="00CC269D" w:rsidRDefault="00CC269D" w:rsidP="00FC2A00">
            <w:pPr>
              <w:spacing w:after="0" w:line="240" w:lineRule="auto"/>
              <w:ind w:right="27"/>
              <w:jc w:val="center"/>
              <w:rPr>
                <w:rFonts w:ascii="Times New Roman" w:eastAsia="Calibri" w:hAnsi="Times New Roman" w:cs="Times New Roman"/>
                <w:bCs/>
                <w:sz w:val="20"/>
                <w:szCs w:val="20"/>
                <w:lang w:val="ro-MD" w:eastAsia="nl-NL"/>
              </w:rPr>
            </w:pPr>
            <w:r w:rsidRPr="00CC269D">
              <w:rPr>
                <w:rFonts w:ascii="Times New Roman" w:eastAsia="Calibri" w:hAnsi="Times New Roman" w:cs="Times New Roman"/>
                <w:bCs/>
                <w:sz w:val="20"/>
                <w:szCs w:val="20"/>
                <w:lang w:val="ro-MD" w:eastAsia="nl-NL"/>
              </w:rPr>
              <w:t>772,7</w:t>
            </w:r>
          </w:p>
          <w:p w:rsidR="00CC269D" w:rsidRPr="00CC269D" w:rsidRDefault="00CC269D" w:rsidP="00334505">
            <w:pPr>
              <w:spacing w:after="0" w:line="240" w:lineRule="auto"/>
              <w:jc w:val="center"/>
              <w:rPr>
                <w:rFonts w:ascii="Times New Roman" w:eastAsia="Calibri" w:hAnsi="Times New Roman" w:cs="Times New Roman"/>
                <w:bCs/>
                <w:sz w:val="20"/>
                <w:szCs w:val="20"/>
                <w:lang w:val="ro-MD" w:eastAsia="nl-NL"/>
              </w:rPr>
            </w:pPr>
          </w:p>
        </w:tc>
        <w:tc>
          <w:tcPr>
            <w:tcW w:w="1561" w:type="dxa"/>
            <w:shd w:val="clear" w:color="auto" w:fill="FFFFFF"/>
          </w:tcPr>
          <w:p w:rsidR="00CC269D" w:rsidRPr="004C0446" w:rsidRDefault="00CC269D" w:rsidP="003C492F">
            <w:pPr>
              <w:tabs>
                <w:tab w:val="left" w:pos="176"/>
              </w:tabs>
              <w:spacing w:after="0" w:line="240" w:lineRule="auto"/>
              <w:rPr>
                <w:rFonts w:ascii="Times New Roman" w:eastAsia="Times New Roman" w:hAnsi="Times New Roman" w:cs="Times New Roman"/>
                <w:sz w:val="20"/>
                <w:szCs w:val="20"/>
                <w:lang w:val="en-US"/>
              </w:rPr>
            </w:pPr>
            <w:r w:rsidRPr="004C0446">
              <w:rPr>
                <w:rFonts w:ascii="Times New Roman" w:eastAsia="Times New Roman" w:hAnsi="Times New Roman" w:cs="Times New Roman"/>
                <w:sz w:val="20"/>
                <w:szCs w:val="20"/>
                <w:lang w:val="en-US"/>
              </w:rPr>
              <w:t>Numărul documentelor MOLDAC (politici, criterii, reguli şi proceduri) armonizate cu documentele EA, IAF şi ILAC</w:t>
            </w:r>
          </w:p>
        </w:tc>
        <w:tc>
          <w:tcPr>
            <w:tcW w:w="1560" w:type="dxa"/>
            <w:shd w:val="clear" w:color="auto" w:fill="FFFFFF"/>
          </w:tcPr>
          <w:p w:rsidR="00CC269D" w:rsidRPr="004C0446" w:rsidRDefault="00CC269D"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36 (100%)</w:t>
            </w:r>
          </w:p>
          <w:p w:rsidR="00CC269D" w:rsidRPr="004C0446" w:rsidRDefault="00CC269D" w:rsidP="00334505">
            <w:pPr>
              <w:spacing w:after="0" w:line="240" w:lineRule="auto"/>
              <w:rPr>
                <w:rFonts w:ascii="Times New Roman" w:eastAsia="Calibri" w:hAnsi="Times New Roman" w:cs="Times New Roman"/>
                <w:sz w:val="20"/>
                <w:szCs w:val="20"/>
                <w:lang w:val="en-US"/>
              </w:rPr>
            </w:pPr>
          </w:p>
        </w:tc>
        <w:tc>
          <w:tcPr>
            <w:tcW w:w="1418" w:type="dxa"/>
          </w:tcPr>
          <w:p w:rsidR="00CC269D" w:rsidRPr="004C0446" w:rsidRDefault="00CC269D"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tc>
        <w:tc>
          <w:tcPr>
            <w:tcW w:w="1231" w:type="dxa"/>
            <w:gridSpan w:val="2"/>
          </w:tcPr>
          <w:p w:rsidR="00CC269D" w:rsidRPr="004C0446" w:rsidRDefault="00CC269D" w:rsidP="00334505">
            <w:pPr>
              <w:spacing w:after="0" w:line="240" w:lineRule="auto"/>
              <w:rPr>
                <w:rFonts w:ascii="Times New Roman" w:eastAsia="Calibri" w:hAnsi="Times New Roman" w:cs="Times New Roman"/>
                <w:sz w:val="20"/>
                <w:szCs w:val="20"/>
                <w:lang w:val="ro-MD"/>
              </w:rPr>
            </w:pPr>
          </w:p>
        </w:tc>
      </w:tr>
      <w:tr w:rsidR="00CC269D" w:rsidRPr="004C0446" w:rsidTr="00FB650E">
        <w:trPr>
          <w:trHeight w:val="618"/>
        </w:trPr>
        <w:tc>
          <w:tcPr>
            <w:tcW w:w="1802" w:type="dxa"/>
            <w:gridSpan w:val="2"/>
            <w:vMerge/>
          </w:tcPr>
          <w:p w:rsidR="00CC269D" w:rsidRPr="004C0446" w:rsidRDefault="00CC269D" w:rsidP="00334505">
            <w:pPr>
              <w:numPr>
                <w:ilvl w:val="1"/>
                <w:numId w:val="1"/>
              </w:numPr>
              <w:spacing w:after="0" w:line="240" w:lineRule="auto"/>
              <w:ind w:left="169" w:hanging="169"/>
              <w:jc w:val="both"/>
              <w:rPr>
                <w:rFonts w:ascii="Times New Roman" w:eastAsia="Calibri" w:hAnsi="Times New Roman" w:cs="Times New Roman"/>
                <w:color w:val="000000"/>
                <w:sz w:val="20"/>
                <w:szCs w:val="20"/>
                <w:lang w:val="ro-MD"/>
              </w:rPr>
            </w:pPr>
          </w:p>
        </w:tc>
        <w:tc>
          <w:tcPr>
            <w:tcW w:w="2411" w:type="dxa"/>
            <w:vMerge/>
          </w:tcPr>
          <w:p w:rsidR="00CC269D" w:rsidRPr="004C0446" w:rsidRDefault="00CC269D" w:rsidP="00334505">
            <w:pPr>
              <w:numPr>
                <w:ilvl w:val="1"/>
                <w:numId w:val="1"/>
              </w:numPr>
              <w:spacing w:after="0" w:line="240" w:lineRule="auto"/>
              <w:ind w:left="169" w:hanging="169"/>
              <w:jc w:val="both"/>
              <w:rPr>
                <w:rFonts w:ascii="Times New Roman" w:eastAsia="Calibri" w:hAnsi="Times New Roman" w:cs="Times New Roman"/>
                <w:color w:val="000000"/>
                <w:sz w:val="20"/>
                <w:szCs w:val="20"/>
                <w:lang w:val="ro-MD"/>
              </w:rPr>
            </w:pPr>
          </w:p>
        </w:tc>
        <w:tc>
          <w:tcPr>
            <w:tcW w:w="3639" w:type="dxa"/>
            <w:gridSpan w:val="2"/>
            <w:vMerge/>
          </w:tcPr>
          <w:p w:rsidR="00CC269D" w:rsidRPr="004C0446" w:rsidRDefault="00CC269D" w:rsidP="00334505">
            <w:pPr>
              <w:pStyle w:val="ListParagraph"/>
              <w:numPr>
                <w:ilvl w:val="0"/>
                <w:numId w:val="5"/>
              </w:numPr>
              <w:spacing w:after="0" w:line="240" w:lineRule="auto"/>
              <w:ind w:left="33" w:hanging="33"/>
              <w:jc w:val="both"/>
              <w:rPr>
                <w:rFonts w:ascii="Times New Roman" w:eastAsia="Calibri" w:hAnsi="Times New Roman" w:cs="Times New Roman"/>
                <w:sz w:val="20"/>
                <w:szCs w:val="20"/>
                <w:lang w:val="ro-MD"/>
              </w:rPr>
            </w:pPr>
          </w:p>
        </w:tc>
        <w:tc>
          <w:tcPr>
            <w:tcW w:w="1135" w:type="dxa"/>
            <w:vMerge/>
          </w:tcPr>
          <w:p w:rsidR="00CC269D" w:rsidRPr="004C0446" w:rsidRDefault="00CC269D"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CC269D" w:rsidRPr="004C0446" w:rsidRDefault="00CC269D" w:rsidP="00334505">
            <w:pPr>
              <w:spacing w:after="0" w:line="240" w:lineRule="auto"/>
              <w:jc w:val="center"/>
              <w:rPr>
                <w:rFonts w:ascii="Times New Roman" w:eastAsia="Calibri" w:hAnsi="Times New Roman" w:cs="Times New Roman"/>
                <w:bCs/>
                <w:sz w:val="20"/>
                <w:szCs w:val="20"/>
                <w:lang w:val="ro-MD" w:eastAsia="nl-NL"/>
              </w:rPr>
            </w:pPr>
          </w:p>
        </w:tc>
        <w:tc>
          <w:tcPr>
            <w:tcW w:w="1561" w:type="dxa"/>
            <w:shd w:val="clear" w:color="auto" w:fill="FFFFFF"/>
          </w:tcPr>
          <w:p w:rsidR="00CC269D" w:rsidRPr="004C0446" w:rsidRDefault="00CC269D" w:rsidP="003C492F">
            <w:pPr>
              <w:spacing w:after="0" w:line="240" w:lineRule="auto"/>
              <w:rPr>
                <w:rFonts w:ascii="Times New Roman" w:eastAsia="Times New Roman" w:hAnsi="Times New Roman" w:cs="Times New Roman"/>
                <w:sz w:val="20"/>
                <w:szCs w:val="20"/>
                <w:lang w:val="en-US"/>
              </w:rPr>
            </w:pPr>
            <w:r w:rsidRPr="004C0446">
              <w:rPr>
                <w:rFonts w:ascii="Times New Roman" w:eastAsia="Times New Roman" w:hAnsi="Times New Roman" w:cs="Times New Roman"/>
                <w:sz w:val="20"/>
                <w:szCs w:val="20"/>
                <w:lang w:val="en-US"/>
              </w:rPr>
              <w:t>Numărul evaluatorilor şefi instruiţi - minim 4</w:t>
            </w:r>
          </w:p>
        </w:tc>
        <w:tc>
          <w:tcPr>
            <w:tcW w:w="1560" w:type="dxa"/>
            <w:shd w:val="clear" w:color="auto" w:fill="FFFFFF"/>
          </w:tcPr>
          <w:p w:rsidR="00CC269D" w:rsidRPr="004C0446" w:rsidRDefault="00CC269D" w:rsidP="00334505">
            <w:pPr>
              <w:spacing w:after="0" w:line="240" w:lineRule="auto"/>
              <w:rPr>
                <w:rFonts w:ascii="Times New Roman" w:eastAsia="Calibri" w:hAnsi="Times New Roman"/>
                <w:sz w:val="20"/>
                <w:szCs w:val="20"/>
                <w:lang w:val="en-US"/>
              </w:rPr>
            </w:pPr>
            <w:r w:rsidRPr="004C0446">
              <w:rPr>
                <w:rFonts w:ascii="Times New Roman" w:eastAsia="Calibri" w:hAnsi="Times New Roman"/>
                <w:sz w:val="20"/>
                <w:szCs w:val="20"/>
                <w:lang w:val="en-US"/>
              </w:rPr>
              <w:t xml:space="preserve">Numărul evaluatorilor şefi instruiţi </w:t>
            </w:r>
          </w:p>
          <w:p w:rsidR="00CC269D" w:rsidRPr="004C0446" w:rsidRDefault="00CC269D" w:rsidP="003C492F">
            <w:pPr>
              <w:spacing w:after="0" w:line="240" w:lineRule="auto"/>
              <w:rPr>
                <w:rFonts w:ascii="Times New Roman" w:eastAsia="Calibri" w:hAnsi="Times New Roman"/>
                <w:sz w:val="20"/>
                <w:szCs w:val="20"/>
                <w:lang w:val="ro-MD"/>
              </w:rPr>
            </w:pPr>
            <w:r w:rsidRPr="004C0446">
              <w:rPr>
                <w:rFonts w:ascii="Times New Roman" w:eastAsia="Calibri" w:hAnsi="Times New Roman"/>
                <w:sz w:val="20"/>
                <w:szCs w:val="20"/>
                <w:lang w:val="ro-MD"/>
              </w:rPr>
              <w:t>9</w:t>
            </w:r>
          </w:p>
        </w:tc>
        <w:tc>
          <w:tcPr>
            <w:tcW w:w="1418" w:type="dxa"/>
          </w:tcPr>
          <w:p w:rsidR="00CC269D" w:rsidRPr="004C0446" w:rsidRDefault="00CC269D"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5</w:t>
            </w:r>
          </w:p>
          <w:p w:rsidR="00CC269D" w:rsidRPr="004C0446" w:rsidRDefault="00CC269D" w:rsidP="005F4A43">
            <w:pPr>
              <w:jc w:val="center"/>
              <w:rPr>
                <w:rFonts w:ascii="Times New Roman" w:eastAsia="Calibri" w:hAnsi="Times New Roman" w:cs="Times New Roman"/>
                <w:sz w:val="20"/>
                <w:szCs w:val="20"/>
                <w:lang w:val="ro-MD"/>
              </w:rPr>
            </w:pPr>
          </w:p>
        </w:tc>
        <w:tc>
          <w:tcPr>
            <w:tcW w:w="1231" w:type="dxa"/>
            <w:gridSpan w:val="2"/>
          </w:tcPr>
          <w:p w:rsidR="00CC269D" w:rsidRPr="004C0446" w:rsidRDefault="00CC269D" w:rsidP="00334505">
            <w:pPr>
              <w:spacing w:after="0" w:line="240" w:lineRule="auto"/>
              <w:rPr>
                <w:rFonts w:ascii="Times New Roman" w:eastAsia="Calibri" w:hAnsi="Times New Roman" w:cs="Times New Roman"/>
                <w:sz w:val="20"/>
                <w:szCs w:val="20"/>
                <w:lang w:val="ro-MD"/>
              </w:rPr>
            </w:pPr>
          </w:p>
        </w:tc>
      </w:tr>
      <w:tr w:rsidR="00CC269D" w:rsidRPr="004C0446" w:rsidTr="00FB650E">
        <w:trPr>
          <w:trHeight w:val="618"/>
        </w:trPr>
        <w:tc>
          <w:tcPr>
            <w:tcW w:w="1802" w:type="dxa"/>
            <w:gridSpan w:val="2"/>
            <w:vMerge/>
          </w:tcPr>
          <w:p w:rsidR="00CC269D" w:rsidRPr="004C0446" w:rsidRDefault="00CC269D" w:rsidP="00334505">
            <w:pPr>
              <w:numPr>
                <w:ilvl w:val="1"/>
                <w:numId w:val="1"/>
              </w:numPr>
              <w:spacing w:after="0" w:line="240" w:lineRule="auto"/>
              <w:ind w:left="169" w:hanging="169"/>
              <w:jc w:val="both"/>
              <w:rPr>
                <w:rFonts w:ascii="Times New Roman" w:eastAsia="Calibri" w:hAnsi="Times New Roman" w:cs="Times New Roman"/>
                <w:color w:val="000000"/>
                <w:sz w:val="20"/>
                <w:szCs w:val="20"/>
                <w:lang w:val="ro-MD"/>
              </w:rPr>
            </w:pPr>
          </w:p>
        </w:tc>
        <w:tc>
          <w:tcPr>
            <w:tcW w:w="2411" w:type="dxa"/>
            <w:vMerge/>
          </w:tcPr>
          <w:p w:rsidR="00CC269D" w:rsidRPr="004C0446" w:rsidRDefault="00CC269D" w:rsidP="00334505">
            <w:pPr>
              <w:numPr>
                <w:ilvl w:val="1"/>
                <w:numId w:val="1"/>
              </w:numPr>
              <w:spacing w:after="0" w:line="240" w:lineRule="auto"/>
              <w:ind w:left="169" w:hanging="169"/>
              <w:jc w:val="both"/>
              <w:rPr>
                <w:rFonts w:ascii="Times New Roman" w:eastAsia="Calibri" w:hAnsi="Times New Roman" w:cs="Times New Roman"/>
                <w:color w:val="000000"/>
                <w:sz w:val="20"/>
                <w:szCs w:val="20"/>
                <w:lang w:val="ro-MD"/>
              </w:rPr>
            </w:pPr>
          </w:p>
        </w:tc>
        <w:tc>
          <w:tcPr>
            <w:tcW w:w="3639" w:type="dxa"/>
            <w:gridSpan w:val="2"/>
            <w:vMerge/>
          </w:tcPr>
          <w:p w:rsidR="00CC269D" w:rsidRPr="004C0446" w:rsidRDefault="00CC269D" w:rsidP="00334505">
            <w:pPr>
              <w:pStyle w:val="ListParagraph"/>
              <w:numPr>
                <w:ilvl w:val="0"/>
                <w:numId w:val="5"/>
              </w:numPr>
              <w:spacing w:after="0" w:line="240" w:lineRule="auto"/>
              <w:ind w:left="33" w:hanging="33"/>
              <w:jc w:val="both"/>
              <w:rPr>
                <w:rFonts w:ascii="Times New Roman" w:eastAsia="Calibri" w:hAnsi="Times New Roman" w:cs="Times New Roman"/>
                <w:sz w:val="20"/>
                <w:szCs w:val="20"/>
                <w:lang w:val="ro-MD"/>
              </w:rPr>
            </w:pPr>
          </w:p>
        </w:tc>
        <w:tc>
          <w:tcPr>
            <w:tcW w:w="1135" w:type="dxa"/>
            <w:vMerge/>
          </w:tcPr>
          <w:p w:rsidR="00CC269D" w:rsidRPr="004C0446" w:rsidRDefault="00CC269D"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CC269D" w:rsidRPr="004C0446" w:rsidRDefault="00CC269D" w:rsidP="00334505">
            <w:pPr>
              <w:spacing w:after="0" w:line="240" w:lineRule="auto"/>
              <w:jc w:val="center"/>
              <w:rPr>
                <w:rFonts w:ascii="Times New Roman" w:eastAsia="Calibri" w:hAnsi="Times New Roman" w:cs="Times New Roman"/>
                <w:bCs/>
                <w:sz w:val="20"/>
                <w:szCs w:val="20"/>
                <w:lang w:val="ro-MD" w:eastAsia="nl-NL"/>
              </w:rPr>
            </w:pPr>
          </w:p>
        </w:tc>
        <w:tc>
          <w:tcPr>
            <w:tcW w:w="1561" w:type="dxa"/>
            <w:shd w:val="clear" w:color="auto" w:fill="FFFFFF"/>
          </w:tcPr>
          <w:p w:rsidR="00CC269D" w:rsidRPr="004C0446" w:rsidRDefault="00CC269D" w:rsidP="003C492F">
            <w:pPr>
              <w:spacing w:after="0" w:line="240" w:lineRule="auto"/>
              <w:rPr>
                <w:rFonts w:ascii="Times New Roman" w:eastAsia="Calibri" w:hAnsi="Times New Roman" w:cs="Times New Roman"/>
                <w:color w:val="000000"/>
                <w:sz w:val="20"/>
                <w:szCs w:val="20"/>
                <w:lang w:val="en-US"/>
              </w:rPr>
            </w:pPr>
            <w:r w:rsidRPr="004C0446">
              <w:rPr>
                <w:rFonts w:ascii="Times New Roman" w:eastAsia="Calibri" w:hAnsi="Times New Roman" w:cs="Times New Roman"/>
                <w:color w:val="000000"/>
                <w:sz w:val="20"/>
                <w:szCs w:val="20"/>
                <w:lang w:val="en-US"/>
              </w:rPr>
              <w:t xml:space="preserve">Numărul de stagieri pentru domeniile de competenţă noi ale MOLDAC - minim 1 </w:t>
            </w:r>
          </w:p>
        </w:tc>
        <w:tc>
          <w:tcPr>
            <w:tcW w:w="1560" w:type="dxa"/>
            <w:shd w:val="clear" w:color="auto" w:fill="FFFFFF"/>
          </w:tcPr>
          <w:p w:rsidR="00CC269D" w:rsidRPr="004C0446" w:rsidRDefault="00CC269D" w:rsidP="003C492F">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en-US"/>
              </w:rPr>
              <w:t>3</w:t>
            </w:r>
          </w:p>
        </w:tc>
        <w:tc>
          <w:tcPr>
            <w:tcW w:w="1418" w:type="dxa"/>
          </w:tcPr>
          <w:p w:rsidR="00CC269D" w:rsidRPr="004C0446" w:rsidRDefault="00CC269D"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+2</w:t>
            </w:r>
          </w:p>
        </w:tc>
        <w:tc>
          <w:tcPr>
            <w:tcW w:w="1231" w:type="dxa"/>
            <w:gridSpan w:val="2"/>
          </w:tcPr>
          <w:p w:rsidR="00CC269D" w:rsidRPr="004C0446" w:rsidRDefault="00CC269D" w:rsidP="00334505">
            <w:pPr>
              <w:spacing w:after="0" w:line="240" w:lineRule="auto"/>
              <w:rPr>
                <w:rFonts w:ascii="Times New Roman" w:eastAsia="Calibri" w:hAnsi="Times New Roman" w:cs="Times New Roman"/>
                <w:sz w:val="20"/>
                <w:szCs w:val="20"/>
                <w:lang w:val="ro-MD"/>
              </w:rPr>
            </w:pPr>
          </w:p>
        </w:tc>
      </w:tr>
      <w:tr w:rsidR="00CC269D" w:rsidRPr="004C0446" w:rsidTr="00FB650E">
        <w:trPr>
          <w:trHeight w:val="618"/>
        </w:trPr>
        <w:tc>
          <w:tcPr>
            <w:tcW w:w="1802" w:type="dxa"/>
            <w:gridSpan w:val="2"/>
            <w:vMerge/>
          </w:tcPr>
          <w:p w:rsidR="00CC269D" w:rsidRPr="004C0446" w:rsidRDefault="00CC269D" w:rsidP="00334505">
            <w:pPr>
              <w:numPr>
                <w:ilvl w:val="1"/>
                <w:numId w:val="1"/>
              </w:numPr>
              <w:spacing w:after="0" w:line="240" w:lineRule="auto"/>
              <w:ind w:left="169" w:hanging="169"/>
              <w:jc w:val="both"/>
              <w:rPr>
                <w:rFonts w:ascii="Times New Roman" w:eastAsia="Calibri" w:hAnsi="Times New Roman" w:cs="Times New Roman"/>
                <w:color w:val="000000"/>
                <w:sz w:val="20"/>
                <w:szCs w:val="20"/>
                <w:lang w:val="ro-MD"/>
              </w:rPr>
            </w:pPr>
          </w:p>
        </w:tc>
        <w:tc>
          <w:tcPr>
            <w:tcW w:w="2411" w:type="dxa"/>
            <w:vMerge/>
          </w:tcPr>
          <w:p w:rsidR="00CC269D" w:rsidRPr="004C0446" w:rsidRDefault="00CC269D" w:rsidP="00334505">
            <w:pPr>
              <w:numPr>
                <w:ilvl w:val="1"/>
                <w:numId w:val="1"/>
              </w:numPr>
              <w:spacing w:after="0" w:line="240" w:lineRule="auto"/>
              <w:ind w:left="169" w:hanging="169"/>
              <w:jc w:val="both"/>
              <w:rPr>
                <w:rFonts w:ascii="Times New Roman" w:eastAsia="Calibri" w:hAnsi="Times New Roman" w:cs="Times New Roman"/>
                <w:color w:val="000000"/>
                <w:sz w:val="20"/>
                <w:szCs w:val="20"/>
                <w:lang w:val="ro-MD"/>
              </w:rPr>
            </w:pPr>
          </w:p>
        </w:tc>
        <w:tc>
          <w:tcPr>
            <w:tcW w:w="3639" w:type="dxa"/>
            <w:gridSpan w:val="2"/>
            <w:vMerge/>
          </w:tcPr>
          <w:p w:rsidR="00CC269D" w:rsidRPr="004C0446" w:rsidRDefault="00CC269D" w:rsidP="00334505">
            <w:pPr>
              <w:pStyle w:val="ListParagraph"/>
              <w:numPr>
                <w:ilvl w:val="0"/>
                <w:numId w:val="5"/>
              </w:numPr>
              <w:spacing w:after="0" w:line="240" w:lineRule="auto"/>
              <w:ind w:left="33" w:hanging="33"/>
              <w:jc w:val="both"/>
              <w:rPr>
                <w:rFonts w:ascii="Times New Roman" w:eastAsia="Calibri" w:hAnsi="Times New Roman" w:cs="Times New Roman"/>
                <w:sz w:val="20"/>
                <w:szCs w:val="20"/>
                <w:lang w:val="ro-MD"/>
              </w:rPr>
            </w:pPr>
          </w:p>
        </w:tc>
        <w:tc>
          <w:tcPr>
            <w:tcW w:w="1135" w:type="dxa"/>
            <w:vMerge/>
          </w:tcPr>
          <w:p w:rsidR="00CC269D" w:rsidRPr="004C0446" w:rsidRDefault="00CC269D"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CC269D" w:rsidRPr="004C0446" w:rsidRDefault="00CC269D" w:rsidP="00334505">
            <w:pPr>
              <w:spacing w:after="0" w:line="240" w:lineRule="auto"/>
              <w:jc w:val="center"/>
              <w:rPr>
                <w:rFonts w:ascii="Times New Roman" w:eastAsia="Calibri" w:hAnsi="Times New Roman" w:cs="Times New Roman"/>
                <w:bCs/>
                <w:sz w:val="20"/>
                <w:szCs w:val="20"/>
                <w:lang w:val="ro-MD" w:eastAsia="nl-NL"/>
              </w:rPr>
            </w:pPr>
          </w:p>
        </w:tc>
        <w:tc>
          <w:tcPr>
            <w:tcW w:w="1561" w:type="dxa"/>
            <w:tcBorders>
              <w:bottom w:val="nil"/>
            </w:tcBorders>
            <w:shd w:val="clear" w:color="auto" w:fill="FFFFFF"/>
          </w:tcPr>
          <w:p w:rsidR="00CC269D" w:rsidRPr="004C0446" w:rsidRDefault="00CC269D" w:rsidP="00A95A3C">
            <w:pPr>
              <w:spacing w:after="0" w:line="240" w:lineRule="auto"/>
              <w:jc w:val="both"/>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en-US"/>
              </w:rPr>
              <w:t>Numărul organismelor de evaluare a conformităţii acreditate pe domenii noi</w:t>
            </w:r>
            <w:r w:rsidR="00A95A3C">
              <w:rPr>
                <w:rFonts w:ascii="Times New Roman" w:eastAsia="Calibri" w:hAnsi="Times New Roman" w:cs="Times New Roman"/>
                <w:color w:val="000000"/>
                <w:sz w:val="20"/>
                <w:szCs w:val="20"/>
                <w:lang w:val="en-US"/>
              </w:rPr>
              <w:t xml:space="preserve"> -</w:t>
            </w:r>
            <w:r w:rsidRPr="004C0446">
              <w:rPr>
                <w:rFonts w:ascii="Times New Roman" w:eastAsia="Calibri" w:hAnsi="Times New Roman" w:cs="Times New Roman"/>
                <w:color w:val="000000"/>
                <w:sz w:val="20"/>
                <w:szCs w:val="20"/>
                <w:lang w:val="ro-RO"/>
              </w:rPr>
              <w:t xml:space="preserve">2 </w:t>
            </w:r>
          </w:p>
        </w:tc>
        <w:tc>
          <w:tcPr>
            <w:tcW w:w="1560" w:type="dxa"/>
            <w:tcBorders>
              <w:bottom w:val="nil"/>
            </w:tcBorders>
            <w:shd w:val="clear" w:color="auto" w:fill="FFFFFF"/>
          </w:tcPr>
          <w:p w:rsidR="00CC269D" w:rsidRPr="004C0446" w:rsidRDefault="00CC269D" w:rsidP="003C492F">
            <w:pPr>
              <w:spacing w:after="0" w:line="240" w:lineRule="auto"/>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t>3</w:t>
            </w:r>
          </w:p>
        </w:tc>
        <w:tc>
          <w:tcPr>
            <w:tcW w:w="1418" w:type="dxa"/>
            <w:tcBorders>
              <w:bottom w:val="nil"/>
            </w:tcBorders>
          </w:tcPr>
          <w:p w:rsidR="00CC269D" w:rsidRPr="004C0446" w:rsidRDefault="00CC269D"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w:t>
            </w:r>
          </w:p>
        </w:tc>
        <w:tc>
          <w:tcPr>
            <w:tcW w:w="1231" w:type="dxa"/>
            <w:gridSpan w:val="2"/>
            <w:tcBorders>
              <w:bottom w:val="nil"/>
            </w:tcBorders>
          </w:tcPr>
          <w:p w:rsidR="00CC269D" w:rsidRPr="004C0446" w:rsidRDefault="00CC269D" w:rsidP="00334505">
            <w:pPr>
              <w:spacing w:after="0" w:line="240" w:lineRule="auto"/>
              <w:rPr>
                <w:rFonts w:ascii="Times New Roman" w:eastAsia="Calibri" w:hAnsi="Times New Roman" w:cs="Times New Roman"/>
                <w:sz w:val="20"/>
                <w:szCs w:val="20"/>
                <w:lang w:val="ro-MD"/>
              </w:rPr>
            </w:pPr>
          </w:p>
        </w:tc>
      </w:tr>
      <w:tr w:rsidR="00CC269D" w:rsidRPr="004C0446" w:rsidTr="00FB650E">
        <w:trPr>
          <w:trHeight w:val="618"/>
        </w:trPr>
        <w:tc>
          <w:tcPr>
            <w:tcW w:w="1802" w:type="dxa"/>
            <w:gridSpan w:val="2"/>
            <w:vMerge/>
          </w:tcPr>
          <w:p w:rsidR="00CC269D" w:rsidRPr="004C0446" w:rsidRDefault="00CC269D" w:rsidP="00334505">
            <w:pPr>
              <w:numPr>
                <w:ilvl w:val="1"/>
                <w:numId w:val="1"/>
              </w:numPr>
              <w:spacing w:after="0" w:line="240" w:lineRule="auto"/>
              <w:ind w:left="169" w:hanging="169"/>
              <w:jc w:val="both"/>
              <w:rPr>
                <w:rFonts w:ascii="Times New Roman" w:eastAsia="Calibri" w:hAnsi="Times New Roman" w:cs="Times New Roman"/>
                <w:color w:val="000000"/>
                <w:sz w:val="20"/>
                <w:szCs w:val="20"/>
                <w:lang w:val="ro-MD"/>
              </w:rPr>
            </w:pPr>
          </w:p>
        </w:tc>
        <w:tc>
          <w:tcPr>
            <w:tcW w:w="2411" w:type="dxa"/>
            <w:vMerge/>
          </w:tcPr>
          <w:p w:rsidR="00CC269D" w:rsidRPr="004C0446" w:rsidRDefault="00CC269D" w:rsidP="00334505">
            <w:pPr>
              <w:numPr>
                <w:ilvl w:val="1"/>
                <w:numId w:val="1"/>
              </w:numPr>
              <w:spacing w:after="0" w:line="240" w:lineRule="auto"/>
              <w:ind w:left="169" w:hanging="169"/>
              <w:jc w:val="both"/>
              <w:rPr>
                <w:rFonts w:ascii="Times New Roman" w:eastAsia="Calibri" w:hAnsi="Times New Roman" w:cs="Times New Roman"/>
                <w:color w:val="000000"/>
                <w:sz w:val="20"/>
                <w:szCs w:val="20"/>
                <w:lang w:val="ro-MD"/>
              </w:rPr>
            </w:pPr>
          </w:p>
        </w:tc>
        <w:tc>
          <w:tcPr>
            <w:tcW w:w="3639" w:type="dxa"/>
            <w:gridSpan w:val="2"/>
            <w:vMerge/>
          </w:tcPr>
          <w:p w:rsidR="00CC269D" w:rsidRPr="004C0446" w:rsidRDefault="00CC269D" w:rsidP="00334505">
            <w:pPr>
              <w:pStyle w:val="ListParagraph"/>
              <w:numPr>
                <w:ilvl w:val="0"/>
                <w:numId w:val="5"/>
              </w:numPr>
              <w:spacing w:after="0" w:line="240" w:lineRule="auto"/>
              <w:ind w:left="33" w:hanging="33"/>
              <w:jc w:val="both"/>
              <w:rPr>
                <w:rFonts w:ascii="Times New Roman" w:eastAsia="Calibri" w:hAnsi="Times New Roman" w:cs="Times New Roman"/>
                <w:sz w:val="20"/>
                <w:szCs w:val="20"/>
                <w:lang w:val="ro-MD"/>
              </w:rPr>
            </w:pPr>
          </w:p>
        </w:tc>
        <w:tc>
          <w:tcPr>
            <w:tcW w:w="1135" w:type="dxa"/>
            <w:vMerge/>
          </w:tcPr>
          <w:p w:rsidR="00CC269D" w:rsidRPr="004C0446" w:rsidRDefault="00CC269D"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CC269D" w:rsidRPr="004C0446" w:rsidRDefault="00CC269D" w:rsidP="00334505">
            <w:pPr>
              <w:spacing w:after="0" w:line="240" w:lineRule="auto"/>
              <w:jc w:val="center"/>
              <w:rPr>
                <w:rFonts w:ascii="Times New Roman" w:eastAsia="Calibri" w:hAnsi="Times New Roman" w:cs="Times New Roman"/>
                <w:bCs/>
                <w:sz w:val="20"/>
                <w:szCs w:val="20"/>
                <w:lang w:val="ro-MD" w:eastAsia="nl-NL"/>
              </w:rPr>
            </w:pPr>
          </w:p>
        </w:tc>
        <w:tc>
          <w:tcPr>
            <w:tcW w:w="1561" w:type="dxa"/>
            <w:tcBorders>
              <w:top w:val="nil"/>
            </w:tcBorders>
            <w:shd w:val="clear" w:color="auto" w:fill="FFFFFF"/>
          </w:tcPr>
          <w:p w:rsidR="00CC269D" w:rsidRPr="004C0446" w:rsidRDefault="00CC269D" w:rsidP="00334505">
            <w:pPr>
              <w:spacing w:after="0" w:line="240" w:lineRule="auto"/>
              <w:jc w:val="both"/>
              <w:rPr>
                <w:rFonts w:ascii="Times New Roman" w:eastAsia="Calibri" w:hAnsi="Times New Roman" w:cs="Times New Roman"/>
                <w:color w:val="000000"/>
                <w:sz w:val="20"/>
                <w:szCs w:val="20"/>
                <w:lang w:val="ro-RO"/>
              </w:rPr>
            </w:pPr>
          </w:p>
        </w:tc>
        <w:tc>
          <w:tcPr>
            <w:tcW w:w="1560" w:type="dxa"/>
            <w:tcBorders>
              <w:top w:val="nil"/>
            </w:tcBorders>
            <w:shd w:val="clear" w:color="auto" w:fill="FFFFFF"/>
          </w:tcPr>
          <w:p w:rsidR="00CC269D" w:rsidRPr="004C0446" w:rsidRDefault="00CC269D" w:rsidP="00334505">
            <w:pPr>
              <w:spacing w:after="0" w:line="240" w:lineRule="auto"/>
              <w:rPr>
                <w:rFonts w:ascii="Times New Roman" w:eastAsia="Calibri" w:hAnsi="Times New Roman" w:cs="Times New Roman"/>
                <w:sz w:val="20"/>
                <w:szCs w:val="20"/>
                <w:lang w:val="ro-MD"/>
              </w:rPr>
            </w:pPr>
          </w:p>
        </w:tc>
        <w:tc>
          <w:tcPr>
            <w:tcW w:w="1418" w:type="dxa"/>
            <w:tcBorders>
              <w:top w:val="nil"/>
            </w:tcBorders>
          </w:tcPr>
          <w:p w:rsidR="00CC269D" w:rsidRPr="004C0446" w:rsidRDefault="00CC269D" w:rsidP="00334505">
            <w:pPr>
              <w:spacing w:after="0" w:line="240" w:lineRule="auto"/>
              <w:rPr>
                <w:rFonts w:ascii="Times New Roman" w:eastAsia="Calibri" w:hAnsi="Times New Roman" w:cs="Times New Roman"/>
                <w:sz w:val="20"/>
                <w:szCs w:val="20"/>
                <w:lang w:val="ro-MD"/>
              </w:rPr>
            </w:pPr>
          </w:p>
        </w:tc>
        <w:tc>
          <w:tcPr>
            <w:tcW w:w="1231" w:type="dxa"/>
            <w:gridSpan w:val="2"/>
            <w:tcBorders>
              <w:top w:val="nil"/>
            </w:tcBorders>
          </w:tcPr>
          <w:p w:rsidR="00CC269D" w:rsidRPr="004C0446" w:rsidRDefault="00CC269D" w:rsidP="00334505">
            <w:pPr>
              <w:spacing w:after="0" w:line="240" w:lineRule="auto"/>
              <w:rPr>
                <w:rFonts w:ascii="Times New Roman" w:eastAsia="Calibri" w:hAnsi="Times New Roman" w:cs="Times New Roman"/>
                <w:sz w:val="20"/>
                <w:szCs w:val="20"/>
                <w:lang w:val="ro-MD"/>
              </w:rPr>
            </w:pPr>
          </w:p>
        </w:tc>
      </w:tr>
      <w:tr w:rsidR="00CC269D" w:rsidRPr="004C0446" w:rsidTr="00FB650E">
        <w:trPr>
          <w:trHeight w:val="1219"/>
        </w:trPr>
        <w:tc>
          <w:tcPr>
            <w:tcW w:w="1802" w:type="dxa"/>
            <w:gridSpan w:val="2"/>
            <w:vMerge/>
          </w:tcPr>
          <w:p w:rsidR="00CC269D" w:rsidRPr="004C0446" w:rsidRDefault="00CC269D" w:rsidP="00334505">
            <w:pPr>
              <w:spacing w:after="0" w:line="240" w:lineRule="auto"/>
              <w:rPr>
                <w:rFonts w:ascii="Times New Roman" w:eastAsia="Calibri" w:hAnsi="Times New Roman" w:cs="Times New Roman"/>
                <w:sz w:val="20"/>
                <w:szCs w:val="20"/>
                <w:lang w:val="ro-MD"/>
              </w:rPr>
            </w:pPr>
          </w:p>
        </w:tc>
        <w:tc>
          <w:tcPr>
            <w:tcW w:w="2411" w:type="dxa"/>
            <w:vMerge w:val="restart"/>
          </w:tcPr>
          <w:p w:rsidR="00CC269D" w:rsidRPr="004C0446" w:rsidRDefault="00CC269D" w:rsidP="009A1608">
            <w:pPr>
              <w:spacing w:after="4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Asigurarea activităţii de colaborare a Centrului Naţional de Acreditare MOLDAC cu organizaţiile europene şi internaţionale în domeniul acreditării prin:</w:t>
            </w:r>
          </w:p>
          <w:p w:rsidR="00CC269D" w:rsidRPr="004C0446" w:rsidRDefault="00CC269D" w:rsidP="009A1608">
            <w:pPr>
              <w:spacing w:after="4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xml:space="preserve">- participarea la evenimentele desfăşurate de organizaţiile europene şi internaţionale în domeniul acreditării </w:t>
            </w:r>
            <w:r w:rsidRPr="004C0446">
              <w:rPr>
                <w:rFonts w:ascii="Times New Roman" w:eastAsia="Calibri" w:hAnsi="Times New Roman" w:cs="Times New Roman"/>
                <w:color w:val="000000"/>
                <w:sz w:val="20"/>
                <w:szCs w:val="20"/>
                <w:lang w:val="ro-RO"/>
              </w:rPr>
              <w:lastRenderedPageBreak/>
              <w:t>(comitete, grupuri de lucru, ateliere de lucru etc.);</w:t>
            </w:r>
          </w:p>
          <w:p w:rsidR="00CC269D" w:rsidRPr="004C0446" w:rsidRDefault="00CC269D" w:rsidP="009A1608">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-diseminarea informaţiei prezentate în cadrul evenimentelor desfăşurate de organizaţiile europene şi internaţionale în domeniul acreditării părţilor interesate.</w:t>
            </w:r>
          </w:p>
        </w:tc>
        <w:tc>
          <w:tcPr>
            <w:tcW w:w="3639" w:type="dxa"/>
            <w:gridSpan w:val="2"/>
            <w:vMerge w:val="restart"/>
          </w:tcPr>
          <w:p w:rsidR="00CC269D" w:rsidRPr="004C0446" w:rsidRDefault="00CC269D" w:rsidP="009A1608">
            <w:pPr>
              <w:tabs>
                <w:tab w:val="left" w:pos="174"/>
              </w:tabs>
              <w:spacing w:after="40" w:line="240" w:lineRule="auto"/>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lastRenderedPageBreak/>
              <w:t>Pe parcursul anului reprezentanţi ai MOLDAC au participat la 26 de activităţi ale Cooperării Europene pentru Acreditare (EA); Cooperării Internaţionale pentru Acreditarea Laboratoarelor (ILAC)/ Forumul Internaţional pentru Acreditare (IAF); Asociaţiei Interregionale de Standardizare (IRSA); Consiliului Interstatal pentru Standardizare, Metrologie şi Certificare (MTC/EASC).</w:t>
            </w:r>
          </w:p>
          <w:p w:rsidR="00CC269D" w:rsidRPr="004C0446" w:rsidRDefault="00CC269D" w:rsidP="009A1608">
            <w:pPr>
              <w:tabs>
                <w:tab w:val="left" w:pos="174"/>
              </w:tabs>
              <w:spacing w:after="40" w:line="240" w:lineRule="auto"/>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Pe pagina web a MOLDAC au fost publicate 18 note informative referitoare la aceste participări.</w:t>
            </w:r>
          </w:p>
        </w:tc>
        <w:tc>
          <w:tcPr>
            <w:tcW w:w="1135" w:type="dxa"/>
            <w:vMerge w:val="restart"/>
          </w:tcPr>
          <w:p w:rsidR="00CC269D" w:rsidRPr="00CC269D" w:rsidRDefault="00CC269D" w:rsidP="00334505">
            <w:pPr>
              <w:spacing w:after="0" w:line="240" w:lineRule="auto"/>
              <w:ind w:right="27"/>
              <w:jc w:val="center"/>
              <w:rPr>
                <w:rFonts w:ascii="Times New Roman" w:eastAsia="Calibri" w:hAnsi="Times New Roman" w:cs="Times New Roman"/>
                <w:bCs/>
                <w:sz w:val="20"/>
                <w:szCs w:val="20"/>
                <w:lang w:val="ro-MD" w:eastAsia="nl-NL"/>
              </w:rPr>
            </w:pPr>
            <w:r w:rsidRPr="00CC269D">
              <w:rPr>
                <w:rFonts w:ascii="Times New Roman" w:eastAsia="Calibri" w:hAnsi="Times New Roman" w:cs="Times New Roman"/>
                <w:bCs/>
                <w:sz w:val="20"/>
                <w:szCs w:val="20"/>
                <w:lang w:val="ro-MD" w:eastAsia="nl-NL"/>
              </w:rPr>
              <w:t>621,5</w:t>
            </w:r>
          </w:p>
        </w:tc>
        <w:tc>
          <w:tcPr>
            <w:tcW w:w="993" w:type="dxa"/>
            <w:vMerge w:val="restart"/>
          </w:tcPr>
          <w:p w:rsidR="00CC269D" w:rsidRPr="00CC269D" w:rsidRDefault="00CC269D" w:rsidP="00334505">
            <w:pPr>
              <w:spacing w:after="0" w:line="240" w:lineRule="auto"/>
              <w:jc w:val="center"/>
              <w:rPr>
                <w:rFonts w:ascii="Times New Roman" w:eastAsia="Calibri" w:hAnsi="Times New Roman" w:cs="Times New Roman"/>
                <w:bCs/>
                <w:sz w:val="20"/>
                <w:szCs w:val="20"/>
                <w:lang w:val="ro-MD" w:eastAsia="nl-NL"/>
              </w:rPr>
            </w:pPr>
            <w:r w:rsidRPr="00CC269D">
              <w:rPr>
                <w:rFonts w:ascii="Times New Roman" w:eastAsia="Calibri" w:hAnsi="Times New Roman" w:cs="Times New Roman"/>
                <w:bCs/>
                <w:sz w:val="20"/>
                <w:szCs w:val="20"/>
                <w:lang w:val="ro-MD" w:eastAsia="nl-NL"/>
              </w:rPr>
              <w:t>621,5</w:t>
            </w:r>
          </w:p>
        </w:tc>
        <w:tc>
          <w:tcPr>
            <w:tcW w:w="1561" w:type="dxa"/>
          </w:tcPr>
          <w:p w:rsidR="00CC269D" w:rsidRPr="004C0446" w:rsidRDefault="00CC269D" w:rsidP="005F4A43">
            <w:pPr>
              <w:tabs>
                <w:tab w:val="left" w:pos="176"/>
              </w:tabs>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Numărul de participări la evenimente –</w:t>
            </w:r>
            <w:r w:rsidR="00A95A3C">
              <w:rPr>
                <w:rFonts w:ascii="Times New Roman" w:eastAsia="Calibri" w:hAnsi="Times New Roman" w:cs="Times New Roman"/>
                <w:color w:val="000000"/>
                <w:sz w:val="20"/>
                <w:szCs w:val="20"/>
                <w:lang w:val="ro-RO"/>
              </w:rPr>
              <w:t xml:space="preserve"> 20</w:t>
            </w:r>
          </w:p>
        </w:tc>
        <w:tc>
          <w:tcPr>
            <w:tcW w:w="1560" w:type="dxa"/>
          </w:tcPr>
          <w:p w:rsidR="00CC269D" w:rsidRPr="004C0446" w:rsidRDefault="00CC269D" w:rsidP="00334505">
            <w:pPr>
              <w:tabs>
                <w:tab w:val="left" w:pos="176"/>
              </w:tabs>
              <w:spacing w:after="0" w:line="240" w:lineRule="auto"/>
              <w:jc w:val="both"/>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26</w:t>
            </w:r>
          </w:p>
          <w:p w:rsidR="00CC269D" w:rsidRPr="004C0446" w:rsidRDefault="00CC269D" w:rsidP="00334505">
            <w:pPr>
              <w:tabs>
                <w:tab w:val="left" w:pos="176"/>
              </w:tabs>
              <w:spacing w:after="0" w:line="240" w:lineRule="auto"/>
              <w:jc w:val="both"/>
              <w:rPr>
                <w:rFonts w:ascii="Times New Roman" w:eastAsia="Calibri" w:hAnsi="Times New Roman" w:cs="Times New Roman"/>
                <w:color w:val="000000"/>
                <w:sz w:val="20"/>
                <w:szCs w:val="20"/>
                <w:lang w:val="ro-RO"/>
              </w:rPr>
            </w:pPr>
          </w:p>
          <w:p w:rsidR="00CC269D" w:rsidRPr="004C0446" w:rsidRDefault="00CC269D" w:rsidP="005F4A43">
            <w:pPr>
              <w:tabs>
                <w:tab w:val="left" w:pos="176"/>
              </w:tabs>
              <w:spacing w:after="0" w:line="240" w:lineRule="auto"/>
              <w:jc w:val="both"/>
              <w:rPr>
                <w:rFonts w:ascii="Times New Roman" w:eastAsia="Calibri" w:hAnsi="Times New Roman" w:cs="Times New Roman"/>
                <w:color w:val="000000"/>
                <w:sz w:val="20"/>
                <w:szCs w:val="20"/>
                <w:lang w:val="ro-RO"/>
              </w:rPr>
            </w:pPr>
          </w:p>
        </w:tc>
        <w:tc>
          <w:tcPr>
            <w:tcW w:w="1418" w:type="dxa"/>
          </w:tcPr>
          <w:p w:rsidR="00CC269D" w:rsidRPr="004C0446" w:rsidRDefault="00CC269D" w:rsidP="00334505">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+6</w:t>
            </w:r>
          </w:p>
          <w:p w:rsidR="00CC269D" w:rsidRPr="004C0446" w:rsidRDefault="00CC269D" w:rsidP="00334505">
            <w:pPr>
              <w:spacing w:after="0" w:line="240" w:lineRule="auto"/>
              <w:rPr>
                <w:rFonts w:ascii="Times New Roman" w:eastAsia="Calibri" w:hAnsi="Times New Roman" w:cs="Times New Roman"/>
                <w:sz w:val="20"/>
                <w:szCs w:val="20"/>
                <w:lang w:val="ro-RO"/>
              </w:rPr>
            </w:pPr>
          </w:p>
        </w:tc>
        <w:tc>
          <w:tcPr>
            <w:tcW w:w="1231" w:type="dxa"/>
            <w:gridSpan w:val="2"/>
            <w:vMerge w:val="restart"/>
          </w:tcPr>
          <w:p w:rsidR="00CC269D" w:rsidRPr="004C0446" w:rsidRDefault="00CC269D" w:rsidP="00334505">
            <w:pPr>
              <w:spacing w:after="0" w:line="240" w:lineRule="auto"/>
              <w:rPr>
                <w:rFonts w:ascii="Times New Roman" w:eastAsia="Calibri" w:hAnsi="Times New Roman" w:cs="Times New Roman"/>
                <w:sz w:val="20"/>
                <w:szCs w:val="20"/>
                <w:lang w:val="ro-MD"/>
              </w:rPr>
            </w:pPr>
          </w:p>
        </w:tc>
      </w:tr>
      <w:tr w:rsidR="00CC269D" w:rsidRPr="004C0446" w:rsidTr="00FB650E">
        <w:trPr>
          <w:trHeight w:val="1757"/>
        </w:trPr>
        <w:tc>
          <w:tcPr>
            <w:tcW w:w="1802" w:type="dxa"/>
            <w:gridSpan w:val="2"/>
            <w:vMerge/>
          </w:tcPr>
          <w:p w:rsidR="00CC269D" w:rsidRPr="004C0446" w:rsidRDefault="00CC269D" w:rsidP="00334505">
            <w:pPr>
              <w:spacing w:after="0" w:line="240" w:lineRule="auto"/>
              <w:rPr>
                <w:rFonts w:ascii="Times New Roman" w:eastAsia="Calibri" w:hAnsi="Times New Roman" w:cs="Times New Roman"/>
                <w:sz w:val="20"/>
                <w:szCs w:val="20"/>
                <w:lang w:val="ro-MD"/>
              </w:rPr>
            </w:pPr>
          </w:p>
        </w:tc>
        <w:tc>
          <w:tcPr>
            <w:tcW w:w="2411" w:type="dxa"/>
            <w:vMerge/>
          </w:tcPr>
          <w:p w:rsidR="00CC269D" w:rsidRPr="004C0446" w:rsidRDefault="00CC269D" w:rsidP="009A1608">
            <w:pPr>
              <w:spacing w:after="40" w:line="240" w:lineRule="auto"/>
              <w:rPr>
                <w:rFonts w:ascii="Times New Roman" w:eastAsia="Calibri" w:hAnsi="Times New Roman" w:cs="Times New Roman"/>
                <w:color w:val="000000"/>
                <w:sz w:val="20"/>
                <w:szCs w:val="20"/>
                <w:lang w:val="ro-RO"/>
              </w:rPr>
            </w:pPr>
          </w:p>
        </w:tc>
        <w:tc>
          <w:tcPr>
            <w:tcW w:w="3639" w:type="dxa"/>
            <w:gridSpan w:val="2"/>
            <w:vMerge/>
          </w:tcPr>
          <w:p w:rsidR="00CC269D" w:rsidRPr="004C0446" w:rsidRDefault="00CC269D" w:rsidP="009A1608">
            <w:pPr>
              <w:tabs>
                <w:tab w:val="left" w:pos="174"/>
              </w:tabs>
              <w:spacing w:after="40" w:line="240" w:lineRule="auto"/>
              <w:rPr>
                <w:rFonts w:ascii="Times New Roman" w:eastAsia="Times New Roman" w:hAnsi="Times New Roman" w:cs="Times New Roman"/>
                <w:sz w:val="20"/>
                <w:szCs w:val="20"/>
                <w:lang w:val="ro-RO" w:eastAsia="ru-RU"/>
              </w:rPr>
            </w:pPr>
          </w:p>
        </w:tc>
        <w:tc>
          <w:tcPr>
            <w:tcW w:w="1135" w:type="dxa"/>
            <w:vMerge/>
          </w:tcPr>
          <w:p w:rsidR="00CC269D" w:rsidRPr="004C0446" w:rsidRDefault="00CC269D"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vMerge/>
          </w:tcPr>
          <w:p w:rsidR="00CC269D" w:rsidRPr="004C0446" w:rsidRDefault="00CC269D" w:rsidP="00334505">
            <w:pPr>
              <w:spacing w:after="0" w:line="240" w:lineRule="auto"/>
              <w:jc w:val="center"/>
              <w:rPr>
                <w:rFonts w:ascii="Times New Roman" w:eastAsia="Calibri" w:hAnsi="Times New Roman" w:cs="Times New Roman"/>
                <w:bCs/>
                <w:sz w:val="20"/>
                <w:szCs w:val="20"/>
                <w:lang w:val="ro-MD" w:eastAsia="nl-NL"/>
              </w:rPr>
            </w:pPr>
          </w:p>
        </w:tc>
        <w:tc>
          <w:tcPr>
            <w:tcW w:w="1561" w:type="dxa"/>
          </w:tcPr>
          <w:p w:rsidR="00CC269D" w:rsidRPr="004C0446" w:rsidRDefault="00CC269D" w:rsidP="00090617">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Numărul de note informative generalizate pu</w:t>
            </w:r>
            <w:r w:rsidR="00090617">
              <w:rPr>
                <w:rFonts w:ascii="Times New Roman" w:eastAsia="Calibri" w:hAnsi="Times New Roman" w:cs="Times New Roman"/>
                <w:color w:val="000000"/>
                <w:sz w:val="20"/>
                <w:szCs w:val="20"/>
                <w:lang w:val="ro-RO"/>
              </w:rPr>
              <w:t xml:space="preserve">blicate pe pagina web - min. 2 </w:t>
            </w:r>
          </w:p>
        </w:tc>
        <w:tc>
          <w:tcPr>
            <w:tcW w:w="1560" w:type="dxa"/>
          </w:tcPr>
          <w:p w:rsidR="00CC269D" w:rsidRPr="004C0446" w:rsidRDefault="00CC269D" w:rsidP="005F4A43">
            <w:pPr>
              <w:tabs>
                <w:tab w:val="left" w:pos="176"/>
              </w:tabs>
              <w:spacing w:after="0" w:line="240" w:lineRule="auto"/>
              <w:jc w:val="both"/>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xml:space="preserve">18 </w:t>
            </w:r>
          </w:p>
          <w:p w:rsidR="00CC269D" w:rsidRPr="004C0446" w:rsidRDefault="00CC269D" w:rsidP="00334505">
            <w:pPr>
              <w:tabs>
                <w:tab w:val="left" w:pos="176"/>
              </w:tabs>
              <w:spacing w:after="0" w:line="240" w:lineRule="auto"/>
              <w:jc w:val="both"/>
              <w:rPr>
                <w:rFonts w:ascii="Times New Roman" w:eastAsia="Calibri" w:hAnsi="Times New Roman" w:cs="Times New Roman"/>
                <w:color w:val="000000"/>
                <w:sz w:val="20"/>
                <w:szCs w:val="20"/>
                <w:lang w:val="ro-RO"/>
              </w:rPr>
            </w:pPr>
          </w:p>
        </w:tc>
        <w:tc>
          <w:tcPr>
            <w:tcW w:w="1418" w:type="dxa"/>
          </w:tcPr>
          <w:p w:rsidR="00CC269D" w:rsidRPr="004C0446" w:rsidRDefault="00CC269D" w:rsidP="00334505">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+16</w:t>
            </w:r>
          </w:p>
        </w:tc>
        <w:tc>
          <w:tcPr>
            <w:tcW w:w="1231" w:type="dxa"/>
            <w:gridSpan w:val="2"/>
            <w:vMerge/>
          </w:tcPr>
          <w:p w:rsidR="00CC269D" w:rsidRPr="004C0446" w:rsidRDefault="00CC269D" w:rsidP="00334505">
            <w:pPr>
              <w:spacing w:after="0" w:line="240" w:lineRule="auto"/>
              <w:rPr>
                <w:rFonts w:ascii="Times New Roman" w:eastAsia="Calibri" w:hAnsi="Times New Roman" w:cs="Times New Roman"/>
                <w:sz w:val="20"/>
                <w:szCs w:val="20"/>
                <w:lang w:val="ro-MD"/>
              </w:rPr>
            </w:pPr>
          </w:p>
        </w:tc>
      </w:tr>
      <w:tr w:rsidR="00CC269D" w:rsidRPr="004C0446" w:rsidTr="00FB650E">
        <w:tc>
          <w:tcPr>
            <w:tcW w:w="1802" w:type="dxa"/>
            <w:gridSpan w:val="2"/>
            <w:vMerge/>
          </w:tcPr>
          <w:p w:rsidR="00CC269D" w:rsidRPr="004C0446" w:rsidRDefault="00CC269D" w:rsidP="00334505">
            <w:pPr>
              <w:spacing w:after="0" w:line="240" w:lineRule="auto"/>
              <w:rPr>
                <w:rFonts w:ascii="Times New Roman" w:eastAsia="Calibri" w:hAnsi="Times New Roman" w:cs="Times New Roman"/>
                <w:sz w:val="20"/>
                <w:szCs w:val="20"/>
                <w:lang w:val="ro-MD"/>
              </w:rPr>
            </w:pPr>
          </w:p>
        </w:tc>
        <w:tc>
          <w:tcPr>
            <w:tcW w:w="2411" w:type="dxa"/>
            <w:tcBorders>
              <w:bottom w:val="single" w:sz="4" w:space="0" w:color="auto"/>
            </w:tcBorders>
          </w:tcPr>
          <w:p w:rsidR="00CC269D" w:rsidRPr="004C0446" w:rsidRDefault="00CC269D" w:rsidP="009A1608">
            <w:pPr>
              <w:spacing w:after="40" w:line="240" w:lineRule="auto"/>
              <w:rPr>
                <w:rFonts w:ascii="Times New Roman" w:eastAsia="Times New Roman" w:hAnsi="Times New Roman" w:cs="Times New Roman"/>
                <w:color w:val="000000"/>
                <w:sz w:val="20"/>
                <w:szCs w:val="20"/>
                <w:lang w:val="ro-RO"/>
              </w:rPr>
            </w:pPr>
            <w:r w:rsidRPr="004C0446">
              <w:rPr>
                <w:rFonts w:ascii="Times New Roman" w:eastAsia="Times New Roman" w:hAnsi="Times New Roman" w:cs="Times New Roman"/>
                <w:color w:val="000000"/>
                <w:sz w:val="20"/>
                <w:szCs w:val="20"/>
                <w:lang w:val="ro-RO"/>
              </w:rPr>
              <w:t>Reingineria serviciilor publice acordate de Centrul Naţional de Acreditare MOLDAC  (acreditarea organismelor de evaluare a conformităţii) prin:</w:t>
            </w:r>
          </w:p>
          <w:p w:rsidR="00CC269D" w:rsidRPr="004C0446" w:rsidRDefault="00CC269D" w:rsidP="000407C1">
            <w:pPr>
              <w:numPr>
                <w:ilvl w:val="0"/>
                <w:numId w:val="13"/>
              </w:numPr>
              <w:spacing w:after="40" w:line="240" w:lineRule="auto"/>
              <w:ind w:left="155" w:hanging="90"/>
              <w:rPr>
                <w:rFonts w:ascii="Times New Roman" w:eastAsia="Times New Roman" w:hAnsi="Times New Roman" w:cs="Times New Roman"/>
                <w:color w:val="000000"/>
                <w:sz w:val="20"/>
                <w:szCs w:val="20"/>
                <w:lang w:val="ro-RO"/>
              </w:rPr>
            </w:pPr>
            <w:r w:rsidRPr="004C0446">
              <w:rPr>
                <w:rFonts w:ascii="Times New Roman" w:eastAsia="Times New Roman" w:hAnsi="Times New Roman" w:cs="Times New Roman"/>
                <w:color w:val="000000"/>
                <w:sz w:val="20"/>
                <w:szCs w:val="20"/>
                <w:lang w:val="ro-RO"/>
              </w:rPr>
              <w:t>implementarea (testarea, instruirea personalului) şi menţinerea (completarea, modificarea, actualizarea) sistemului informaţional SIA Acreditare;</w:t>
            </w:r>
          </w:p>
          <w:p w:rsidR="00CC269D" w:rsidRPr="004C0446" w:rsidRDefault="00CC269D" w:rsidP="000407C1">
            <w:pPr>
              <w:pStyle w:val="ListParagraph"/>
              <w:numPr>
                <w:ilvl w:val="0"/>
                <w:numId w:val="13"/>
              </w:numPr>
              <w:spacing w:after="40" w:line="240" w:lineRule="auto"/>
              <w:ind w:left="155" w:hanging="155"/>
              <w:rPr>
                <w:rFonts w:ascii="Times New Roman" w:eastAsia="Times New Roman" w:hAnsi="Times New Roman" w:cs="Times New Roman"/>
                <w:color w:val="000000"/>
                <w:sz w:val="20"/>
                <w:szCs w:val="20"/>
                <w:lang w:val="ro-RO"/>
              </w:rPr>
            </w:pPr>
            <w:r w:rsidRPr="004C0446">
              <w:rPr>
                <w:rFonts w:ascii="Times New Roman" w:eastAsia="Times New Roman" w:hAnsi="Times New Roman" w:cs="Times New Roman"/>
                <w:color w:val="000000"/>
                <w:sz w:val="20"/>
                <w:szCs w:val="20"/>
                <w:lang w:val="ro-RO"/>
              </w:rPr>
              <w:t xml:space="preserve">procurarea </w:t>
            </w:r>
            <w:r w:rsidRPr="004C0446">
              <w:rPr>
                <w:rFonts w:ascii="Times New Roman" w:eastAsia="Times New Roman" w:hAnsi="Times New Roman" w:cs="Times New Roman"/>
                <w:sz w:val="20"/>
                <w:szCs w:val="20"/>
                <w:lang w:val="ro-RO"/>
              </w:rPr>
              <w:t>echipamentului IT, elaborarea documentelor noi, realizarea traducerilor,</w:t>
            </w:r>
            <w:r w:rsidRPr="004C0446">
              <w:rPr>
                <w:rFonts w:ascii="Times New Roman" w:eastAsia="Times New Roman" w:hAnsi="Times New Roman" w:cs="Times New Roman"/>
                <w:color w:val="000000"/>
                <w:sz w:val="20"/>
                <w:szCs w:val="20"/>
                <w:lang w:val="ro-RO"/>
              </w:rPr>
              <w:t xml:space="preserve"> etc.</w:t>
            </w:r>
          </w:p>
        </w:tc>
        <w:tc>
          <w:tcPr>
            <w:tcW w:w="3639" w:type="dxa"/>
            <w:gridSpan w:val="2"/>
          </w:tcPr>
          <w:p w:rsidR="00CC269D" w:rsidRPr="004C0446" w:rsidRDefault="00CC269D" w:rsidP="009A1608">
            <w:pPr>
              <w:tabs>
                <w:tab w:val="left" w:pos="174"/>
              </w:tabs>
              <w:spacing w:after="40" w:line="240" w:lineRule="auto"/>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Pe parcursul anului a continuat implementarea SIA „Acreditare” (testare la etapa pilot). S-a lucrat asupra mentenanţei bazei de date şi a dezvoltării funcţionalităţilor SIA. În baza de date au fost procesate 33 de dosare ale organismelor de evaluare a conformităţii acreditate.</w:t>
            </w:r>
          </w:p>
          <w:p w:rsidR="00CC269D" w:rsidRPr="004C0446" w:rsidRDefault="00CC269D" w:rsidP="009A1608">
            <w:pPr>
              <w:tabs>
                <w:tab w:val="left" w:pos="174"/>
              </w:tabs>
              <w:spacing w:after="40" w:line="240" w:lineRule="auto"/>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A fost asigurată migrarea SIA „Acreditare” pe platforma MCloud-2 a Centrului E-Guvernare.</w:t>
            </w:r>
          </w:p>
          <w:p w:rsidR="00CC269D" w:rsidRPr="004C0446" w:rsidRDefault="00CC269D" w:rsidP="009A1608">
            <w:pPr>
              <w:tabs>
                <w:tab w:val="left" w:pos="174"/>
              </w:tabs>
              <w:spacing w:after="40" w:line="240" w:lineRule="auto"/>
              <w:rPr>
                <w:rFonts w:ascii="Times New Roman" w:eastAsia="Times New Roman" w:hAnsi="Times New Roman" w:cs="Times New Roman"/>
                <w:sz w:val="20"/>
                <w:szCs w:val="20"/>
                <w:lang w:val="ro-RO" w:eastAsia="ru-RU"/>
              </w:rPr>
            </w:pPr>
          </w:p>
          <w:p w:rsidR="00CC269D" w:rsidRPr="004C0446" w:rsidRDefault="00CC269D" w:rsidP="009A1608">
            <w:pPr>
              <w:tabs>
                <w:tab w:val="left" w:pos="174"/>
              </w:tabs>
              <w:spacing w:after="40" w:line="240" w:lineRule="auto"/>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A fost procurat echipament IT. Au fost elaborate 51 de documente noi. S-a realizat traducerea din limba engleză în limba română a 15 documente şi viceversa – a 30 de documente.</w:t>
            </w:r>
          </w:p>
        </w:tc>
        <w:tc>
          <w:tcPr>
            <w:tcW w:w="1135" w:type="dxa"/>
          </w:tcPr>
          <w:p w:rsidR="00CC269D" w:rsidRPr="00CC269D" w:rsidRDefault="00CC269D" w:rsidP="005F4A43">
            <w:pPr>
              <w:spacing w:after="0" w:line="240" w:lineRule="auto"/>
              <w:ind w:right="27"/>
              <w:jc w:val="center"/>
              <w:rPr>
                <w:rFonts w:ascii="Times New Roman" w:eastAsia="Calibri" w:hAnsi="Times New Roman" w:cs="Times New Roman"/>
                <w:bCs/>
                <w:sz w:val="20"/>
                <w:szCs w:val="20"/>
                <w:lang w:val="ro-RO" w:eastAsia="nl-NL"/>
              </w:rPr>
            </w:pPr>
            <w:r w:rsidRPr="00CC269D">
              <w:rPr>
                <w:rFonts w:ascii="Times New Roman" w:eastAsia="Calibri" w:hAnsi="Times New Roman" w:cs="Times New Roman"/>
                <w:bCs/>
                <w:sz w:val="20"/>
                <w:szCs w:val="20"/>
                <w:lang w:val="ro-RO" w:eastAsia="nl-NL"/>
              </w:rPr>
              <w:t>338,8</w:t>
            </w:r>
          </w:p>
          <w:p w:rsidR="00CC269D" w:rsidRPr="00CC269D" w:rsidRDefault="00CC269D" w:rsidP="005F4A43">
            <w:pPr>
              <w:spacing w:after="0" w:line="240" w:lineRule="auto"/>
              <w:ind w:right="27"/>
              <w:jc w:val="center"/>
              <w:rPr>
                <w:rFonts w:ascii="Times New Roman" w:eastAsia="Calibri" w:hAnsi="Times New Roman" w:cs="Times New Roman"/>
                <w:bCs/>
                <w:sz w:val="20"/>
                <w:szCs w:val="20"/>
                <w:lang w:val="ro-RO" w:eastAsia="nl-NL"/>
              </w:rPr>
            </w:pPr>
          </w:p>
          <w:p w:rsidR="00CC269D" w:rsidRPr="00CC269D" w:rsidRDefault="00CC269D" w:rsidP="006B0ADE">
            <w:pPr>
              <w:spacing w:after="0" w:line="240" w:lineRule="auto"/>
              <w:ind w:right="27"/>
              <w:rPr>
                <w:rFonts w:ascii="Times New Roman" w:eastAsia="Calibri" w:hAnsi="Times New Roman" w:cs="Times New Roman"/>
                <w:bCs/>
                <w:sz w:val="20"/>
                <w:szCs w:val="20"/>
                <w:lang w:val="ro-RO" w:eastAsia="nl-NL"/>
              </w:rPr>
            </w:pPr>
          </w:p>
        </w:tc>
        <w:tc>
          <w:tcPr>
            <w:tcW w:w="993" w:type="dxa"/>
          </w:tcPr>
          <w:p w:rsidR="00CC269D" w:rsidRPr="00CC269D" w:rsidRDefault="00CC269D" w:rsidP="00FC2A00">
            <w:pPr>
              <w:spacing w:after="0" w:line="240" w:lineRule="auto"/>
              <w:ind w:right="27"/>
              <w:jc w:val="center"/>
              <w:rPr>
                <w:rFonts w:ascii="Times New Roman" w:eastAsia="Calibri" w:hAnsi="Times New Roman" w:cs="Times New Roman"/>
                <w:bCs/>
                <w:sz w:val="20"/>
                <w:szCs w:val="20"/>
                <w:lang w:val="ro-RO" w:eastAsia="nl-NL"/>
              </w:rPr>
            </w:pPr>
            <w:r w:rsidRPr="00CC269D">
              <w:rPr>
                <w:rFonts w:ascii="Times New Roman" w:eastAsia="Calibri" w:hAnsi="Times New Roman" w:cs="Times New Roman"/>
                <w:bCs/>
                <w:sz w:val="20"/>
                <w:szCs w:val="20"/>
                <w:lang w:val="ro-RO" w:eastAsia="nl-NL"/>
              </w:rPr>
              <w:t>338,8</w:t>
            </w:r>
          </w:p>
          <w:p w:rsidR="00CC269D" w:rsidRPr="00CC269D" w:rsidRDefault="00CC269D" w:rsidP="005F4A43">
            <w:pPr>
              <w:spacing w:after="0" w:line="240" w:lineRule="auto"/>
              <w:rPr>
                <w:rFonts w:ascii="Times New Roman" w:eastAsia="Calibri" w:hAnsi="Times New Roman" w:cs="Times New Roman"/>
                <w:bCs/>
                <w:sz w:val="20"/>
                <w:szCs w:val="20"/>
                <w:lang w:val="ro-MD" w:eastAsia="nl-NL"/>
              </w:rPr>
            </w:pPr>
          </w:p>
        </w:tc>
        <w:tc>
          <w:tcPr>
            <w:tcW w:w="1561" w:type="dxa"/>
          </w:tcPr>
          <w:p w:rsidR="00CC269D" w:rsidRPr="004C0446" w:rsidRDefault="00CC269D" w:rsidP="009A1608">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xml:space="preserve">Numărul de dosare privind procesul de acreditare a organismelor de evaluare a conformităţii gestionat prin sistemul informaţional SIA Acreditare - </w:t>
            </w:r>
          </w:p>
          <w:p w:rsidR="00CC269D" w:rsidRPr="004C0446" w:rsidRDefault="00CC269D" w:rsidP="009A1608">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31</w:t>
            </w:r>
          </w:p>
        </w:tc>
        <w:tc>
          <w:tcPr>
            <w:tcW w:w="1560" w:type="dxa"/>
          </w:tcPr>
          <w:p w:rsidR="00CC269D" w:rsidRPr="004C0446" w:rsidRDefault="00CC269D" w:rsidP="009A1608">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33</w:t>
            </w:r>
          </w:p>
        </w:tc>
        <w:tc>
          <w:tcPr>
            <w:tcW w:w="1418" w:type="dxa"/>
          </w:tcPr>
          <w:p w:rsidR="00CC269D" w:rsidRPr="004C0446" w:rsidRDefault="00CC269D" w:rsidP="0033450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+2</w:t>
            </w:r>
          </w:p>
        </w:tc>
        <w:tc>
          <w:tcPr>
            <w:tcW w:w="1231" w:type="dxa"/>
            <w:gridSpan w:val="2"/>
          </w:tcPr>
          <w:p w:rsidR="00CC269D" w:rsidRPr="004C0446" w:rsidRDefault="00CC269D" w:rsidP="00334505">
            <w:pPr>
              <w:spacing w:after="0" w:line="240" w:lineRule="auto"/>
              <w:rPr>
                <w:rFonts w:ascii="Times New Roman" w:eastAsia="Calibri" w:hAnsi="Times New Roman" w:cs="Times New Roman"/>
                <w:sz w:val="20"/>
                <w:szCs w:val="20"/>
                <w:lang w:val="ro-MD"/>
              </w:rPr>
            </w:pPr>
          </w:p>
        </w:tc>
      </w:tr>
      <w:tr w:rsidR="00CC269D" w:rsidRPr="00E943D3" w:rsidTr="00FB650E">
        <w:trPr>
          <w:trHeight w:val="2710"/>
        </w:trPr>
        <w:tc>
          <w:tcPr>
            <w:tcW w:w="1802" w:type="dxa"/>
            <w:gridSpan w:val="2"/>
            <w:vMerge/>
          </w:tcPr>
          <w:p w:rsidR="00CC269D" w:rsidRPr="004C0446" w:rsidRDefault="00CC269D" w:rsidP="00334505">
            <w:pPr>
              <w:spacing w:after="0" w:line="240" w:lineRule="auto"/>
              <w:rPr>
                <w:rFonts w:ascii="Times New Roman" w:eastAsia="Calibri" w:hAnsi="Times New Roman" w:cs="Times New Roman"/>
                <w:sz w:val="20"/>
                <w:szCs w:val="20"/>
                <w:lang w:val="ro-MD"/>
              </w:rPr>
            </w:pPr>
          </w:p>
        </w:tc>
        <w:tc>
          <w:tcPr>
            <w:tcW w:w="2411" w:type="dxa"/>
            <w:tcBorders>
              <w:top w:val="single" w:sz="4" w:space="0" w:color="auto"/>
            </w:tcBorders>
          </w:tcPr>
          <w:p w:rsidR="00CC269D" w:rsidRPr="004C0446" w:rsidRDefault="00CC269D" w:rsidP="00B32806">
            <w:pPr>
              <w:spacing w:after="40" w:line="240" w:lineRule="auto"/>
              <w:rPr>
                <w:rFonts w:ascii="Times New Roman" w:eastAsia="Calibri" w:hAnsi="Times New Roman" w:cs="Times New Roman"/>
                <w:color w:val="000000"/>
                <w:sz w:val="20"/>
                <w:szCs w:val="20"/>
                <w:lang w:val="en-US"/>
              </w:rPr>
            </w:pPr>
            <w:r w:rsidRPr="004C0446">
              <w:rPr>
                <w:rFonts w:ascii="Times New Roman" w:eastAsia="Calibri" w:hAnsi="Times New Roman" w:cs="Times New Roman"/>
                <w:color w:val="000000"/>
                <w:sz w:val="20"/>
                <w:szCs w:val="20"/>
                <w:lang w:val="en-US"/>
              </w:rPr>
              <w:t>Finanţarea echipei evaluatorilor organizaţiei europene de acreditare EA (5 evaluatori), în procesul de evaluare a Centrului Naţional de Acreditare MOLDAC, cu scopul semnării Acordului de recunoaştere multilaterală în cadrul Cooperării Euro</w:t>
            </w:r>
            <w:r w:rsidR="00A95A3C">
              <w:rPr>
                <w:rFonts w:ascii="Times New Roman" w:eastAsia="Calibri" w:hAnsi="Times New Roman" w:cs="Times New Roman"/>
                <w:color w:val="000000"/>
                <w:sz w:val="20"/>
                <w:szCs w:val="20"/>
                <w:lang w:val="en-US"/>
              </w:rPr>
              <w:t>pene pentru Acreditare (EA MLA).</w:t>
            </w:r>
          </w:p>
        </w:tc>
        <w:tc>
          <w:tcPr>
            <w:tcW w:w="3639" w:type="dxa"/>
            <w:gridSpan w:val="2"/>
            <w:vMerge w:val="restart"/>
          </w:tcPr>
          <w:p w:rsidR="00CC269D" w:rsidRPr="004C0446" w:rsidRDefault="00CC269D" w:rsidP="00B32806">
            <w:pPr>
              <w:tabs>
                <w:tab w:val="left" w:pos="174"/>
              </w:tabs>
              <w:spacing w:after="0" w:line="240" w:lineRule="auto"/>
              <w:rPr>
                <w:rFonts w:ascii="Times New Roman" w:eastAsia="Times New Roman" w:hAnsi="Times New Roman" w:cs="Times New Roman"/>
                <w:sz w:val="20"/>
                <w:szCs w:val="20"/>
                <w:lang w:val="ro-RO" w:eastAsia="ru-RU"/>
              </w:rPr>
            </w:pPr>
            <w:r w:rsidRPr="004C0446">
              <w:rPr>
                <w:rFonts w:ascii="Times New Roman" w:eastAsia="Times New Roman" w:hAnsi="Times New Roman" w:cs="Times New Roman"/>
                <w:sz w:val="20"/>
                <w:szCs w:val="20"/>
                <w:lang w:val="ro-RO" w:eastAsia="ru-RU"/>
              </w:rPr>
              <w:t>Procesul de evaluare la nivel de omologi de către echipa EA a Centrului Naţional de Acreditare (MOLDAC) a fost transferată de EA pentru luna februarie 2017.</w:t>
            </w:r>
          </w:p>
          <w:p w:rsidR="00CC269D" w:rsidRDefault="00CC269D" w:rsidP="00B32806">
            <w:pPr>
              <w:spacing w:after="0" w:line="240" w:lineRule="auto"/>
              <w:rPr>
                <w:rFonts w:ascii="Times New Roman" w:eastAsia="Calibri" w:hAnsi="Times New Roman" w:cs="Times New Roman"/>
                <w:sz w:val="20"/>
                <w:szCs w:val="20"/>
                <w:lang w:val="ro-RO"/>
              </w:rPr>
            </w:pPr>
          </w:p>
          <w:p w:rsidR="00CC269D" w:rsidRDefault="00CC269D" w:rsidP="00B32806">
            <w:pPr>
              <w:spacing w:after="0" w:line="240" w:lineRule="auto"/>
              <w:rPr>
                <w:rFonts w:ascii="Times New Roman" w:eastAsia="Calibri" w:hAnsi="Times New Roman" w:cs="Times New Roman"/>
                <w:sz w:val="20"/>
                <w:szCs w:val="20"/>
                <w:lang w:val="ro-RO"/>
              </w:rPr>
            </w:pPr>
          </w:p>
          <w:p w:rsidR="00CC269D" w:rsidRDefault="00CC269D" w:rsidP="00B32806">
            <w:pPr>
              <w:spacing w:after="0" w:line="240" w:lineRule="auto"/>
              <w:rPr>
                <w:rFonts w:ascii="Times New Roman" w:eastAsia="Calibri" w:hAnsi="Times New Roman" w:cs="Times New Roman"/>
                <w:sz w:val="20"/>
                <w:szCs w:val="20"/>
                <w:lang w:val="ro-RO"/>
              </w:rPr>
            </w:pPr>
          </w:p>
          <w:p w:rsidR="00CC269D" w:rsidRDefault="00CC269D" w:rsidP="00B32806">
            <w:pPr>
              <w:spacing w:after="0" w:line="240" w:lineRule="auto"/>
              <w:rPr>
                <w:rFonts w:ascii="Times New Roman" w:eastAsia="Calibri" w:hAnsi="Times New Roman" w:cs="Times New Roman"/>
                <w:sz w:val="20"/>
                <w:szCs w:val="20"/>
                <w:lang w:val="ro-RO"/>
              </w:rPr>
            </w:pPr>
          </w:p>
          <w:p w:rsidR="00CC269D" w:rsidRDefault="00CC269D" w:rsidP="00B32806">
            <w:pPr>
              <w:spacing w:after="0" w:line="240" w:lineRule="auto"/>
              <w:rPr>
                <w:rFonts w:ascii="Times New Roman" w:eastAsia="Calibri" w:hAnsi="Times New Roman" w:cs="Times New Roman"/>
                <w:sz w:val="20"/>
                <w:szCs w:val="20"/>
                <w:lang w:val="ro-RO"/>
              </w:rPr>
            </w:pPr>
          </w:p>
          <w:p w:rsidR="00CC269D" w:rsidRDefault="00CC269D" w:rsidP="00B32806">
            <w:pPr>
              <w:spacing w:after="0" w:line="240" w:lineRule="auto"/>
              <w:rPr>
                <w:rFonts w:ascii="Times New Roman" w:eastAsia="Calibri" w:hAnsi="Times New Roman" w:cs="Times New Roman"/>
                <w:sz w:val="20"/>
                <w:szCs w:val="20"/>
                <w:lang w:val="ro-RO"/>
              </w:rPr>
            </w:pPr>
          </w:p>
          <w:p w:rsidR="00CC269D" w:rsidRDefault="00CC269D" w:rsidP="00B32806">
            <w:pPr>
              <w:spacing w:after="0" w:line="240" w:lineRule="auto"/>
              <w:rPr>
                <w:rFonts w:ascii="Times New Roman" w:eastAsia="Calibri" w:hAnsi="Times New Roman" w:cs="Times New Roman"/>
                <w:sz w:val="20"/>
                <w:szCs w:val="20"/>
                <w:lang w:val="ro-RO"/>
              </w:rPr>
            </w:pPr>
          </w:p>
          <w:p w:rsidR="00CC269D" w:rsidRDefault="00CC269D" w:rsidP="00B32806">
            <w:pPr>
              <w:spacing w:after="0" w:line="240" w:lineRule="auto"/>
              <w:rPr>
                <w:rFonts w:ascii="Times New Roman" w:eastAsia="Calibri" w:hAnsi="Times New Roman" w:cs="Times New Roman"/>
                <w:sz w:val="20"/>
                <w:szCs w:val="20"/>
                <w:lang w:val="ro-RO"/>
              </w:rPr>
            </w:pPr>
          </w:p>
          <w:p w:rsidR="00CC269D" w:rsidRDefault="00CC269D" w:rsidP="00B32806">
            <w:pPr>
              <w:spacing w:after="0" w:line="240" w:lineRule="auto"/>
              <w:rPr>
                <w:rFonts w:ascii="Times New Roman" w:eastAsia="Calibri" w:hAnsi="Times New Roman" w:cs="Times New Roman"/>
                <w:sz w:val="20"/>
                <w:szCs w:val="20"/>
                <w:lang w:val="ro-RO"/>
              </w:rPr>
            </w:pPr>
          </w:p>
          <w:p w:rsidR="00CC269D" w:rsidRDefault="00CC269D" w:rsidP="00B32806">
            <w:pPr>
              <w:spacing w:after="0" w:line="240" w:lineRule="auto"/>
              <w:rPr>
                <w:rFonts w:ascii="Times New Roman" w:eastAsia="Calibri" w:hAnsi="Times New Roman" w:cs="Times New Roman"/>
                <w:sz w:val="20"/>
                <w:szCs w:val="20"/>
                <w:lang w:val="ro-RO"/>
              </w:rPr>
            </w:pPr>
          </w:p>
          <w:p w:rsidR="00CC269D" w:rsidRPr="004C0446" w:rsidRDefault="00CC269D" w:rsidP="00B32806">
            <w:pPr>
              <w:spacing w:after="0" w:line="240" w:lineRule="auto"/>
              <w:rPr>
                <w:rFonts w:ascii="Times New Roman" w:eastAsia="Calibri" w:hAnsi="Times New Roman" w:cs="Times New Roman"/>
                <w:sz w:val="20"/>
                <w:szCs w:val="20"/>
                <w:lang w:val="ro-RO"/>
              </w:rPr>
            </w:pPr>
          </w:p>
        </w:tc>
        <w:tc>
          <w:tcPr>
            <w:tcW w:w="1135" w:type="dxa"/>
          </w:tcPr>
          <w:p w:rsidR="00CC269D" w:rsidRPr="004C0446" w:rsidRDefault="00CC269D" w:rsidP="00334505">
            <w:pPr>
              <w:spacing w:after="0" w:line="240" w:lineRule="auto"/>
              <w:ind w:right="27"/>
              <w:jc w:val="center"/>
              <w:rPr>
                <w:rFonts w:ascii="Times New Roman" w:eastAsia="Calibri" w:hAnsi="Times New Roman" w:cs="Times New Roman"/>
                <w:bCs/>
                <w:sz w:val="20"/>
                <w:szCs w:val="20"/>
                <w:lang w:val="ro-MD" w:eastAsia="nl-NL"/>
              </w:rPr>
            </w:pPr>
            <w:r>
              <w:rPr>
                <w:rFonts w:ascii="Times New Roman" w:eastAsia="Calibri" w:hAnsi="Times New Roman" w:cs="Times New Roman"/>
                <w:bCs/>
                <w:sz w:val="20"/>
                <w:szCs w:val="20"/>
                <w:lang w:val="ro-MD" w:eastAsia="nl-NL"/>
              </w:rPr>
              <w:lastRenderedPageBreak/>
              <w:t>0</w:t>
            </w:r>
          </w:p>
        </w:tc>
        <w:tc>
          <w:tcPr>
            <w:tcW w:w="993" w:type="dxa"/>
          </w:tcPr>
          <w:p w:rsidR="00CC269D" w:rsidRPr="004C0446" w:rsidRDefault="00CC269D" w:rsidP="00334505">
            <w:pPr>
              <w:spacing w:after="0" w:line="240" w:lineRule="auto"/>
              <w:jc w:val="center"/>
              <w:rPr>
                <w:rFonts w:ascii="Times New Roman" w:eastAsia="Calibri" w:hAnsi="Times New Roman" w:cs="Times New Roman"/>
                <w:bCs/>
                <w:sz w:val="20"/>
                <w:szCs w:val="20"/>
                <w:lang w:val="ro-MD" w:eastAsia="nl-NL"/>
              </w:rPr>
            </w:pPr>
            <w:r>
              <w:rPr>
                <w:rFonts w:ascii="Times New Roman" w:eastAsia="Calibri" w:hAnsi="Times New Roman" w:cs="Times New Roman"/>
                <w:bCs/>
                <w:sz w:val="20"/>
                <w:szCs w:val="20"/>
                <w:lang w:val="ro-MD" w:eastAsia="nl-NL"/>
              </w:rPr>
              <w:t>0</w:t>
            </w:r>
          </w:p>
        </w:tc>
        <w:tc>
          <w:tcPr>
            <w:tcW w:w="1561" w:type="dxa"/>
          </w:tcPr>
          <w:p w:rsidR="00CC269D" w:rsidRPr="004C0446" w:rsidRDefault="00CC269D" w:rsidP="00334505">
            <w:pPr>
              <w:spacing w:after="0" w:line="240" w:lineRule="auto"/>
              <w:jc w:val="both"/>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Raport de autoevaluare MOLDAC prezentat echipei EA - 1</w:t>
            </w:r>
          </w:p>
          <w:p w:rsidR="00CC269D" w:rsidRPr="004C0446" w:rsidRDefault="00CC269D" w:rsidP="00334505">
            <w:pPr>
              <w:spacing w:after="0" w:line="240" w:lineRule="auto"/>
              <w:jc w:val="both"/>
              <w:rPr>
                <w:rFonts w:ascii="Times New Roman" w:eastAsia="Calibri" w:hAnsi="Times New Roman" w:cs="Times New Roman"/>
                <w:color w:val="000000"/>
                <w:sz w:val="20"/>
                <w:szCs w:val="20"/>
                <w:lang w:val="ro-RO"/>
              </w:rPr>
            </w:pPr>
          </w:p>
        </w:tc>
        <w:tc>
          <w:tcPr>
            <w:tcW w:w="1560" w:type="dxa"/>
          </w:tcPr>
          <w:p w:rsidR="00CC269D" w:rsidRPr="004C0446" w:rsidRDefault="00CC269D" w:rsidP="00334505">
            <w:pPr>
              <w:spacing w:after="0" w:line="240" w:lineRule="auto"/>
              <w:jc w:val="both"/>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1</w:t>
            </w:r>
          </w:p>
          <w:p w:rsidR="00CC269D" w:rsidRPr="004C0446" w:rsidRDefault="00CC269D" w:rsidP="00334505">
            <w:pPr>
              <w:spacing w:after="0" w:line="240" w:lineRule="auto"/>
              <w:ind w:left="168"/>
              <w:rPr>
                <w:rFonts w:ascii="Times New Roman" w:eastAsia="Calibri" w:hAnsi="Times New Roman" w:cs="Times New Roman"/>
                <w:sz w:val="20"/>
                <w:szCs w:val="20"/>
                <w:lang w:val="ro-MD"/>
              </w:rPr>
            </w:pPr>
          </w:p>
        </w:tc>
        <w:tc>
          <w:tcPr>
            <w:tcW w:w="1418" w:type="dxa"/>
          </w:tcPr>
          <w:p w:rsidR="00CC269D" w:rsidRPr="004C0446" w:rsidRDefault="00CC269D" w:rsidP="00334505">
            <w:pPr>
              <w:spacing w:after="0" w:line="240" w:lineRule="auto"/>
              <w:rPr>
                <w:rFonts w:ascii="Times New Roman" w:eastAsia="Calibri" w:hAnsi="Times New Roman" w:cs="Times New Roman"/>
                <w:bCs/>
                <w:i/>
                <w:sz w:val="20"/>
                <w:szCs w:val="20"/>
                <w:lang w:val="ro-MD"/>
              </w:rPr>
            </w:pPr>
            <w:r w:rsidRPr="004C0446">
              <w:rPr>
                <w:rFonts w:ascii="Times New Roman" w:eastAsia="Calibri" w:hAnsi="Times New Roman" w:cs="Times New Roman"/>
                <w:sz w:val="20"/>
                <w:szCs w:val="20"/>
                <w:lang w:val="ro-MD"/>
              </w:rPr>
              <w:t>-</w:t>
            </w:r>
          </w:p>
          <w:p w:rsidR="00CC269D" w:rsidRPr="004C0446" w:rsidRDefault="00CC269D" w:rsidP="00334505">
            <w:pPr>
              <w:spacing w:after="0" w:line="240" w:lineRule="auto"/>
              <w:rPr>
                <w:rFonts w:ascii="Times New Roman" w:eastAsia="Calibri" w:hAnsi="Times New Roman" w:cs="Times New Roman"/>
                <w:sz w:val="20"/>
                <w:szCs w:val="20"/>
                <w:lang w:val="ro-MD"/>
              </w:rPr>
            </w:pPr>
          </w:p>
        </w:tc>
        <w:tc>
          <w:tcPr>
            <w:tcW w:w="1231" w:type="dxa"/>
            <w:gridSpan w:val="2"/>
            <w:vMerge w:val="restart"/>
          </w:tcPr>
          <w:p w:rsidR="00CC269D" w:rsidRPr="00CC269D" w:rsidRDefault="00CC269D" w:rsidP="00334505">
            <w:pPr>
              <w:spacing w:after="0" w:line="240" w:lineRule="auto"/>
              <w:rPr>
                <w:rFonts w:ascii="Times New Roman" w:eastAsia="Calibri" w:hAnsi="Times New Roman" w:cs="Times New Roman"/>
                <w:sz w:val="18"/>
                <w:szCs w:val="18"/>
                <w:lang w:val="en-US"/>
              </w:rPr>
            </w:pPr>
            <w:r w:rsidRPr="00CC269D">
              <w:rPr>
                <w:rFonts w:ascii="Times New Roman" w:eastAsia="Calibri" w:hAnsi="Times New Roman" w:cs="Times New Roman"/>
                <w:sz w:val="18"/>
                <w:szCs w:val="18"/>
                <w:lang w:val="en-US"/>
              </w:rPr>
              <w:t xml:space="preserve">Finanţarea echipei evaluatorilor organizaţiei europene de acreditare EA (6 evaluatori), în procesul de evaluare a Centrului Naţional de Acreditare </w:t>
            </w:r>
            <w:r w:rsidRPr="00CC269D">
              <w:rPr>
                <w:rFonts w:ascii="Times New Roman" w:eastAsia="Calibri" w:hAnsi="Times New Roman" w:cs="Times New Roman"/>
                <w:sz w:val="18"/>
                <w:szCs w:val="18"/>
                <w:lang w:val="en-US"/>
              </w:rPr>
              <w:lastRenderedPageBreak/>
              <w:t>MOLDAC, cu scopul semnării Acordului de recunoaştere bilaterală în cadrul Cooperării Europene pentru Acreditare (EA BLA)</w:t>
            </w:r>
          </w:p>
          <w:p w:rsidR="00CC269D" w:rsidRPr="00CC269D" w:rsidRDefault="00CC269D" w:rsidP="00334505">
            <w:pPr>
              <w:spacing w:after="0" w:line="240" w:lineRule="auto"/>
              <w:rPr>
                <w:rFonts w:ascii="Times New Roman" w:eastAsia="Calibri" w:hAnsi="Times New Roman" w:cs="Times New Roman"/>
                <w:sz w:val="18"/>
                <w:szCs w:val="18"/>
                <w:lang w:val="en-US"/>
              </w:rPr>
            </w:pPr>
          </w:p>
        </w:tc>
      </w:tr>
      <w:tr w:rsidR="00CC269D" w:rsidRPr="00E943D3" w:rsidTr="00CC269D">
        <w:trPr>
          <w:trHeight w:val="1132"/>
        </w:trPr>
        <w:tc>
          <w:tcPr>
            <w:tcW w:w="1802" w:type="dxa"/>
            <w:gridSpan w:val="2"/>
            <w:vMerge/>
          </w:tcPr>
          <w:p w:rsidR="00CC269D" w:rsidRPr="004C0446" w:rsidRDefault="00CC269D" w:rsidP="00334505">
            <w:pPr>
              <w:spacing w:after="0" w:line="240" w:lineRule="auto"/>
              <w:rPr>
                <w:rFonts w:ascii="Times New Roman" w:eastAsia="Calibri" w:hAnsi="Times New Roman" w:cs="Times New Roman"/>
                <w:sz w:val="20"/>
                <w:szCs w:val="20"/>
                <w:lang w:val="ro-MD"/>
              </w:rPr>
            </w:pPr>
          </w:p>
        </w:tc>
        <w:tc>
          <w:tcPr>
            <w:tcW w:w="2411" w:type="dxa"/>
          </w:tcPr>
          <w:p w:rsidR="00CC269D" w:rsidRPr="004C0446" w:rsidRDefault="00CC269D" w:rsidP="00B32806">
            <w:pPr>
              <w:spacing w:after="40" w:line="240" w:lineRule="auto"/>
              <w:rPr>
                <w:rFonts w:ascii="Times New Roman" w:eastAsia="Calibri" w:hAnsi="Times New Roman" w:cs="Times New Roman"/>
                <w:color w:val="000000"/>
                <w:sz w:val="20"/>
                <w:szCs w:val="20"/>
                <w:lang w:val="en-US"/>
              </w:rPr>
            </w:pPr>
            <w:r w:rsidRPr="004C0446">
              <w:rPr>
                <w:rFonts w:ascii="Times New Roman" w:eastAsia="Calibri" w:hAnsi="Times New Roman" w:cs="Times New Roman"/>
                <w:color w:val="000000"/>
                <w:sz w:val="20"/>
                <w:szCs w:val="20"/>
                <w:lang w:val="en-US"/>
              </w:rPr>
              <w:t>Pregătirea evaluatorilor șefi din cadrul MOLDAC în calitate de evaluatori EA pentru participare în evaluările paritare ale organismelor de acreditare semnatare EA MLA</w:t>
            </w:r>
            <w:r w:rsidR="00A95A3C">
              <w:rPr>
                <w:rFonts w:ascii="Times New Roman" w:eastAsia="Calibri" w:hAnsi="Times New Roman" w:cs="Times New Roman"/>
                <w:color w:val="000000"/>
                <w:sz w:val="20"/>
                <w:szCs w:val="20"/>
                <w:lang w:val="en-US"/>
              </w:rPr>
              <w:t>.</w:t>
            </w:r>
          </w:p>
        </w:tc>
        <w:tc>
          <w:tcPr>
            <w:tcW w:w="3639" w:type="dxa"/>
            <w:gridSpan w:val="2"/>
            <w:vMerge/>
          </w:tcPr>
          <w:p w:rsidR="00CC269D" w:rsidRPr="004C0446" w:rsidRDefault="00CC269D" w:rsidP="00CC269D">
            <w:pPr>
              <w:spacing w:after="0" w:line="240" w:lineRule="auto"/>
              <w:ind w:right="55"/>
              <w:rPr>
                <w:rFonts w:ascii="Times New Roman" w:eastAsia="Times New Roman" w:hAnsi="Times New Roman" w:cs="Times New Roman"/>
                <w:sz w:val="20"/>
                <w:szCs w:val="20"/>
                <w:lang w:val="ro-RO"/>
              </w:rPr>
            </w:pPr>
          </w:p>
        </w:tc>
        <w:tc>
          <w:tcPr>
            <w:tcW w:w="1135" w:type="dxa"/>
          </w:tcPr>
          <w:p w:rsidR="00CC269D" w:rsidRPr="00CC269D" w:rsidRDefault="00CC269D" w:rsidP="00FC2A00">
            <w:pPr>
              <w:spacing w:after="0" w:line="240" w:lineRule="auto"/>
              <w:ind w:right="27"/>
              <w:jc w:val="center"/>
              <w:rPr>
                <w:rFonts w:ascii="Times New Roman" w:eastAsia="Calibri" w:hAnsi="Times New Roman"/>
                <w:bCs/>
                <w:sz w:val="20"/>
                <w:szCs w:val="20"/>
                <w:lang w:val="ro-MD" w:eastAsia="nl-NL"/>
              </w:rPr>
            </w:pPr>
            <w:r w:rsidRPr="00CC269D">
              <w:rPr>
                <w:rFonts w:ascii="Times New Roman" w:eastAsia="Calibri" w:hAnsi="Times New Roman"/>
                <w:bCs/>
                <w:sz w:val="20"/>
                <w:szCs w:val="20"/>
                <w:lang w:val="ro-MD" w:eastAsia="nl-NL"/>
              </w:rPr>
              <w:t>231,0</w:t>
            </w:r>
          </w:p>
          <w:p w:rsidR="00CC269D" w:rsidRPr="00CC269D" w:rsidRDefault="00CC269D" w:rsidP="00334505">
            <w:pPr>
              <w:spacing w:after="0" w:line="240" w:lineRule="auto"/>
              <w:ind w:right="27"/>
              <w:jc w:val="center"/>
              <w:rPr>
                <w:rFonts w:ascii="Times New Roman" w:eastAsia="Calibri" w:hAnsi="Times New Roman" w:cs="Times New Roman"/>
                <w:bCs/>
                <w:sz w:val="20"/>
                <w:szCs w:val="20"/>
                <w:lang w:val="ro-MD" w:eastAsia="nl-NL"/>
              </w:rPr>
            </w:pPr>
          </w:p>
        </w:tc>
        <w:tc>
          <w:tcPr>
            <w:tcW w:w="993" w:type="dxa"/>
          </w:tcPr>
          <w:p w:rsidR="00CC269D" w:rsidRPr="00CC269D" w:rsidRDefault="00CC269D" w:rsidP="00FC2A00">
            <w:pPr>
              <w:spacing w:after="0" w:line="240" w:lineRule="auto"/>
              <w:ind w:right="27"/>
              <w:jc w:val="center"/>
              <w:rPr>
                <w:rFonts w:ascii="Times New Roman" w:eastAsia="Calibri" w:hAnsi="Times New Roman"/>
                <w:bCs/>
                <w:sz w:val="20"/>
                <w:szCs w:val="20"/>
                <w:lang w:val="ro-MD" w:eastAsia="nl-NL"/>
              </w:rPr>
            </w:pPr>
            <w:r w:rsidRPr="00CC269D">
              <w:rPr>
                <w:rFonts w:ascii="Times New Roman" w:eastAsia="Calibri" w:hAnsi="Times New Roman"/>
                <w:bCs/>
                <w:sz w:val="20"/>
                <w:szCs w:val="20"/>
                <w:lang w:val="ro-MD" w:eastAsia="nl-NL"/>
              </w:rPr>
              <w:t>231,0</w:t>
            </w:r>
          </w:p>
          <w:p w:rsidR="00CC269D" w:rsidRPr="00CC269D" w:rsidRDefault="00CC269D" w:rsidP="00334505">
            <w:pPr>
              <w:spacing w:after="0" w:line="240" w:lineRule="auto"/>
              <w:jc w:val="center"/>
              <w:rPr>
                <w:rFonts w:ascii="Times New Roman" w:eastAsia="Calibri" w:hAnsi="Times New Roman" w:cs="Times New Roman"/>
                <w:bCs/>
                <w:sz w:val="20"/>
                <w:szCs w:val="20"/>
                <w:lang w:val="ro-MD" w:eastAsia="nl-NL"/>
              </w:rPr>
            </w:pPr>
          </w:p>
        </w:tc>
        <w:tc>
          <w:tcPr>
            <w:tcW w:w="1561" w:type="dxa"/>
          </w:tcPr>
          <w:p w:rsidR="00CC269D" w:rsidRPr="004C0446" w:rsidRDefault="00CC269D" w:rsidP="00A95A3C">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Numărul de participări la activităţi (3 evaluat</w:t>
            </w:r>
            <w:r w:rsidR="00A95A3C">
              <w:rPr>
                <w:rFonts w:ascii="Times New Roman" w:eastAsia="Calibri" w:hAnsi="Times New Roman" w:cs="Times New Roman"/>
                <w:color w:val="000000"/>
                <w:sz w:val="20"/>
                <w:szCs w:val="20"/>
                <w:lang w:val="ro-RO"/>
              </w:rPr>
              <w:t>ori şefi / 4 participări anual)</w:t>
            </w:r>
          </w:p>
        </w:tc>
        <w:tc>
          <w:tcPr>
            <w:tcW w:w="1560" w:type="dxa"/>
          </w:tcPr>
          <w:p w:rsidR="00CC269D" w:rsidRPr="004C0446" w:rsidRDefault="00CC269D" w:rsidP="00334505">
            <w:pPr>
              <w:spacing w:after="0" w:line="240" w:lineRule="auto"/>
              <w:jc w:val="both"/>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0</w:t>
            </w:r>
          </w:p>
          <w:p w:rsidR="00CC269D" w:rsidRPr="004C0446" w:rsidRDefault="00CC269D" w:rsidP="00334505">
            <w:pPr>
              <w:spacing w:after="0" w:line="240" w:lineRule="auto"/>
              <w:jc w:val="both"/>
              <w:rPr>
                <w:rFonts w:ascii="Times New Roman" w:eastAsia="Calibri" w:hAnsi="Times New Roman" w:cs="Times New Roman"/>
                <w:color w:val="000000"/>
                <w:sz w:val="20"/>
                <w:szCs w:val="20"/>
                <w:lang w:val="ro-RO"/>
              </w:rPr>
            </w:pPr>
          </w:p>
        </w:tc>
        <w:tc>
          <w:tcPr>
            <w:tcW w:w="1418" w:type="dxa"/>
          </w:tcPr>
          <w:p w:rsidR="00CC269D" w:rsidRPr="004C0446" w:rsidRDefault="00A77742" w:rsidP="00334505">
            <w:pPr>
              <w:spacing w:after="0" w:line="240" w:lineRule="auto"/>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-3/-4</w:t>
            </w:r>
          </w:p>
          <w:p w:rsidR="00CC269D" w:rsidRPr="004C0446" w:rsidRDefault="00CC269D" w:rsidP="00334505">
            <w:pPr>
              <w:spacing w:after="0" w:line="240" w:lineRule="auto"/>
              <w:rPr>
                <w:rFonts w:ascii="Times New Roman" w:eastAsia="Calibri" w:hAnsi="Times New Roman" w:cs="Times New Roman"/>
                <w:sz w:val="20"/>
                <w:szCs w:val="20"/>
                <w:lang w:val="ro-RO"/>
              </w:rPr>
            </w:pPr>
            <w:r w:rsidRPr="004C0446">
              <w:rPr>
                <w:rFonts w:ascii="Times New Roman" w:eastAsia="Times New Roman" w:hAnsi="Times New Roman" w:cs="Times New Roman"/>
                <w:sz w:val="20"/>
                <w:szCs w:val="20"/>
                <w:lang w:val="ro-RO" w:eastAsia="ru-RU"/>
              </w:rPr>
              <w:t>Acțiunea dată a fost transferată de EA pentru luna februarie 2017.</w:t>
            </w:r>
          </w:p>
        </w:tc>
        <w:tc>
          <w:tcPr>
            <w:tcW w:w="1231" w:type="dxa"/>
            <w:gridSpan w:val="2"/>
            <w:vMerge/>
          </w:tcPr>
          <w:p w:rsidR="00CC269D" w:rsidRPr="004C0446" w:rsidRDefault="00CC269D" w:rsidP="00334505">
            <w:pPr>
              <w:spacing w:after="0" w:line="240" w:lineRule="auto"/>
              <w:rPr>
                <w:rFonts w:ascii="Times New Roman" w:eastAsia="Calibri" w:hAnsi="Times New Roman" w:cs="Times New Roman"/>
                <w:sz w:val="20"/>
                <w:szCs w:val="20"/>
                <w:lang w:val="ro-MD"/>
              </w:rPr>
            </w:pPr>
          </w:p>
        </w:tc>
      </w:tr>
      <w:tr w:rsidR="00CC269D" w:rsidRPr="00FC2A00" w:rsidTr="00FB650E">
        <w:trPr>
          <w:trHeight w:val="1131"/>
        </w:trPr>
        <w:tc>
          <w:tcPr>
            <w:tcW w:w="1802" w:type="dxa"/>
            <w:gridSpan w:val="2"/>
            <w:vMerge/>
          </w:tcPr>
          <w:p w:rsidR="00CC269D" w:rsidRPr="004C0446" w:rsidRDefault="00CC269D" w:rsidP="00334505">
            <w:pPr>
              <w:spacing w:after="0" w:line="240" w:lineRule="auto"/>
              <w:rPr>
                <w:rFonts w:ascii="Times New Roman" w:eastAsia="Calibri" w:hAnsi="Times New Roman" w:cs="Times New Roman"/>
                <w:sz w:val="20"/>
                <w:szCs w:val="20"/>
                <w:lang w:val="ro-MD"/>
              </w:rPr>
            </w:pPr>
          </w:p>
        </w:tc>
        <w:tc>
          <w:tcPr>
            <w:tcW w:w="2411" w:type="dxa"/>
          </w:tcPr>
          <w:p w:rsidR="00CC269D" w:rsidRPr="00CC269D" w:rsidRDefault="00CC269D" w:rsidP="00CC269D">
            <w:pPr>
              <w:spacing w:after="40" w:line="240" w:lineRule="auto"/>
              <w:rPr>
                <w:rFonts w:ascii="Times New Roman" w:eastAsia="Calibri" w:hAnsi="Times New Roman" w:cs="Times New Roman"/>
                <w:color w:val="000000"/>
                <w:sz w:val="20"/>
                <w:szCs w:val="20"/>
                <w:lang w:val="en-US"/>
              </w:rPr>
            </w:pPr>
            <w:r w:rsidRPr="00CC269D">
              <w:rPr>
                <w:rFonts w:ascii="Times New Roman" w:eastAsia="Calibri" w:hAnsi="Times New Roman" w:cs="Times New Roman"/>
                <w:color w:val="000000"/>
                <w:sz w:val="20"/>
                <w:szCs w:val="20"/>
                <w:lang w:val="en-US"/>
              </w:rPr>
              <w:t>Activităţi necesare sprijinirii politicii publice în domeniul acreditării şi evaluării conformităţii</w:t>
            </w:r>
            <w:r w:rsidR="00A95A3C">
              <w:rPr>
                <w:rFonts w:ascii="Times New Roman" w:eastAsia="Calibri" w:hAnsi="Times New Roman" w:cs="Times New Roman"/>
                <w:color w:val="000000"/>
                <w:sz w:val="20"/>
                <w:szCs w:val="20"/>
                <w:lang w:val="en-US"/>
              </w:rPr>
              <w:t>.</w:t>
            </w:r>
          </w:p>
          <w:p w:rsidR="00CC269D" w:rsidRPr="00CC269D" w:rsidRDefault="00CC269D" w:rsidP="00B32806">
            <w:pPr>
              <w:spacing w:after="40" w:line="240" w:lineRule="auto"/>
              <w:rPr>
                <w:rFonts w:ascii="Times New Roman" w:eastAsia="Calibri" w:hAnsi="Times New Roman" w:cs="Times New Roman"/>
                <w:color w:val="000000"/>
                <w:sz w:val="20"/>
                <w:szCs w:val="20"/>
                <w:lang w:val="ro-MD"/>
              </w:rPr>
            </w:pPr>
          </w:p>
        </w:tc>
        <w:tc>
          <w:tcPr>
            <w:tcW w:w="3639" w:type="dxa"/>
            <w:gridSpan w:val="2"/>
          </w:tcPr>
          <w:p w:rsidR="00CC269D" w:rsidRPr="00CC269D" w:rsidRDefault="00CC269D" w:rsidP="00CC269D">
            <w:pPr>
              <w:spacing w:after="0" w:line="240" w:lineRule="auto"/>
              <w:ind w:right="55"/>
              <w:rPr>
                <w:rFonts w:ascii="Times New Roman" w:eastAsia="Times New Roman" w:hAnsi="Times New Roman" w:cs="Times New Roman"/>
                <w:sz w:val="20"/>
                <w:szCs w:val="20"/>
                <w:lang w:val="en-US"/>
              </w:rPr>
            </w:pPr>
            <w:r w:rsidRPr="00CC269D">
              <w:rPr>
                <w:rFonts w:ascii="Times New Roman" w:hAnsi="Times New Roman"/>
                <w:sz w:val="20"/>
                <w:szCs w:val="20"/>
                <w:lang w:val="ro-RO"/>
              </w:rPr>
              <w:t xml:space="preserve">A fost efectuată analiza diferenţelor </w:t>
            </w:r>
            <w:r w:rsidRPr="00CC269D">
              <w:rPr>
                <w:rFonts w:ascii="Times New Roman" w:hAnsi="Times New Roman"/>
                <w:sz w:val="20"/>
                <w:szCs w:val="20"/>
                <w:lang w:val="en-US"/>
              </w:rPr>
              <w:t>dintre cerinţele din legislaţia şi standardele Republicii Moldova şi legislaţia şi standardele Federaţiei Ruse pentru produsele industriale importate din Federaţia Rusă pentru care sunt aprobate reglementări tehnice naţionale</w:t>
            </w:r>
            <w:r>
              <w:rPr>
                <w:rFonts w:ascii="Times New Roman" w:hAnsi="Times New Roman"/>
                <w:sz w:val="20"/>
                <w:szCs w:val="20"/>
                <w:lang w:val="en-US"/>
              </w:rPr>
              <w:t>.</w:t>
            </w:r>
          </w:p>
        </w:tc>
        <w:tc>
          <w:tcPr>
            <w:tcW w:w="1135" w:type="dxa"/>
          </w:tcPr>
          <w:p w:rsidR="00CC269D" w:rsidRPr="00CC269D" w:rsidRDefault="00CC269D" w:rsidP="00FC2A00">
            <w:pPr>
              <w:spacing w:after="0" w:line="240" w:lineRule="auto"/>
              <w:ind w:right="27"/>
              <w:jc w:val="center"/>
              <w:rPr>
                <w:rFonts w:ascii="Times New Roman" w:eastAsia="Calibri" w:hAnsi="Times New Roman"/>
                <w:bCs/>
                <w:sz w:val="20"/>
                <w:szCs w:val="20"/>
                <w:lang w:val="ro-MD" w:eastAsia="nl-NL"/>
              </w:rPr>
            </w:pPr>
            <w:r w:rsidRPr="00CC269D">
              <w:rPr>
                <w:rFonts w:ascii="Times New Roman" w:eastAsia="Calibri" w:hAnsi="Times New Roman"/>
                <w:bCs/>
                <w:sz w:val="20"/>
                <w:szCs w:val="20"/>
                <w:lang w:val="ro-MD" w:eastAsia="nl-NL"/>
              </w:rPr>
              <w:t>216,8</w:t>
            </w:r>
          </w:p>
        </w:tc>
        <w:tc>
          <w:tcPr>
            <w:tcW w:w="993" w:type="dxa"/>
          </w:tcPr>
          <w:p w:rsidR="00CC269D" w:rsidRPr="00CC269D" w:rsidRDefault="00CC269D" w:rsidP="00FC2A00">
            <w:pPr>
              <w:spacing w:after="0" w:line="240" w:lineRule="auto"/>
              <w:ind w:right="27"/>
              <w:jc w:val="center"/>
              <w:rPr>
                <w:rFonts w:ascii="Times New Roman" w:eastAsia="Calibri" w:hAnsi="Times New Roman"/>
                <w:bCs/>
                <w:sz w:val="20"/>
                <w:szCs w:val="20"/>
                <w:lang w:val="ro-MD" w:eastAsia="nl-NL"/>
              </w:rPr>
            </w:pPr>
            <w:r w:rsidRPr="00CC269D">
              <w:rPr>
                <w:rFonts w:ascii="Times New Roman" w:eastAsia="Calibri" w:hAnsi="Times New Roman"/>
                <w:bCs/>
                <w:sz w:val="20"/>
                <w:szCs w:val="20"/>
                <w:lang w:val="ro-MD" w:eastAsia="nl-NL"/>
              </w:rPr>
              <w:t>216,8</w:t>
            </w:r>
          </w:p>
        </w:tc>
        <w:tc>
          <w:tcPr>
            <w:tcW w:w="1561" w:type="dxa"/>
          </w:tcPr>
          <w:p w:rsidR="00CC269D" w:rsidRPr="00CC269D" w:rsidRDefault="00CC269D" w:rsidP="00B32806">
            <w:pPr>
              <w:spacing w:after="0" w:line="240" w:lineRule="auto"/>
              <w:rPr>
                <w:rFonts w:ascii="Times New Roman" w:eastAsia="Calibri" w:hAnsi="Times New Roman" w:cs="Times New Roman"/>
                <w:color w:val="000000"/>
                <w:sz w:val="20"/>
                <w:szCs w:val="20"/>
                <w:lang w:val="ro-RO"/>
              </w:rPr>
            </w:pPr>
            <w:r w:rsidRPr="00CC269D">
              <w:rPr>
                <w:rFonts w:ascii="Times New Roman" w:hAnsi="Times New Roman"/>
                <w:sz w:val="20"/>
                <w:szCs w:val="20"/>
              </w:rPr>
              <w:t>Hotărîri de Guvern analizate</w:t>
            </w:r>
            <w:r w:rsidRPr="00CC269D">
              <w:rPr>
                <w:rFonts w:ascii="Times New Roman" w:hAnsi="Times New Roman"/>
                <w:sz w:val="20"/>
                <w:szCs w:val="20"/>
                <w:lang w:val="ro-RO"/>
              </w:rPr>
              <w:t xml:space="preserve"> - </w:t>
            </w:r>
            <w:r w:rsidRPr="00CC269D">
              <w:rPr>
                <w:rFonts w:ascii="Times New Roman" w:hAnsi="Times New Roman"/>
                <w:sz w:val="20"/>
                <w:szCs w:val="20"/>
              </w:rPr>
              <w:t>13</w:t>
            </w:r>
          </w:p>
        </w:tc>
        <w:tc>
          <w:tcPr>
            <w:tcW w:w="1560" w:type="dxa"/>
          </w:tcPr>
          <w:p w:rsidR="00CC269D" w:rsidRPr="004C0446" w:rsidRDefault="00CC269D" w:rsidP="00334505">
            <w:pPr>
              <w:spacing w:after="0" w:line="240" w:lineRule="auto"/>
              <w:jc w:val="both"/>
              <w:rPr>
                <w:rFonts w:ascii="Times New Roman" w:eastAsia="Calibri" w:hAnsi="Times New Roman" w:cs="Times New Roman"/>
                <w:color w:val="000000"/>
                <w:sz w:val="20"/>
                <w:szCs w:val="20"/>
                <w:lang w:val="ro-RO"/>
              </w:rPr>
            </w:pPr>
            <w:r>
              <w:rPr>
                <w:rFonts w:ascii="Times New Roman" w:eastAsia="Calibri" w:hAnsi="Times New Roman" w:cs="Times New Roman"/>
                <w:color w:val="000000"/>
                <w:sz w:val="20"/>
                <w:szCs w:val="20"/>
                <w:lang w:val="ro-RO"/>
              </w:rPr>
              <w:t>13</w:t>
            </w:r>
          </w:p>
        </w:tc>
        <w:tc>
          <w:tcPr>
            <w:tcW w:w="1418" w:type="dxa"/>
          </w:tcPr>
          <w:p w:rsidR="00CC269D" w:rsidRPr="004C0446" w:rsidRDefault="00CC269D" w:rsidP="00334505">
            <w:pPr>
              <w:spacing w:after="0" w:line="240" w:lineRule="auto"/>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w:t>
            </w:r>
          </w:p>
        </w:tc>
        <w:tc>
          <w:tcPr>
            <w:tcW w:w="1231" w:type="dxa"/>
            <w:gridSpan w:val="2"/>
            <w:vMerge/>
          </w:tcPr>
          <w:p w:rsidR="00CC269D" w:rsidRPr="004C0446" w:rsidRDefault="00CC269D" w:rsidP="00334505">
            <w:pPr>
              <w:spacing w:after="0" w:line="240" w:lineRule="auto"/>
              <w:rPr>
                <w:rFonts w:ascii="Times New Roman" w:eastAsia="Calibri" w:hAnsi="Times New Roman" w:cs="Times New Roman"/>
                <w:sz w:val="20"/>
                <w:szCs w:val="20"/>
                <w:lang w:val="ro-MD"/>
              </w:rPr>
            </w:pPr>
          </w:p>
        </w:tc>
      </w:tr>
      <w:tr w:rsidR="00334505" w:rsidRPr="004C0446" w:rsidTr="00FB650E">
        <w:trPr>
          <w:trHeight w:val="373"/>
        </w:trPr>
        <w:tc>
          <w:tcPr>
            <w:tcW w:w="7852" w:type="dxa"/>
            <w:gridSpan w:val="5"/>
            <w:shd w:val="clear" w:color="auto" w:fill="EAF1DD" w:themeFill="accent3"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Total subprogram, mii lei</w:t>
            </w:r>
          </w:p>
        </w:tc>
        <w:tc>
          <w:tcPr>
            <w:tcW w:w="1135" w:type="dxa"/>
            <w:shd w:val="clear" w:color="auto" w:fill="EAF1DD" w:themeFill="accent3" w:themeFillTint="33"/>
            <w:vAlign w:val="center"/>
          </w:tcPr>
          <w:p w:rsidR="00334505" w:rsidRPr="00CC269D" w:rsidRDefault="00334505" w:rsidP="00334505">
            <w:pPr>
              <w:spacing w:after="0" w:line="240" w:lineRule="auto"/>
              <w:ind w:right="27"/>
              <w:jc w:val="center"/>
              <w:rPr>
                <w:rFonts w:ascii="Times New Roman" w:eastAsia="Calibri" w:hAnsi="Times New Roman" w:cs="Times New Roman"/>
                <w:b/>
                <w:bCs/>
                <w:sz w:val="20"/>
                <w:szCs w:val="20"/>
                <w:lang w:val="ro-MD" w:eastAsia="nl-NL"/>
              </w:rPr>
            </w:pPr>
            <w:r w:rsidRPr="00CC269D">
              <w:rPr>
                <w:rFonts w:ascii="Times New Roman" w:eastAsia="Calibri" w:hAnsi="Times New Roman" w:cs="Times New Roman"/>
                <w:b/>
                <w:bCs/>
                <w:sz w:val="20"/>
                <w:szCs w:val="20"/>
                <w:lang w:val="ro-MD" w:eastAsia="nl-NL"/>
              </w:rPr>
              <w:t>2180,8</w:t>
            </w:r>
          </w:p>
        </w:tc>
        <w:tc>
          <w:tcPr>
            <w:tcW w:w="993" w:type="dxa"/>
            <w:shd w:val="clear" w:color="auto" w:fill="EAF1DD" w:themeFill="accent3" w:themeFillTint="33"/>
            <w:vAlign w:val="center"/>
          </w:tcPr>
          <w:p w:rsidR="00334505" w:rsidRPr="00CC269D" w:rsidRDefault="00334505" w:rsidP="00334505">
            <w:pPr>
              <w:spacing w:after="0" w:line="240" w:lineRule="auto"/>
              <w:jc w:val="center"/>
              <w:rPr>
                <w:rFonts w:ascii="Times New Roman" w:eastAsia="Calibri" w:hAnsi="Times New Roman" w:cs="Times New Roman"/>
                <w:b/>
                <w:bCs/>
                <w:sz w:val="20"/>
                <w:szCs w:val="20"/>
                <w:lang w:val="ro-MD" w:eastAsia="nl-NL"/>
              </w:rPr>
            </w:pPr>
            <w:r w:rsidRPr="00CC269D">
              <w:rPr>
                <w:rFonts w:ascii="Times New Roman" w:eastAsia="Calibri" w:hAnsi="Times New Roman" w:cs="Times New Roman"/>
                <w:b/>
                <w:bCs/>
                <w:sz w:val="20"/>
                <w:szCs w:val="20"/>
                <w:lang w:val="ro-MD" w:eastAsia="nl-NL"/>
              </w:rPr>
              <w:t>2180,8</w:t>
            </w:r>
          </w:p>
        </w:tc>
        <w:tc>
          <w:tcPr>
            <w:tcW w:w="1561" w:type="dxa"/>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560" w:type="dxa"/>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418" w:type="dxa"/>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231" w:type="dxa"/>
            <w:gridSpan w:val="2"/>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b/>
                <w:sz w:val="20"/>
                <w:szCs w:val="20"/>
                <w:lang w:val="ro-MD"/>
              </w:rPr>
            </w:pPr>
          </w:p>
        </w:tc>
      </w:tr>
      <w:tr w:rsidR="00334505" w:rsidRPr="004C0446" w:rsidTr="00C27A68">
        <w:trPr>
          <w:trHeight w:val="373"/>
        </w:trPr>
        <w:tc>
          <w:tcPr>
            <w:tcW w:w="7852" w:type="dxa"/>
            <w:gridSpan w:val="5"/>
            <w:tcBorders>
              <w:bottom w:val="single" w:sz="4" w:space="0" w:color="auto"/>
            </w:tcBorders>
            <w:shd w:val="clear" w:color="auto" w:fill="EAF1DD" w:themeFill="accent3" w:themeFillTint="33"/>
            <w:vAlign w:val="center"/>
          </w:tcPr>
          <w:p w:rsidR="00334505" w:rsidRPr="004C0446" w:rsidRDefault="00B32806" w:rsidP="0033450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TOTAL PROGRAM</w:t>
            </w:r>
            <w:r w:rsidR="00334505" w:rsidRPr="004C0446">
              <w:rPr>
                <w:rFonts w:ascii="Times New Roman" w:eastAsia="Calibri" w:hAnsi="Times New Roman" w:cs="Times New Roman"/>
                <w:b/>
                <w:sz w:val="20"/>
                <w:szCs w:val="20"/>
                <w:lang w:val="ro-MD"/>
              </w:rPr>
              <w:t>, mii lei</w:t>
            </w:r>
          </w:p>
        </w:tc>
        <w:tc>
          <w:tcPr>
            <w:tcW w:w="1135" w:type="dxa"/>
            <w:tcBorders>
              <w:bottom w:val="single" w:sz="4" w:space="0" w:color="auto"/>
            </w:tcBorders>
            <w:shd w:val="clear" w:color="auto" w:fill="EAF1DD" w:themeFill="accent3" w:themeFillTint="33"/>
            <w:vAlign w:val="center"/>
          </w:tcPr>
          <w:p w:rsidR="00334505" w:rsidRPr="005911BC" w:rsidRDefault="001B00A7" w:rsidP="00334505">
            <w:pPr>
              <w:spacing w:after="0" w:line="240" w:lineRule="auto"/>
              <w:ind w:right="27"/>
              <w:jc w:val="center"/>
              <w:rPr>
                <w:rFonts w:ascii="Times New Roman" w:eastAsia="Calibri" w:hAnsi="Times New Roman" w:cs="Times New Roman"/>
                <w:b/>
                <w:bCs/>
                <w:sz w:val="20"/>
                <w:szCs w:val="20"/>
                <w:lang w:val="ro-MD" w:eastAsia="nl-NL"/>
              </w:rPr>
            </w:pPr>
            <w:r w:rsidRPr="005911BC">
              <w:rPr>
                <w:rFonts w:ascii="Times New Roman" w:eastAsia="Calibri" w:hAnsi="Times New Roman" w:cs="Times New Roman"/>
                <w:b/>
                <w:bCs/>
                <w:sz w:val="20"/>
                <w:szCs w:val="20"/>
                <w:lang w:val="ro-MD" w:eastAsia="nl-NL"/>
              </w:rPr>
              <w:t>39018,3</w:t>
            </w:r>
          </w:p>
        </w:tc>
        <w:tc>
          <w:tcPr>
            <w:tcW w:w="993" w:type="dxa"/>
            <w:tcBorders>
              <w:bottom w:val="single" w:sz="4" w:space="0" w:color="auto"/>
            </w:tcBorders>
            <w:shd w:val="clear" w:color="auto" w:fill="EAF1DD" w:themeFill="accent3" w:themeFillTint="33"/>
            <w:vAlign w:val="center"/>
          </w:tcPr>
          <w:p w:rsidR="00334505" w:rsidRPr="005911BC" w:rsidRDefault="00334505" w:rsidP="00334505">
            <w:pPr>
              <w:spacing w:after="0" w:line="240" w:lineRule="auto"/>
              <w:jc w:val="center"/>
              <w:rPr>
                <w:rFonts w:ascii="Times New Roman" w:eastAsia="Calibri" w:hAnsi="Times New Roman" w:cs="Times New Roman"/>
                <w:b/>
                <w:bCs/>
                <w:sz w:val="20"/>
                <w:szCs w:val="20"/>
                <w:lang w:val="ro-MD" w:eastAsia="nl-NL"/>
              </w:rPr>
            </w:pPr>
            <w:r w:rsidRPr="005911BC">
              <w:rPr>
                <w:rFonts w:ascii="Times New Roman" w:eastAsia="Calibri" w:hAnsi="Times New Roman" w:cs="Times New Roman"/>
                <w:b/>
                <w:bCs/>
                <w:sz w:val="20"/>
                <w:szCs w:val="20"/>
                <w:lang w:val="ro-MD" w:eastAsia="nl-NL"/>
              </w:rPr>
              <w:t>39018,3</w:t>
            </w:r>
          </w:p>
        </w:tc>
        <w:tc>
          <w:tcPr>
            <w:tcW w:w="1561" w:type="dxa"/>
            <w:tcBorders>
              <w:bottom w:val="single" w:sz="4" w:space="0" w:color="auto"/>
            </w:tcBorders>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560" w:type="dxa"/>
            <w:tcBorders>
              <w:bottom w:val="single" w:sz="4" w:space="0" w:color="auto"/>
            </w:tcBorders>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418" w:type="dxa"/>
            <w:tcBorders>
              <w:bottom w:val="single" w:sz="4" w:space="0" w:color="auto"/>
            </w:tcBorders>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b/>
                <w:sz w:val="20"/>
                <w:szCs w:val="20"/>
                <w:lang w:val="ro-MD"/>
              </w:rPr>
            </w:pPr>
          </w:p>
        </w:tc>
        <w:tc>
          <w:tcPr>
            <w:tcW w:w="1231" w:type="dxa"/>
            <w:gridSpan w:val="2"/>
            <w:tcBorders>
              <w:bottom w:val="single" w:sz="4" w:space="0" w:color="auto"/>
            </w:tcBorders>
            <w:shd w:val="clear" w:color="auto" w:fill="EAF1DD" w:themeFill="accent3" w:themeFillTint="33"/>
          </w:tcPr>
          <w:p w:rsidR="00334505" w:rsidRPr="004C0446" w:rsidRDefault="00334505" w:rsidP="00334505">
            <w:pPr>
              <w:spacing w:after="0" w:line="240" w:lineRule="auto"/>
              <w:rPr>
                <w:rFonts w:ascii="Times New Roman" w:eastAsia="Calibri" w:hAnsi="Times New Roman" w:cs="Times New Roman"/>
                <w:b/>
                <w:sz w:val="20"/>
                <w:szCs w:val="20"/>
                <w:lang w:val="ro-MD"/>
              </w:rPr>
            </w:pPr>
          </w:p>
        </w:tc>
      </w:tr>
      <w:tr w:rsidR="00C27A68" w:rsidRPr="004C0446" w:rsidTr="00C27A68">
        <w:trPr>
          <w:trHeight w:val="373"/>
        </w:trPr>
        <w:tc>
          <w:tcPr>
            <w:tcW w:w="7852" w:type="dxa"/>
            <w:gridSpan w:val="5"/>
            <w:tcBorders>
              <w:left w:val="nil"/>
              <w:bottom w:val="nil"/>
              <w:right w:val="nil"/>
            </w:tcBorders>
            <w:shd w:val="clear" w:color="auto" w:fill="auto"/>
            <w:vAlign w:val="center"/>
          </w:tcPr>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Default="00C27A68" w:rsidP="00334505">
            <w:pPr>
              <w:spacing w:after="0" w:line="240" w:lineRule="auto"/>
              <w:rPr>
                <w:rFonts w:ascii="Times New Roman" w:eastAsia="Calibri" w:hAnsi="Times New Roman" w:cs="Times New Roman"/>
                <w:b/>
                <w:sz w:val="20"/>
                <w:szCs w:val="20"/>
                <w:lang w:val="ro-MD"/>
              </w:rPr>
            </w:pPr>
          </w:p>
          <w:p w:rsidR="00C27A68" w:rsidRPr="004C0446" w:rsidRDefault="00C27A68" w:rsidP="00334505">
            <w:pPr>
              <w:spacing w:after="0" w:line="240" w:lineRule="auto"/>
              <w:rPr>
                <w:rFonts w:ascii="Times New Roman" w:eastAsia="Calibri" w:hAnsi="Times New Roman" w:cs="Times New Roman"/>
                <w:b/>
                <w:sz w:val="20"/>
                <w:szCs w:val="20"/>
                <w:lang w:val="ro-MD"/>
              </w:rPr>
            </w:pPr>
          </w:p>
        </w:tc>
        <w:tc>
          <w:tcPr>
            <w:tcW w:w="1135" w:type="dxa"/>
            <w:tcBorders>
              <w:left w:val="nil"/>
              <w:bottom w:val="nil"/>
              <w:right w:val="nil"/>
            </w:tcBorders>
            <w:shd w:val="clear" w:color="auto" w:fill="auto"/>
            <w:vAlign w:val="center"/>
          </w:tcPr>
          <w:p w:rsidR="00C27A68" w:rsidRPr="005911BC" w:rsidRDefault="00C27A68" w:rsidP="00334505">
            <w:pPr>
              <w:spacing w:after="0" w:line="240" w:lineRule="auto"/>
              <w:ind w:right="27"/>
              <w:jc w:val="center"/>
              <w:rPr>
                <w:rFonts w:ascii="Times New Roman" w:eastAsia="Calibri" w:hAnsi="Times New Roman" w:cs="Times New Roman"/>
                <w:b/>
                <w:bCs/>
                <w:sz w:val="20"/>
                <w:szCs w:val="20"/>
                <w:lang w:val="ro-MD" w:eastAsia="nl-NL"/>
              </w:rPr>
            </w:pPr>
          </w:p>
        </w:tc>
        <w:tc>
          <w:tcPr>
            <w:tcW w:w="993" w:type="dxa"/>
            <w:tcBorders>
              <w:left w:val="nil"/>
              <w:bottom w:val="nil"/>
              <w:right w:val="nil"/>
            </w:tcBorders>
            <w:shd w:val="clear" w:color="auto" w:fill="auto"/>
            <w:vAlign w:val="center"/>
          </w:tcPr>
          <w:p w:rsidR="00C27A68" w:rsidRPr="005911BC" w:rsidRDefault="00C27A68" w:rsidP="00C27A68">
            <w:pPr>
              <w:spacing w:after="0" w:line="240" w:lineRule="auto"/>
              <w:rPr>
                <w:rFonts w:ascii="Times New Roman" w:eastAsia="Calibri" w:hAnsi="Times New Roman" w:cs="Times New Roman"/>
                <w:b/>
                <w:bCs/>
                <w:sz w:val="20"/>
                <w:szCs w:val="20"/>
                <w:lang w:val="ro-MD" w:eastAsia="nl-NL"/>
              </w:rPr>
            </w:pPr>
          </w:p>
        </w:tc>
        <w:tc>
          <w:tcPr>
            <w:tcW w:w="1561" w:type="dxa"/>
            <w:tcBorders>
              <w:left w:val="nil"/>
              <w:bottom w:val="nil"/>
              <w:right w:val="nil"/>
            </w:tcBorders>
            <w:shd w:val="clear" w:color="auto" w:fill="auto"/>
          </w:tcPr>
          <w:p w:rsidR="00C27A68" w:rsidRPr="004C0446" w:rsidRDefault="00C27A68" w:rsidP="00334505">
            <w:pPr>
              <w:spacing w:after="0" w:line="240" w:lineRule="auto"/>
              <w:rPr>
                <w:rFonts w:ascii="Times New Roman" w:eastAsia="Calibri" w:hAnsi="Times New Roman" w:cs="Times New Roman"/>
                <w:b/>
                <w:sz w:val="20"/>
                <w:szCs w:val="20"/>
                <w:lang w:val="ro-MD"/>
              </w:rPr>
            </w:pPr>
          </w:p>
        </w:tc>
        <w:tc>
          <w:tcPr>
            <w:tcW w:w="1560" w:type="dxa"/>
            <w:tcBorders>
              <w:left w:val="nil"/>
              <w:bottom w:val="nil"/>
              <w:right w:val="nil"/>
            </w:tcBorders>
            <w:shd w:val="clear" w:color="auto" w:fill="auto"/>
          </w:tcPr>
          <w:p w:rsidR="00C27A68" w:rsidRPr="004C0446" w:rsidRDefault="00C27A68" w:rsidP="00334505">
            <w:pPr>
              <w:spacing w:after="0" w:line="240" w:lineRule="auto"/>
              <w:rPr>
                <w:rFonts w:ascii="Times New Roman" w:eastAsia="Calibri" w:hAnsi="Times New Roman" w:cs="Times New Roman"/>
                <w:b/>
                <w:sz w:val="20"/>
                <w:szCs w:val="20"/>
                <w:lang w:val="ro-MD"/>
              </w:rPr>
            </w:pPr>
          </w:p>
        </w:tc>
        <w:tc>
          <w:tcPr>
            <w:tcW w:w="1418" w:type="dxa"/>
            <w:tcBorders>
              <w:left w:val="nil"/>
              <w:bottom w:val="nil"/>
              <w:right w:val="nil"/>
            </w:tcBorders>
            <w:shd w:val="clear" w:color="auto" w:fill="auto"/>
          </w:tcPr>
          <w:p w:rsidR="00C27A68" w:rsidRPr="004C0446" w:rsidRDefault="00C27A68" w:rsidP="00334505">
            <w:pPr>
              <w:spacing w:after="0" w:line="240" w:lineRule="auto"/>
              <w:rPr>
                <w:rFonts w:ascii="Times New Roman" w:eastAsia="Calibri" w:hAnsi="Times New Roman" w:cs="Times New Roman"/>
                <w:b/>
                <w:sz w:val="20"/>
                <w:szCs w:val="20"/>
                <w:lang w:val="ro-MD"/>
              </w:rPr>
            </w:pPr>
          </w:p>
        </w:tc>
        <w:tc>
          <w:tcPr>
            <w:tcW w:w="1231" w:type="dxa"/>
            <w:gridSpan w:val="2"/>
            <w:tcBorders>
              <w:left w:val="nil"/>
              <w:bottom w:val="nil"/>
              <w:right w:val="nil"/>
            </w:tcBorders>
            <w:shd w:val="clear" w:color="auto" w:fill="auto"/>
          </w:tcPr>
          <w:p w:rsidR="00C27A68" w:rsidRPr="004C0446" w:rsidRDefault="00C27A68" w:rsidP="00334505">
            <w:pPr>
              <w:spacing w:after="0" w:line="240" w:lineRule="auto"/>
              <w:rPr>
                <w:rFonts w:ascii="Times New Roman" w:eastAsia="Calibri" w:hAnsi="Times New Roman" w:cs="Times New Roman"/>
                <w:b/>
                <w:sz w:val="20"/>
                <w:szCs w:val="20"/>
                <w:lang w:val="ro-MD"/>
              </w:rPr>
            </w:pPr>
          </w:p>
        </w:tc>
      </w:tr>
      <w:tr w:rsidR="00334505" w:rsidRPr="004C0446" w:rsidTr="00090617">
        <w:trPr>
          <w:cantSplit/>
          <w:trHeight w:val="373"/>
        </w:trPr>
        <w:tc>
          <w:tcPr>
            <w:tcW w:w="15750" w:type="dxa"/>
            <w:gridSpan w:val="12"/>
            <w:shd w:val="clear" w:color="auto" w:fill="F2DBDB" w:themeFill="accent2" w:themeFillTint="33"/>
            <w:vAlign w:val="center"/>
          </w:tcPr>
          <w:p w:rsidR="00334505" w:rsidRPr="004C0446" w:rsidRDefault="00334505" w:rsidP="0033450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lastRenderedPageBreak/>
              <w:t>Programul 5000 ”Servicii generale și comerciale”</w:t>
            </w:r>
          </w:p>
          <w:p w:rsidR="00334505" w:rsidRPr="004C0446" w:rsidRDefault="00334505" w:rsidP="00334505">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i/>
                <w:sz w:val="20"/>
                <w:szCs w:val="20"/>
                <w:lang w:val="ro-MD"/>
              </w:rPr>
              <w:t xml:space="preserve">Subprogramul </w:t>
            </w:r>
            <w:r w:rsidRPr="004C0446">
              <w:rPr>
                <w:rFonts w:ascii="Times New Roman" w:eastAsia="Calibri" w:hAnsi="Times New Roman" w:cs="Times New Roman"/>
                <w:b/>
                <w:bCs/>
                <w:i/>
                <w:color w:val="000000"/>
                <w:sz w:val="20"/>
                <w:szCs w:val="20"/>
                <w:lang w:val="ro-RO"/>
              </w:rPr>
              <w:t xml:space="preserve">5008: </w:t>
            </w:r>
            <w:r w:rsidRPr="004C0446">
              <w:rPr>
                <w:rFonts w:ascii="Times New Roman" w:eastAsia="Calibri" w:hAnsi="Times New Roman" w:cs="Times New Roman"/>
                <w:b/>
                <w:bCs/>
                <w:i/>
                <w:color w:val="000000"/>
                <w:sz w:val="20"/>
                <w:szCs w:val="20"/>
                <w:lang w:val="en-US"/>
              </w:rPr>
              <w:t>“</w:t>
            </w:r>
            <w:r w:rsidRPr="004C0446">
              <w:rPr>
                <w:rFonts w:ascii="Times New Roman" w:eastAsia="Calibri" w:hAnsi="Times New Roman" w:cs="Times New Roman"/>
                <w:b/>
                <w:bCs/>
                <w:i/>
                <w:iCs/>
                <w:color w:val="000000"/>
                <w:sz w:val="20"/>
                <w:szCs w:val="20"/>
                <w:lang w:val="ro-RO"/>
              </w:rPr>
              <w:t>Protecţia drepturilor consumatorilor”</w:t>
            </w:r>
          </w:p>
        </w:tc>
      </w:tr>
      <w:tr w:rsidR="002E1EF3" w:rsidRPr="00FB650E" w:rsidTr="00FB650E">
        <w:trPr>
          <w:trHeight w:val="9773"/>
        </w:trPr>
        <w:tc>
          <w:tcPr>
            <w:tcW w:w="1795" w:type="dxa"/>
            <w:vMerge w:val="restart"/>
            <w:shd w:val="clear" w:color="auto" w:fill="auto"/>
          </w:tcPr>
          <w:p w:rsidR="002E1EF3" w:rsidRPr="004C0446" w:rsidRDefault="002E1EF3" w:rsidP="000407C1">
            <w:pPr>
              <w:pStyle w:val="ListParagraph"/>
              <w:numPr>
                <w:ilvl w:val="0"/>
                <w:numId w:val="14"/>
              </w:numPr>
              <w:spacing w:after="40" w:line="240" w:lineRule="auto"/>
              <w:ind w:left="157" w:right="57" w:hanging="180"/>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Diminuarea riscurilor pentru viaţa, sănătatea şi proprietatea consumatorilor care provin din consumul produselor şi serviciilor, păstrînd ponderea numărului de controale planificate la nivelul curent şi asigurînd un grad mai înalt de examinare a petiţiilor şi sesizărilor;</w:t>
            </w:r>
          </w:p>
          <w:p w:rsidR="002E1EF3" w:rsidRPr="004C0446" w:rsidRDefault="002E1EF3" w:rsidP="000407C1">
            <w:pPr>
              <w:numPr>
                <w:ilvl w:val="0"/>
                <w:numId w:val="15"/>
              </w:numPr>
              <w:spacing w:after="40" w:line="240" w:lineRule="auto"/>
              <w:ind w:left="157" w:right="57" w:hanging="1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Fortificarea capacităţilor profesionale</w:t>
            </w:r>
            <w:r w:rsidRPr="004C0446">
              <w:rPr>
                <w:rFonts w:ascii="Times New Roman" w:eastAsia="Calibri" w:hAnsi="Times New Roman" w:cs="Times New Roman"/>
                <w:b/>
                <w:color w:val="000000"/>
                <w:sz w:val="20"/>
                <w:szCs w:val="20"/>
                <w:lang w:val="ro-RO"/>
              </w:rPr>
              <w:t xml:space="preserve"> </w:t>
            </w:r>
            <w:r w:rsidRPr="004C0446">
              <w:rPr>
                <w:rFonts w:ascii="Times New Roman" w:eastAsia="Calibri" w:hAnsi="Times New Roman" w:cs="Times New Roman"/>
                <w:color w:val="000000"/>
                <w:sz w:val="20"/>
                <w:szCs w:val="20"/>
                <w:lang w:val="ro-RO"/>
              </w:rPr>
              <w:t xml:space="preserve">a angajaţilor; </w:t>
            </w:r>
          </w:p>
          <w:p w:rsidR="002E1EF3" w:rsidRPr="004C0446" w:rsidRDefault="002E1EF3" w:rsidP="000407C1">
            <w:pPr>
              <w:numPr>
                <w:ilvl w:val="0"/>
                <w:numId w:val="15"/>
              </w:numPr>
              <w:spacing w:after="40" w:line="240" w:lineRule="auto"/>
              <w:ind w:left="157" w:right="57" w:hanging="1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xml:space="preserve">Dezvoltarea capacităţii decizionale a consumatorilor prin educare şi informare; </w:t>
            </w:r>
          </w:p>
          <w:p w:rsidR="002E1EF3" w:rsidRPr="004C0446" w:rsidRDefault="002E1EF3" w:rsidP="000407C1">
            <w:pPr>
              <w:numPr>
                <w:ilvl w:val="0"/>
                <w:numId w:val="15"/>
              </w:numPr>
              <w:spacing w:after="40" w:line="240" w:lineRule="auto"/>
              <w:ind w:left="157" w:hanging="157"/>
              <w:rPr>
                <w:rFonts w:ascii="Times New Roman" w:eastAsia="Calibri" w:hAnsi="Times New Roman" w:cs="Times New Roman"/>
                <w:color w:val="000000"/>
                <w:sz w:val="20"/>
                <w:szCs w:val="20"/>
                <w:lang w:val="ro-RO" w:eastAsia="ro-RO"/>
              </w:rPr>
            </w:pPr>
            <w:r w:rsidRPr="004C0446">
              <w:rPr>
                <w:rFonts w:ascii="Times New Roman" w:eastAsia="Calibri" w:hAnsi="Times New Roman" w:cs="Times New Roman"/>
                <w:color w:val="000000"/>
                <w:sz w:val="20"/>
                <w:szCs w:val="20"/>
                <w:lang w:val="ro-RO"/>
              </w:rPr>
              <w:t>Intensificarea activităţilor de</w:t>
            </w:r>
            <w:r w:rsidRPr="004C0446">
              <w:rPr>
                <w:rFonts w:ascii="Times New Roman" w:eastAsia="Calibri" w:hAnsi="Times New Roman" w:cs="Times New Roman"/>
                <w:color w:val="000000"/>
                <w:sz w:val="20"/>
                <w:szCs w:val="20"/>
                <w:lang w:val="ro-RO" w:eastAsia="ro-RO"/>
              </w:rPr>
              <w:t xml:space="preserve"> </w:t>
            </w:r>
            <w:r w:rsidRPr="004C0446">
              <w:rPr>
                <w:rFonts w:ascii="Times New Roman" w:eastAsia="Calibri" w:hAnsi="Times New Roman" w:cs="Times New Roman"/>
                <w:color w:val="000000"/>
                <w:sz w:val="20"/>
                <w:szCs w:val="20"/>
                <w:lang w:val="ro-RO"/>
              </w:rPr>
              <w:t>consiliere a agenţilor economici.</w:t>
            </w:r>
          </w:p>
          <w:p w:rsidR="002E1EF3" w:rsidRPr="004C0446" w:rsidRDefault="002E1EF3" w:rsidP="00B32806">
            <w:pPr>
              <w:spacing w:after="40" w:line="240" w:lineRule="auto"/>
              <w:rPr>
                <w:rFonts w:ascii="Times New Roman" w:eastAsia="Calibri" w:hAnsi="Times New Roman" w:cs="Times New Roman"/>
                <w:b/>
                <w:sz w:val="20"/>
                <w:szCs w:val="20"/>
                <w:lang w:val="ro-RO"/>
              </w:rPr>
            </w:pPr>
          </w:p>
        </w:tc>
        <w:tc>
          <w:tcPr>
            <w:tcW w:w="2430" w:type="dxa"/>
            <w:gridSpan w:val="3"/>
            <w:vMerge w:val="restart"/>
            <w:shd w:val="clear" w:color="auto" w:fill="auto"/>
          </w:tcPr>
          <w:p w:rsidR="002E1EF3" w:rsidRPr="004C0446" w:rsidRDefault="002E1EF3" w:rsidP="00B32806">
            <w:pPr>
              <w:tabs>
                <w:tab w:val="left" w:pos="169"/>
              </w:tabs>
              <w:spacing w:after="40" w:line="240" w:lineRule="auto"/>
              <w:ind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Activită</w:t>
            </w:r>
            <w:r w:rsidRPr="004C0446">
              <w:rPr>
                <w:rFonts w:ascii="Cambria Math" w:eastAsia="Calibri" w:hAnsi="Cambria Math" w:cs="Cambria Math"/>
                <w:color w:val="000000"/>
                <w:sz w:val="20"/>
                <w:szCs w:val="20"/>
                <w:lang w:val="ro-RO"/>
              </w:rPr>
              <w:t>ț</w:t>
            </w:r>
            <w:r w:rsidRPr="004C0446">
              <w:rPr>
                <w:rFonts w:ascii="Times New Roman" w:eastAsia="Calibri" w:hAnsi="Times New Roman" w:cs="Times New Roman"/>
                <w:color w:val="000000"/>
                <w:sz w:val="20"/>
                <w:szCs w:val="20"/>
                <w:lang w:val="ro-RO"/>
              </w:rPr>
              <w:t>i de supraveghere a peţei, inclusiv a</w:t>
            </w:r>
            <w:r w:rsidRPr="004C0446">
              <w:rPr>
                <w:rFonts w:ascii="Times New Roman" w:eastAsia="Calibri" w:hAnsi="Times New Roman" w:cs="Times New Roman"/>
                <w:b/>
                <w:bCs/>
                <w:color w:val="000000"/>
                <w:sz w:val="20"/>
                <w:szCs w:val="20"/>
                <w:lang w:val="ro-RO"/>
              </w:rPr>
              <w:t xml:space="preserve"> </w:t>
            </w:r>
            <w:r w:rsidRPr="004C0446">
              <w:rPr>
                <w:rFonts w:ascii="Times New Roman" w:eastAsia="Calibri" w:hAnsi="Times New Roman" w:cs="Times New Roman"/>
                <w:color w:val="000000"/>
                <w:sz w:val="20"/>
                <w:szCs w:val="20"/>
                <w:lang w:val="ro-RO"/>
              </w:rPr>
              <w:t>produselor şi serviciilor plasate pe piaţă, a regulilor de comerţ, prin:</w:t>
            </w:r>
          </w:p>
          <w:p w:rsidR="002E1EF3" w:rsidRPr="004C0446" w:rsidRDefault="002E1EF3" w:rsidP="00B32806">
            <w:pPr>
              <w:tabs>
                <w:tab w:val="left" w:pos="0"/>
                <w:tab w:val="left" w:pos="184"/>
              </w:tabs>
              <w:spacing w:after="40" w:line="240" w:lineRule="auto"/>
              <w:ind w:left="184" w:right="57"/>
              <w:rPr>
                <w:rFonts w:ascii="Times New Roman" w:eastAsia="Calibri" w:hAnsi="Times New Roman" w:cs="Times New Roman"/>
                <w:bCs/>
                <w:color w:val="000000"/>
                <w:sz w:val="20"/>
                <w:szCs w:val="20"/>
                <w:lang w:val="ro-RO"/>
              </w:rPr>
            </w:pPr>
            <w:r w:rsidRPr="004C0446">
              <w:rPr>
                <w:rFonts w:ascii="Times New Roman" w:eastAsia="Calibri" w:hAnsi="Times New Roman" w:cs="Times New Roman"/>
                <w:bCs/>
                <w:i/>
                <w:color w:val="000000"/>
                <w:sz w:val="20"/>
                <w:szCs w:val="20"/>
                <w:lang w:val="ro-RO"/>
              </w:rPr>
              <w:t xml:space="preserve">- </w:t>
            </w:r>
            <w:r w:rsidRPr="004C0446">
              <w:rPr>
                <w:rFonts w:ascii="Times New Roman" w:eastAsia="Calibri" w:hAnsi="Times New Roman" w:cs="Times New Roman"/>
                <w:bCs/>
                <w:color w:val="000000"/>
                <w:sz w:val="20"/>
                <w:szCs w:val="20"/>
                <w:lang w:val="ro-RO"/>
              </w:rPr>
              <w:t>monitorizarea activităţii agenţilor economici şi evaluarea riscurilor pe care le prezintă în raport cu consumatorii;</w:t>
            </w:r>
          </w:p>
          <w:p w:rsidR="002E1EF3" w:rsidRPr="004C0446" w:rsidRDefault="002E1EF3" w:rsidP="00B32806">
            <w:pPr>
              <w:tabs>
                <w:tab w:val="left" w:pos="0"/>
                <w:tab w:val="left" w:pos="184"/>
              </w:tabs>
              <w:spacing w:after="40" w:line="240" w:lineRule="auto"/>
              <w:ind w:left="184"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încercări de laborator în vederea protecţiei consumatorilor, inclusiv a probelor de arbitraj plasate în lab</w:t>
            </w:r>
            <w:r w:rsidR="00A95A3C">
              <w:rPr>
                <w:rFonts w:ascii="Times New Roman" w:eastAsia="Calibri" w:hAnsi="Times New Roman" w:cs="Times New Roman"/>
                <w:color w:val="000000"/>
                <w:sz w:val="20"/>
                <w:szCs w:val="20"/>
                <w:lang w:val="ro-RO"/>
              </w:rPr>
              <w:t>oratoare, inclusiv peste hotare.</w:t>
            </w: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Default="002E1EF3"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FB650E" w:rsidRDefault="00FB650E"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FB650E" w:rsidRDefault="00FB650E"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FB650E" w:rsidRDefault="00FB650E"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FB650E" w:rsidRDefault="00FB650E"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FB650E" w:rsidRDefault="00FB650E"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FB650E" w:rsidRDefault="00FB650E"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FB650E" w:rsidRDefault="00FB650E"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BC40B5" w:rsidRDefault="00BC40B5"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BC40B5" w:rsidRDefault="00BC40B5"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BC40B5" w:rsidRDefault="00BC40B5"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BC40B5" w:rsidRDefault="00BC40B5"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BC40B5" w:rsidRDefault="00BC40B5"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BC40B5" w:rsidRDefault="00BC40B5"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BC40B5" w:rsidRDefault="00BC40B5"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BC40B5" w:rsidRPr="004C0446" w:rsidRDefault="00BC40B5" w:rsidP="00B32806">
            <w:pPr>
              <w:tabs>
                <w:tab w:val="left" w:pos="0"/>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3B5354">
            <w:pPr>
              <w:tabs>
                <w:tab w:val="left" w:pos="184"/>
              </w:tabs>
              <w:spacing w:after="40" w:line="240" w:lineRule="auto"/>
              <w:ind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Efectuarea unui sondaj, în comun cu Ministerul Economiei, cu scopul stabilirii indicelui de informare şi încredere a consumatorului</w:t>
            </w:r>
            <w:r w:rsidR="005256B0" w:rsidRPr="004C0446">
              <w:rPr>
                <w:rFonts w:ascii="Times New Roman" w:eastAsia="Calibri" w:hAnsi="Times New Roman" w:cs="Times New Roman"/>
                <w:color w:val="000000"/>
                <w:sz w:val="20"/>
                <w:szCs w:val="20"/>
                <w:lang w:val="ro-RO"/>
              </w:rPr>
              <w:t>,</w:t>
            </w:r>
            <w:r w:rsidRPr="004C0446">
              <w:rPr>
                <w:rFonts w:ascii="Times New Roman" w:eastAsia="Calibri" w:hAnsi="Times New Roman" w:cs="Times New Roman"/>
                <w:color w:val="000000"/>
                <w:sz w:val="20"/>
                <w:szCs w:val="20"/>
                <w:lang w:val="ro-RO"/>
              </w:rPr>
              <w:t xml:space="preserve"> precum şi eficientizarea activităţilor ce ţin de inform</w:t>
            </w:r>
            <w:r w:rsidR="00740BE0">
              <w:rPr>
                <w:rFonts w:ascii="Times New Roman" w:eastAsia="Calibri" w:hAnsi="Times New Roman" w:cs="Times New Roman"/>
                <w:color w:val="000000"/>
                <w:sz w:val="20"/>
                <w:szCs w:val="20"/>
                <w:lang w:val="ro-RO"/>
              </w:rPr>
              <w:t>area şi educarea consumatorilor.</w:t>
            </w:r>
          </w:p>
          <w:p w:rsidR="002E1EF3" w:rsidRPr="004C0446" w:rsidRDefault="002E1EF3" w:rsidP="003B5354">
            <w:pPr>
              <w:tabs>
                <w:tab w:val="left" w:pos="184"/>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3B5354">
            <w:pPr>
              <w:tabs>
                <w:tab w:val="left" w:pos="164"/>
              </w:tabs>
              <w:spacing w:after="40" w:line="240" w:lineRule="auto"/>
              <w:ind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Activităţi de consultanţă,</w:t>
            </w:r>
            <w:r w:rsidRPr="004C0446">
              <w:rPr>
                <w:rFonts w:ascii="Times New Roman" w:eastAsia="Calibri" w:hAnsi="Times New Roman" w:cs="Times New Roman"/>
                <w:b/>
                <w:color w:val="000000"/>
                <w:sz w:val="20"/>
                <w:szCs w:val="20"/>
                <w:lang w:val="ro-RO"/>
              </w:rPr>
              <w:t xml:space="preserve"> </w:t>
            </w:r>
            <w:r w:rsidRPr="004C0446">
              <w:rPr>
                <w:rFonts w:ascii="Times New Roman" w:eastAsia="Calibri" w:hAnsi="Times New Roman" w:cs="Times New Roman"/>
                <w:color w:val="000000"/>
                <w:sz w:val="20"/>
                <w:szCs w:val="20"/>
                <w:lang w:val="ro-RO"/>
              </w:rPr>
              <w:t>informare şi educare a consumatorilor.</w:t>
            </w:r>
          </w:p>
          <w:p w:rsidR="002E1EF3" w:rsidRPr="004C0446" w:rsidRDefault="002E1EF3" w:rsidP="00B32806">
            <w:pPr>
              <w:spacing w:after="40" w:line="240" w:lineRule="auto"/>
              <w:rPr>
                <w:rFonts w:ascii="Times New Roman" w:eastAsia="Calibri" w:hAnsi="Times New Roman" w:cs="Times New Roman"/>
                <w:b/>
                <w:sz w:val="20"/>
                <w:szCs w:val="20"/>
                <w:lang w:val="ro-RO"/>
              </w:rPr>
            </w:pPr>
          </w:p>
          <w:p w:rsidR="002E1EF3" w:rsidRPr="004C0446"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Default="002E1EF3"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CC7E18" w:rsidRDefault="00CC7E18"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CC7E18" w:rsidRDefault="00CC7E18"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A77742" w:rsidRPr="004C0446" w:rsidRDefault="00A77742" w:rsidP="00B32806">
            <w:pPr>
              <w:tabs>
                <w:tab w:val="left" w:pos="24"/>
                <w:tab w:val="left" w:pos="169"/>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0407C1">
            <w:pPr>
              <w:pStyle w:val="ListParagraph"/>
              <w:numPr>
                <w:ilvl w:val="0"/>
                <w:numId w:val="20"/>
              </w:numPr>
              <w:tabs>
                <w:tab w:val="left" w:pos="158"/>
              </w:tabs>
              <w:spacing w:after="40" w:line="240" w:lineRule="auto"/>
              <w:ind w:left="17" w:right="57" w:hanging="1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Implementarea Programului DCFTA finanţat de către Comisia Europeană prin:</w:t>
            </w:r>
          </w:p>
          <w:p w:rsidR="002E1EF3" w:rsidRPr="004C0446" w:rsidRDefault="002E1EF3" w:rsidP="00B32806">
            <w:pPr>
              <w:tabs>
                <w:tab w:val="left" w:pos="124"/>
              </w:tabs>
              <w:spacing w:after="40" w:line="240" w:lineRule="auto"/>
              <w:ind w:left="72"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-consolidarea capacităţilor instituţionale ale Agenţiei pentru protecţia Consumatorilor, în scopul asigurării unui nivel înalt de protecţie a consumatorilor, inclusiv prin dezvoltarea capacitătilor profesionale ale angajaţilor;</w:t>
            </w:r>
          </w:p>
          <w:p w:rsidR="002E1EF3" w:rsidRPr="004C0446" w:rsidRDefault="002E1EF3" w:rsidP="00B32806">
            <w:pPr>
              <w:tabs>
                <w:tab w:val="left" w:pos="94"/>
                <w:tab w:val="left" w:pos="432"/>
              </w:tabs>
              <w:spacing w:after="40" w:line="240" w:lineRule="exact"/>
              <w:ind w:left="72" w:right="57"/>
              <w:contextualSpacing/>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-achizi</w:t>
            </w:r>
            <w:r w:rsidRPr="004C0446">
              <w:rPr>
                <w:rFonts w:ascii="Times New Roman" w:eastAsia="Calibri" w:hAnsi="Times New Roman" w:cs="Times New Roman"/>
                <w:bCs/>
                <w:color w:val="000000"/>
                <w:sz w:val="20"/>
                <w:szCs w:val="20"/>
                <w:lang w:val="ro-RO"/>
              </w:rPr>
              <w:t>ţ</w:t>
            </w:r>
            <w:r w:rsidRPr="004C0446">
              <w:rPr>
                <w:rFonts w:ascii="Times New Roman" w:eastAsia="Calibri" w:hAnsi="Times New Roman" w:cs="Times New Roman"/>
                <w:color w:val="000000"/>
                <w:sz w:val="20"/>
                <w:szCs w:val="20"/>
                <w:lang w:val="ro-RO"/>
              </w:rPr>
              <w:t xml:space="preserve">ionarea echipamentelor </w:t>
            </w:r>
            <w:r w:rsidRPr="004C0446">
              <w:rPr>
                <w:rFonts w:ascii="Cambria Math" w:eastAsia="Calibri" w:hAnsi="Cambria Math" w:cs="Cambria Math"/>
                <w:color w:val="000000"/>
                <w:sz w:val="20"/>
                <w:szCs w:val="20"/>
                <w:lang w:val="ro-RO"/>
              </w:rPr>
              <w:t>ș</w:t>
            </w:r>
            <w:r w:rsidRPr="004C0446">
              <w:rPr>
                <w:rFonts w:ascii="Times New Roman" w:eastAsia="Calibri" w:hAnsi="Times New Roman" w:cs="Times New Roman"/>
                <w:color w:val="000000"/>
                <w:sz w:val="20"/>
                <w:szCs w:val="20"/>
                <w:lang w:val="ro-RO"/>
              </w:rPr>
              <w:t xml:space="preserve">i </w:t>
            </w:r>
            <w:r w:rsidRPr="004C0446">
              <w:rPr>
                <w:rFonts w:ascii="Times New Roman" w:eastAsia="Calibri" w:hAnsi="Times New Roman" w:cs="Times New Roman"/>
                <w:bCs/>
                <w:color w:val="000000"/>
                <w:sz w:val="20"/>
                <w:szCs w:val="20"/>
                <w:lang w:val="ro-RO"/>
              </w:rPr>
              <w:t>materialelor</w:t>
            </w:r>
            <w:r w:rsidRPr="004C0446">
              <w:rPr>
                <w:rFonts w:ascii="Times New Roman" w:eastAsia="Calibri" w:hAnsi="Times New Roman" w:cs="Times New Roman"/>
                <w:color w:val="000000"/>
                <w:sz w:val="20"/>
                <w:szCs w:val="20"/>
                <w:lang w:val="ro-RO"/>
              </w:rPr>
              <w:t xml:space="preserve"> pentru expres-testări;</w:t>
            </w:r>
          </w:p>
          <w:p w:rsidR="002E1EF3" w:rsidRPr="004C0446" w:rsidRDefault="002E1EF3" w:rsidP="004B2895">
            <w:pPr>
              <w:tabs>
                <w:tab w:val="left" w:pos="94"/>
                <w:tab w:val="left" w:pos="432"/>
              </w:tabs>
              <w:spacing w:after="40" w:line="240" w:lineRule="exact"/>
              <w:ind w:left="72" w:right="57"/>
              <w:contextualSpacing/>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-elaborarea procedurilor de control în baza analizei riscurilor.</w:t>
            </w:r>
          </w:p>
          <w:p w:rsidR="007D70CB" w:rsidRPr="00FB650E" w:rsidRDefault="007D70CB" w:rsidP="00FB650E">
            <w:pPr>
              <w:tabs>
                <w:tab w:val="left" w:pos="158"/>
              </w:tabs>
              <w:spacing w:after="40" w:line="240" w:lineRule="auto"/>
              <w:ind w:right="57"/>
              <w:rPr>
                <w:rFonts w:ascii="Times New Roman" w:eastAsia="Calibri" w:hAnsi="Times New Roman" w:cs="Times New Roman"/>
                <w:color w:val="000000"/>
                <w:sz w:val="20"/>
                <w:szCs w:val="20"/>
                <w:lang w:val="ro-RO"/>
              </w:rPr>
            </w:pPr>
          </w:p>
          <w:p w:rsidR="002E1EF3" w:rsidRPr="004C0446" w:rsidRDefault="002E1EF3" w:rsidP="000407C1">
            <w:pPr>
              <w:pStyle w:val="ListParagraph"/>
              <w:numPr>
                <w:ilvl w:val="0"/>
                <w:numId w:val="20"/>
              </w:numPr>
              <w:tabs>
                <w:tab w:val="left" w:pos="158"/>
              </w:tabs>
              <w:spacing w:after="40" w:line="240" w:lineRule="auto"/>
              <w:ind w:left="17" w:right="57" w:hanging="1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Colaborarea cu alte autorităţi din domeniul supravegherii pie</w:t>
            </w:r>
            <w:r w:rsidRPr="004C0446">
              <w:rPr>
                <w:rFonts w:ascii="Cambria Math" w:eastAsia="Calibri" w:hAnsi="Cambria Math" w:cs="Cambria Math"/>
                <w:color w:val="000000"/>
                <w:sz w:val="20"/>
                <w:szCs w:val="20"/>
                <w:lang w:val="ro-RO"/>
              </w:rPr>
              <w:t>ț</w:t>
            </w:r>
            <w:r w:rsidRPr="004C0446">
              <w:rPr>
                <w:rFonts w:ascii="Times New Roman" w:eastAsia="Calibri" w:hAnsi="Times New Roman" w:cs="Times New Roman"/>
                <w:color w:val="000000"/>
                <w:sz w:val="20"/>
                <w:szCs w:val="20"/>
                <w:lang w:val="ro-RO"/>
              </w:rPr>
              <w:t xml:space="preserve">ei şi protecţiei consumatorilor, inclusiv autorităţi europene, prin: </w:t>
            </w:r>
          </w:p>
          <w:p w:rsidR="002E1EF3" w:rsidRPr="004C0446" w:rsidRDefault="002E1EF3" w:rsidP="00B32806">
            <w:pPr>
              <w:tabs>
                <w:tab w:val="left" w:pos="94"/>
              </w:tabs>
              <w:spacing w:after="40" w:line="240" w:lineRule="exact"/>
              <w:ind w:left="-13" w:right="57" w:firstLine="13"/>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-participarea la evenimentele desfăşurate de instituţiile din ţară şi europene (grupuri de lucru, schimb de expe</w:t>
            </w:r>
            <w:r w:rsidR="00740BE0">
              <w:rPr>
                <w:rFonts w:ascii="Times New Roman" w:eastAsia="Calibri" w:hAnsi="Times New Roman" w:cs="Times New Roman"/>
                <w:color w:val="000000"/>
                <w:sz w:val="20"/>
                <w:szCs w:val="20"/>
                <w:lang w:val="ro-RO"/>
              </w:rPr>
              <w:t>rienţă, ateliere de lucru etc.).</w:t>
            </w:r>
          </w:p>
          <w:p w:rsidR="002E1EF3" w:rsidRPr="004C0446" w:rsidRDefault="002E1EF3" w:rsidP="00B32806">
            <w:pPr>
              <w:tabs>
                <w:tab w:val="left" w:pos="94"/>
                <w:tab w:val="left" w:pos="432"/>
              </w:tabs>
              <w:spacing w:after="40" w:line="240" w:lineRule="exact"/>
              <w:ind w:left="-13" w:right="57" w:firstLine="13"/>
              <w:contextualSpacing/>
              <w:rPr>
                <w:rFonts w:ascii="Times New Roman" w:eastAsia="Calibri" w:hAnsi="Times New Roman" w:cs="Times New Roman"/>
                <w:bCs/>
                <w:color w:val="000000"/>
                <w:sz w:val="20"/>
                <w:szCs w:val="20"/>
                <w:lang w:val="ro-RO"/>
              </w:rPr>
            </w:pPr>
            <w:r w:rsidRPr="004C0446">
              <w:rPr>
                <w:rFonts w:ascii="Times New Roman" w:eastAsia="Calibri" w:hAnsi="Times New Roman" w:cs="Times New Roman"/>
                <w:color w:val="000000"/>
                <w:sz w:val="20"/>
                <w:szCs w:val="20"/>
                <w:lang w:val="ro-RO"/>
              </w:rPr>
              <w:lastRenderedPageBreak/>
              <w:t xml:space="preserve">-informarea mediului de afaceri </w:t>
            </w:r>
            <w:r w:rsidR="00222B9A" w:rsidRPr="004C0446">
              <w:rPr>
                <w:rFonts w:ascii="Times New Roman" w:eastAsia="Calibri" w:hAnsi="Times New Roman" w:cs="Times New Roman"/>
                <w:bCs/>
                <w:color w:val="000000"/>
                <w:sz w:val="20"/>
                <w:szCs w:val="20"/>
                <w:lang w:val="ro-RO"/>
              </w:rPr>
              <w:t xml:space="preserve">privind cerinţele </w:t>
            </w:r>
            <w:r w:rsidRPr="004C0446">
              <w:rPr>
                <w:rFonts w:ascii="Times New Roman" w:eastAsia="Calibri" w:hAnsi="Times New Roman" w:cs="Times New Roman"/>
                <w:bCs/>
                <w:color w:val="000000"/>
                <w:sz w:val="20"/>
                <w:szCs w:val="20"/>
                <w:lang w:val="ro-RO"/>
              </w:rPr>
              <w:t>aplicabile, regulile de</w:t>
            </w:r>
            <w:r w:rsidR="00222B9A" w:rsidRPr="004C0446">
              <w:rPr>
                <w:rFonts w:ascii="Times New Roman" w:eastAsia="Calibri" w:hAnsi="Times New Roman" w:cs="Times New Roman"/>
                <w:bCs/>
                <w:color w:val="000000"/>
                <w:sz w:val="20"/>
                <w:szCs w:val="20"/>
                <w:lang w:val="ro-RO"/>
              </w:rPr>
              <w:t xml:space="preserve"> comerţ şi de plasare pe piaţă </w:t>
            </w:r>
            <w:r w:rsidRPr="004C0446">
              <w:rPr>
                <w:rFonts w:ascii="Times New Roman" w:eastAsia="Calibri" w:hAnsi="Times New Roman" w:cs="Times New Roman"/>
                <w:bCs/>
                <w:color w:val="000000"/>
                <w:sz w:val="20"/>
                <w:szCs w:val="20"/>
                <w:lang w:val="ro-RO"/>
              </w:rPr>
              <w:t>a produselor şi serviciilor.</w:t>
            </w:r>
          </w:p>
          <w:p w:rsidR="002E1EF3" w:rsidRPr="004C0446" w:rsidRDefault="002E1EF3" w:rsidP="00222B9A">
            <w:pPr>
              <w:tabs>
                <w:tab w:val="left" w:pos="94"/>
                <w:tab w:val="left" w:pos="432"/>
              </w:tabs>
              <w:spacing w:after="40" w:line="240" w:lineRule="exact"/>
              <w:ind w:right="57"/>
              <w:contextualSpacing/>
              <w:rPr>
                <w:rFonts w:ascii="Times New Roman" w:eastAsia="Calibri" w:hAnsi="Times New Roman" w:cs="Times New Roman"/>
                <w:bCs/>
                <w:color w:val="000000"/>
                <w:sz w:val="20"/>
                <w:szCs w:val="20"/>
                <w:lang w:val="ro-RO"/>
              </w:rPr>
            </w:pPr>
          </w:p>
          <w:p w:rsidR="007D70CB" w:rsidRPr="004C0446" w:rsidRDefault="007D70CB" w:rsidP="00222B9A">
            <w:pPr>
              <w:tabs>
                <w:tab w:val="left" w:pos="94"/>
                <w:tab w:val="left" w:pos="432"/>
              </w:tabs>
              <w:spacing w:after="40" w:line="240" w:lineRule="exact"/>
              <w:ind w:right="57"/>
              <w:contextualSpacing/>
              <w:rPr>
                <w:rFonts w:ascii="Times New Roman" w:eastAsia="Calibri" w:hAnsi="Times New Roman" w:cs="Times New Roman"/>
                <w:bCs/>
                <w:color w:val="000000"/>
                <w:sz w:val="20"/>
                <w:szCs w:val="20"/>
                <w:lang w:val="ro-RO"/>
              </w:rPr>
            </w:pPr>
          </w:p>
          <w:p w:rsidR="007D70CB" w:rsidRPr="004C0446" w:rsidRDefault="007D70CB" w:rsidP="00222B9A">
            <w:pPr>
              <w:tabs>
                <w:tab w:val="left" w:pos="94"/>
                <w:tab w:val="left" w:pos="432"/>
              </w:tabs>
              <w:spacing w:after="40" w:line="240" w:lineRule="exact"/>
              <w:ind w:right="57"/>
              <w:contextualSpacing/>
              <w:rPr>
                <w:rFonts w:ascii="Times New Roman" w:eastAsia="Calibri" w:hAnsi="Times New Roman" w:cs="Times New Roman"/>
                <w:bCs/>
                <w:color w:val="000000"/>
                <w:sz w:val="20"/>
                <w:szCs w:val="20"/>
                <w:lang w:val="ro-RO"/>
              </w:rPr>
            </w:pPr>
          </w:p>
          <w:p w:rsidR="007D70CB" w:rsidRPr="004C0446" w:rsidRDefault="007D70CB" w:rsidP="00222B9A">
            <w:pPr>
              <w:tabs>
                <w:tab w:val="left" w:pos="94"/>
                <w:tab w:val="left" w:pos="432"/>
              </w:tabs>
              <w:spacing w:after="40" w:line="240" w:lineRule="exact"/>
              <w:ind w:right="57"/>
              <w:contextualSpacing/>
              <w:rPr>
                <w:rFonts w:ascii="Times New Roman" w:eastAsia="Calibri" w:hAnsi="Times New Roman" w:cs="Times New Roman"/>
                <w:bCs/>
                <w:color w:val="000000"/>
                <w:sz w:val="20"/>
                <w:szCs w:val="20"/>
                <w:lang w:val="ro-RO"/>
              </w:rPr>
            </w:pPr>
          </w:p>
          <w:p w:rsidR="007D70CB" w:rsidRPr="004C0446" w:rsidRDefault="007D70CB" w:rsidP="00222B9A">
            <w:pPr>
              <w:tabs>
                <w:tab w:val="left" w:pos="94"/>
                <w:tab w:val="left" w:pos="432"/>
              </w:tabs>
              <w:spacing w:after="40" w:line="240" w:lineRule="exact"/>
              <w:ind w:right="57"/>
              <w:contextualSpacing/>
              <w:rPr>
                <w:rFonts w:ascii="Times New Roman" w:eastAsia="Calibri" w:hAnsi="Times New Roman" w:cs="Times New Roman"/>
                <w:bCs/>
                <w:color w:val="000000"/>
                <w:sz w:val="20"/>
                <w:szCs w:val="20"/>
                <w:lang w:val="ro-RO"/>
              </w:rPr>
            </w:pPr>
          </w:p>
          <w:p w:rsidR="007D70CB" w:rsidRPr="004C0446" w:rsidRDefault="007D70CB" w:rsidP="00222B9A">
            <w:pPr>
              <w:tabs>
                <w:tab w:val="left" w:pos="94"/>
                <w:tab w:val="left" w:pos="432"/>
              </w:tabs>
              <w:spacing w:after="40" w:line="240" w:lineRule="exact"/>
              <w:ind w:right="57"/>
              <w:contextualSpacing/>
              <w:rPr>
                <w:rFonts w:ascii="Times New Roman" w:eastAsia="Calibri" w:hAnsi="Times New Roman" w:cs="Times New Roman"/>
                <w:bCs/>
                <w:color w:val="000000"/>
                <w:sz w:val="20"/>
                <w:szCs w:val="20"/>
                <w:lang w:val="ro-RO"/>
              </w:rPr>
            </w:pPr>
          </w:p>
          <w:p w:rsidR="007D70CB" w:rsidRPr="004C0446" w:rsidRDefault="002E1EF3" w:rsidP="000407C1">
            <w:pPr>
              <w:numPr>
                <w:ilvl w:val="0"/>
                <w:numId w:val="16"/>
              </w:numPr>
              <w:tabs>
                <w:tab w:val="left" w:pos="77"/>
                <w:tab w:val="left" w:pos="167"/>
              </w:tabs>
              <w:spacing w:after="40" w:line="240" w:lineRule="auto"/>
              <w:ind w:left="-13" w:right="57" w:firstLine="13"/>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Direcţionarea vizitelor de consultanţă către instituţiile de învăţămînt, unde consumatorii sunt mai interesaţi şi cu mai multă atitudine, iar rezu</w:t>
            </w:r>
            <w:r w:rsidR="004D4CB8" w:rsidRPr="004C0446">
              <w:rPr>
                <w:rFonts w:ascii="Times New Roman" w:eastAsia="Calibri" w:hAnsi="Times New Roman" w:cs="Times New Roman"/>
                <w:color w:val="000000"/>
                <w:sz w:val="20"/>
                <w:szCs w:val="20"/>
                <w:lang w:val="ro-RO"/>
              </w:rPr>
              <w:t>ltatele vizitelor mai eficiente</w:t>
            </w:r>
            <w:r w:rsidR="00740BE0">
              <w:rPr>
                <w:rFonts w:ascii="Times New Roman" w:eastAsia="Calibri" w:hAnsi="Times New Roman" w:cs="Times New Roman"/>
                <w:color w:val="000000"/>
                <w:sz w:val="20"/>
                <w:szCs w:val="20"/>
                <w:lang w:val="ro-RO"/>
              </w:rPr>
              <w:t>.</w:t>
            </w:r>
          </w:p>
          <w:p w:rsidR="002E1EF3" w:rsidRPr="004C0446" w:rsidRDefault="002E1EF3" w:rsidP="000407C1">
            <w:pPr>
              <w:numPr>
                <w:ilvl w:val="0"/>
                <w:numId w:val="16"/>
              </w:numPr>
              <w:tabs>
                <w:tab w:val="left" w:pos="77"/>
                <w:tab w:val="left" w:pos="167"/>
              </w:tabs>
              <w:spacing w:after="40" w:line="240" w:lineRule="auto"/>
              <w:ind w:left="-13" w:right="57" w:firstLine="13"/>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Organizarea întrunirilor cu consumatorii, agenţii economici, ONG-uri, conform Programului zilelor de consultantă, la sediul Agenţiei pentru Protecţia Consumatorilor.</w:t>
            </w:r>
          </w:p>
          <w:p w:rsidR="002E1EF3" w:rsidRPr="004C0446" w:rsidRDefault="002E1EF3"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4D4CB8" w:rsidRPr="004C0446" w:rsidRDefault="004D4CB8"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4D4CB8" w:rsidRPr="004C0446" w:rsidRDefault="004D4CB8"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4D4CB8" w:rsidRPr="004C0446" w:rsidRDefault="004D4CB8"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4D4CB8" w:rsidRPr="004C0446" w:rsidRDefault="004D4CB8"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4D4CB8" w:rsidRPr="004C0446" w:rsidRDefault="004D4CB8"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C97351" w:rsidRPr="004C0446" w:rsidRDefault="00C97351" w:rsidP="00B32806">
            <w:pPr>
              <w:tabs>
                <w:tab w:val="left" w:pos="-13"/>
                <w:tab w:val="left" w:pos="432"/>
              </w:tabs>
              <w:spacing w:after="40" w:line="240" w:lineRule="exact"/>
              <w:ind w:left="72" w:right="57" w:hanging="85"/>
              <w:contextualSpacing/>
              <w:rPr>
                <w:rFonts w:ascii="Times New Roman" w:eastAsia="Calibri" w:hAnsi="Times New Roman" w:cs="Times New Roman"/>
                <w:bCs/>
                <w:color w:val="000000"/>
                <w:sz w:val="20"/>
                <w:szCs w:val="20"/>
                <w:lang w:val="ro-RO"/>
              </w:rPr>
            </w:pPr>
          </w:p>
          <w:p w:rsidR="009D29FB" w:rsidRPr="004C0446" w:rsidRDefault="002E1EF3" w:rsidP="000407C1">
            <w:pPr>
              <w:numPr>
                <w:ilvl w:val="0"/>
                <w:numId w:val="17"/>
              </w:numPr>
              <w:tabs>
                <w:tab w:val="left" w:pos="77"/>
                <w:tab w:val="left" w:pos="167"/>
              </w:tabs>
              <w:spacing w:after="40" w:line="240" w:lineRule="exact"/>
              <w:ind w:left="0" w:right="57" w:hanging="13"/>
              <w:contextualSpacing/>
              <w:rPr>
                <w:rFonts w:ascii="Times New Roman" w:eastAsia="Calibri" w:hAnsi="Times New Roman" w:cs="Times New Roman"/>
                <w:bCs/>
                <w:color w:val="000000"/>
                <w:sz w:val="20"/>
                <w:szCs w:val="20"/>
                <w:lang w:val="ro-RO"/>
              </w:rPr>
            </w:pPr>
            <w:r w:rsidRPr="004C0446">
              <w:rPr>
                <w:rFonts w:ascii="Times New Roman" w:eastAsia="Calibri" w:hAnsi="Times New Roman" w:cs="Times New Roman"/>
                <w:color w:val="000000"/>
                <w:sz w:val="20"/>
                <w:szCs w:val="20"/>
                <w:lang w:val="ro-RO"/>
              </w:rPr>
              <w:t>Reingineria paginii web a Agenţiei, conform P</w:t>
            </w:r>
            <w:r w:rsidR="00C97351" w:rsidRPr="004C0446">
              <w:rPr>
                <w:rFonts w:ascii="Times New Roman" w:eastAsia="Calibri" w:hAnsi="Times New Roman" w:cs="Times New Roman"/>
                <w:color w:val="000000"/>
                <w:sz w:val="20"/>
                <w:szCs w:val="20"/>
                <w:lang w:val="ro-RO"/>
              </w:rPr>
              <w:t>lanului de reinginerie elaborat</w:t>
            </w:r>
            <w:r w:rsidRPr="004C0446">
              <w:rPr>
                <w:rFonts w:ascii="Times New Roman" w:eastAsia="Calibri" w:hAnsi="Times New Roman" w:cs="Times New Roman"/>
                <w:color w:val="000000"/>
                <w:sz w:val="20"/>
                <w:szCs w:val="20"/>
                <w:lang w:val="ro-RO"/>
              </w:rPr>
              <w:t>/ aprobat;</w:t>
            </w:r>
          </w:p>
          <w:p w:rsidR="002E1EF3" w:rsidRPr="004C0446" w:rsidRDefault="002E1EF3" w:rsidP="000407C1">
            <w:pPr>
              <w:numPr>
                <w:ilvl w:val="0"/>
                <w:numId w:val="17"/>
              </w:numPr>
              <w:tabs>
                <w:tab w:val="left" w:pos="77"/>
                <w:tab w:val="left" w:pos="167"/>
              </w:tabs>
              <w:spacing w:after="40" w:line="240" w:lineRule="exact"/>
              <w:ind w:left="0" w:right="57" w:hanging="13"/>
              <w:contextualSpacing/>
              <w:rPr>
                <w:rFonts w:ascii="Times New Roman" w:eastAsia="Calibri" w:hAnsi="Times New Roman" w:cs="Times New Roman"/>
                <w:bCs/>
                <w:color w:val="000000"/>
                <w:sz w:val="20"/>
                <w:szCs w:val="20"/>
                <w:lang w:val="ro-RO"/>
              </w:rPr>
            </w:pPr>
            <w:r w:rsidRPr="004C0446">
              <w:rPr>
                <w:rFonts w:ascii="Times New Roman" w:eastAsia="Calibri" w:hAnsi="Times New Roman" w:cs="Times New Roman"/>
                <w:bCs/>
                <w:color w:val="000000"/>
                <w:sz w:val="20"/>
                <w:szCs w:val="20"/>
                <w:lang w:val="ro-RO"/>
              </w:rPr>
              <w:t>Organizarea conferinţelor on-line, prin intermediul paginii web a Agenţiei;</w:t>
            </w:r>
          </w:p>
          <w:p w:rsidR="002E1EF3" w:rsidRPr="004C0446" w:rsidRDefault="002E1EF3" w:rsidP="000407C1">
            <w:pPr>
              <w:numPr>
                <w:ilvl w:val="0"/>
                <w:numId w:val="17"/>
              </w:numPr>
              <w:tabs>
                <w:tab w:val="left" w:pos="77"/>
                <w:tab w:val="left" w:pos="167"/>
              </w:tabs>
              <w:spacing w:after="40" w:line="240" w:lineRule="exact"/>
              <w:ind w:left="0" w:right="57" w:hanging="13"/>
              <w:contextualSpacing/>
              <w:rPr>
                <w:rFonts w:ascii="Times New Roman" w:eastAsia="Calibri" w:hAnsi="Times New Roman" w:cs="Times New Roman"/>
                <w:bCs/>
                <w:color w:val="000000"/>
                <w:sz w:val="20"/>
                <w:szCs w:val="20"/>
                <w:lang w:val="ro-RO"/>
              </w:rPr>
            </w:pPr>
            <w:r w:rsidRPr="004C0446">
              <w:rPr>
                <w:rFonts w:ascii="Times New Roman" w:eastAsia="Calibri" w:hAnsi="Times New Roman" w:cs="Times New Roman"/>
                <w:bCs/>
                <w:color w:val="000000"/>
                <w:sz w:val="20"/>
                <w:szCs w:val="20"/>
                <w:lang w:val="ro-RO"/>
              </w:rPr>
              <w:t>Promovarea imaginii Agenţiei prin lansarea spoturilor publicitare pe pagina web a Agenţiei.</w:t>
            </w:r>
          </w:p>
        </w:tc>
        <w:tc>
          <w:tcPr>
            <w:tcW w:w="3627" w:type="dxa"/>
            <w:vMerge w:val="restart"/>
            <w:shd w:val="clear" w:color="auto" w:fill="auto"/>
          </w:tcPr>
          <w:p w:rsidR="002E1EF3" w:rsidRPr="004C0446" w:rsidRDefault="002E1EF3" w:rsidP="002C40C8">
            <w:pPr>
              <w:tabs>
                <w:tab w:val="left" w:pos="169"/>
              </w:tabs>
              <w:spacing w:after="40" w:line="240" w:lineRule="auto"/>
              <w:ind w:right="57"/>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lastRenderedPageBreak/>
              <w:t xml:space="preserve">Agenția pentru Protecția Consumatorilor a adoptat nouă abordare eficientă a activităților de supraveghere a pieței produselor şi serviciilor plasate pe piaţă, a regulilor de comerţ, prin </w:t>
            </w:r>
            <w:r w:rsidRPr="004C0446">
              <w:rPr>
                <w:rFonts w:ascii="Times New Roman" w:eastAsia="Calibri" w:hAnsi="Times New Roman" w:cs="Times New Roman"/>
                <w:bCs/>
                <w:sz w:val="20"/>
                <w:szCs w:val="20"/>
                <w:lang w:val="en-US"/>
              </w:rPr>
              <w:t>monitorizarea activităţii agenţilor economici şi evaluarea riscurilor pe care le prezintă în raport cu consumatorii.</w:t>
            </w:r>
          </w:p>
          <w:p w:rsidR="005256B0" w:rsidRPr="004C0446" w:rsidRDefault="002E1EF3" w:rsidP="002C40C8">
            <w:pPr>
              <w:tabs>
                <w:tab w:val="left" w:pos="167"/>
                <w:tab w:val="left" w:pos="315"/>
                <w:tab w:val="left" w:pos="1170"/>
                <w:tab w:val="left" w:pos="1890"/>
                <w:tab w:val="left" w:pos="2655"/>
              </w:tabs>
              <w:spacing w:after="40" w:line="240" w:lineRule="auto"/>
              <w:ind w:right="57"/>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t>Pe parcursul anului 2016, a fost monitorizat și evaluat riscul activității a 2267 agenți economici. Astfel, au fost identificați 294 agenți economici, care prezentau un risc sporit pentru consumatori. Pentru înlătu</w:t>
            </w:r>
            <w:r w:rsidR="005256B0" w:rsidRPr="004C0446">
              <w:rPr>
                <w:rFonts w:ascii="Times New Roman" w:eastAsia="Calibri" w:hAnsi="Times New Roman" w:cs="Times New Roman"/>
                <w:sz w:val="20"/>
                <w:szCs w:val="20"/>
                <w:lang w:val="en-US"/>
              </w:rPr>
              <w:t>rarea acestor riscuri, acesștia</w:t>
            </w:r>
            <w:r w:rsidRPr="004C0446">
              <w:rPr>
                <w:rFonts w:ascii="Times New Roman" w:eastAsia="Calibri" w:hAnsi="Times New Roman" w:cs="Times New Roman"/>
                <w:sz w:val="20"/>
                <w:szCs w:val="20"/>
                <w:lang w:val="en-US"/>
              </w:rPr>
              <w:t xml:space="preserve"> au fost incluși în Graficul de control planificat și supuși controlului, în trim. I și IV. </w:t>
            </w:r>
          </w:p>
          <w:p w:rsidR="002E1EF3" w:rsidRPr="004C0446" w:rsidRDefault="002E1EF3" w:rsidP="002C40C8">
            <w:pPr>
              <w:tabs>
                <w:tab w:val="left" w:pos="167"/>
                <w:tab w:val="left" w:pos="315"/>
                <w:tab w:val="left" w:pos="1170"/>
                <w:tab w:val="left" w:pos="1890"/>
                <w:tab w:val="left" w:pos="2655"/>
              </w:tabs>
              <w:spacing w:after="40" w:line="240" w:lineRule="auto"/>
              <w:ind w:right="57"/>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t>Urmare instituirii Moratoriului asupra controalelor de stat, APC a reușit să efectuieze</w:t>
            </w:r>
            <w:r w:rsidRPr="004C0446">
              <w:rPr>
                <w:rFonts w:ascii="Times New Roman" w:eastAsia="Times New Roman" w:hAnsi="Times New Roman" w:cs="Times New Roman"/>
                <w:sz w:val="20"/>
                <w:szCs w:val="20"/>
                <w:lang w:val="en-US" w:eastAsia="ru-RU"/>
              </w:rPr>
              <w:t xml:space="preserve"> în total 415 controale, din care </w:t>
            </w:r>
            <w:r w:rsidRPr="004C0446">
              <w:rPr>
                <w:rFonts w:ascii="Times New Roman" w:eastAsia="Calibri" w:hAnsi="Times New Roman" w:cs="Times New Roman"/>
                <w:sz w:val="20"/>
                <w:szCs w:val="20"/>
                <w:lang w:val="en-US"/>
              </w:rPr>
              <w:t>153 (36,87%) controale planificate și inopinate, în baza plîngerilor și sesizărilor. Au fost depistat încălcări prin efectuarea 100 (65,36%) controale, pentru care au fost aplicate 971 măsuri juridice.</w:t>
            </w:r>
          </w:p>
          <w:p w:rsidR="002E1EF3" w:rsidRPr="004C0446" w:rsidRDefault="002E1EF3" w:rsidP="002C40C8">
            <w:pPr>
              <w:tabs>
                <w:tab w:val="left" w:pos="167"/>
                <w:tab w:val="left" w:pos="315"/>
                <w:tab w:val="left" w:pos="1170"/>
                <w:tab w:val="left" w:pos="1890"/>
                <w:tab w:val="left" w:pos="2655"/>
              </w:tabs>
              <w:spacing w:after="40" w:line="240" w:lineRule="auto"/>
              <w:ind w:right="57"/>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t>Pentru verificarea calității produselor nesigure, au fost prelevate 63 probe și testate în laboratoare acreditate, din care 10 mostre (16%) s-au constatat necorespunzătoare.</w:t>
            </w:r>
          </w:p>
          <w:p w:rsidR="002E1EF3" w:rsidRPr="004C0446" w:rsidRDefault="002E1EF3" w:rsidP="002C40C8">
            <w:pPr>
              <w:tabs>
                <w:tab w:val="left" w:pos="167"/>
                <w:tab w:val="left" w:pos="315"/>
                <w:tab w:val="left" w:pos="1170"/>
                <w:tab w:val="left" w:pos="1890"/>
                <w:tab w:val="left" w:pos="2655"/>
              </w:tabs>
              <w:spacing w:after="40" w:line="240" w:lineRule="auto"/>
              <w:ind w:right="57"/>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Din lipsă de temei (rezultatele de laborator nu au fost contestate), probe de arbitraj nu au fost prelevate/plasate în laboratoare peste hotare.</w:t>
            </w:r>
          </w:p>
          <w:p w:rsidR="002E1EF3" w:rsidRPr="004C0446" w:rsidRDefault="002E1EF3" w:rsidP="002C40C8">
            <w:pPr>
              <w:tabs>
                <w:tab w:val="left" w:pos="167"/>
                <w:tab w:val="left" w:pos="315"/>
                <w:tab w:val="left" w:pos="1170"/>
                <w:tab w:val="left" w:pos="1890"/>
                <w:tab w:val="left" w:pos="2655"/>
              </w:tabs>
              <w:spacing w:after="0" w:line="240" w:lineRule="auto"/>
              <w:ind w:right="57"/>
              <w:jc w:val="both"/>
              <w:rPr>
                <w:rFonts w:ascii="Times New Roman" w:eastAsia="Calibri" w:hAnsi="Times New Roman" w:cs="Times New Roman"/>
                <w:sz w:val="20"/>
                <w:szCs w:val="20"/>
                <w:lang w:val="ro-RO"/>
              </w:rPr>
            </w:pPr>
          </w:p>
          <w:p w:rsidR="002E1EF3" w:rsidRPr="004C0446" w:rsidRDefault="002E1EF3" w:rsidP="002C40C8">
            <w:pPr>
              <w:tabs>
                <w:tab w:val="left" w:pos="167"/>
                <w:tab w:val="left" w:pos="315"/>
                <w:tab w:val="left" w:pos="1170"/>
                <w:tab w:val="left" w:pos="1890"/>
                <w:tab w:val="left" w:pos="2655"/>
              </w:tabs>
              <w:spacing w:after="0" w:line="240" w:lineRule="auto"/>
              <w:ind w:right="57"/>
              <w:jc w:val="both"/>
              <w:rPr>
                <w:rFonts w:ascii="Times New Roman" w:eastAsia="Calibri" w:hAnsi="Times New Roman" w:cs="Times New Roman"/>
                <w:sz w:val="20"/>
                <w:szCs w:val="20"/>
                <w:lang w:val="ro-RO"/>
              </w:rPr>
            </w:pPr>
          </w:p>
          <w:p w:rsidR="002E1EF3" w:rsidRPr="004C0446" w:rsidRDefault="002E1EF3" w:rsidP="002C40C8">
            <w:pPr>
              <w:tabs>
                <w:tab w:val="left" w:pos="167"/>
                <w:tab w:val="left" w:pos="315"/>
                <w:tab w:val="left" w:pos="1170"/>
                <w:tab w:val="left" w:pos="1890"/>
                <w:tab w:val="left" w:pos="2655"/>
              </w:tabs>
              <w:spacing w:after="0" w:line="240" w:lineRule="auto"/>
              <w:ind w:right="57"/>
              <w:jc w:val="both"/>
              <w:rPr>
                <w:rFonts w:ascii="Times New Roman" w:eastAsia="Calibri" w:hAnsi="Times New Roman" w:cs="Times New Roman"/>
                <w:sz w:val="20"/>
                <w:szCs w:val="20"/>
                <w:lang w:val="ro-RO"/>
              </w:rPr>
            </w:pPr>
          </w:p>
          <w:p w:rsidR="002E1EF3" w:rsidRPr="004C0446" w:rsidRDefault="002E1EF3" w:rsidP="002C40C8">
            <w:pPr>
              <w:tabs>
                <w:tab w:val="left" w:pos="167"/>
                <w:tab w:val="left" w:pos="315"/>
                <w:tab w:val="left" w:pos="1170"/>
                <w:tab w:val="left" w:pos="1890"/>
                <w:tab w:val="left" w:pos="2655"/>
              </w:tabs>
              <w:spacing w:after="0" w:line="240" w:lineRule="auto"/>
              <w:ind w:right="57"/>
              <w:jc w:val="both"/>
              <w:rPr>
                <w:rFonts w:ascii="Times New Roman" w:eastAsia="Calibri" w:hAnsi="Times New Roman" w:cs="Times New Roman"/>
                <w:sz w:val="20"/>
                <w:szCs w:val="20"/>
                <w:lang w:val="en-US"/>
              </w:rPr>
            </w:pPr>
          </w:p>
          <w:p w:rsidR="002E1EF3" w:rsidRPr="004C0446" w:rsidRDefault="002E1EF3" w:rsidP="002C40C8">
            <w:pPr>
              <w:tabs>
                <w:tab w:val="left" w:pos="167"/>
                <w:tab w:val="left" w:pos="315"/>
                <w:tab w:val="left" w:pos="1170"/>
                <w:tab w:val="left" w:pos="1890"/>
                <w:tab w:val="left" w:pos="2655"/>
              </w:tabs>
              <w:spacing w:after="0" w:line="240" w:lineRule="auto"/>
              <w:ind w:right="57"/>
              <w:jc w:val="both"/>
              <w:rPr>
                <w:rFonts w:ascii="Times New Roman" w:eastAsia="Calibri" w:hAnsi="Times New Roman" w:cs="Times New Roman"/>
                <w:sz w:val="20"/>
                <w:szCs w:val="20"/>
                <w:lang w:val="en-US"/>
              </w:rPr>
            </w:pPr>
          </w:p>
          <w:p w:rsidR="002E1EF3" w:rsidRPr="004C0446" w:rsidRDefault="002E1EF3" w:rsidP="002C40C8">
            <w:pPr>
              <w:tabs>
                <w:tab w:val="left" w:pos="167"/>
                <w:tab w:val="left" w:pos="315"/>
                <w:tab w:val="left" w:pos="1170"/>
                <w:tab w:val="left" w:pos="1890"/>
                <w:tab w:val="left" w:pos="2655"/>
              </w:tabs>
              <w:spacing w:after="0" w:line="240" w:lineRule="auto"/>
              <w:ind w:right="57"/>
              <w:jc w:val="both"/>
              <w:rPr>
                <w:rFonts w:ascii="Times New Roman" w:eastAsia="Calibri" w:hAnsi="Times New Roman" w:cs="Times New Roman"/>
                <w:sz w:val="20"/>
                <w:szCs w:val="20"/>
                <w:lang w:val="en-US"/>
              </w:rPr>
            </w:pPr>
          </w:p>
          <w:p w:rsidR="002E1EF3" w:rsidRPr="004C0446" w:rsidRDefault="002E1EF3" w:rsidP="002C40C8">
            <w:pPr>
              <w:tabs>
                <w:tab w:val="left" w:pos="167"/>
                <w:tab w:val="left" w:pos="315"/>
                <w:tab w:val="left" w:pos="1170"/>
                <w:tab w:val="left" w:pos="1890"/>
                <w:tab w:val="left" w:pos="2655"/>
              </w:tabs>
              <w:spacing w:after="0" w:line="240" w:lineRule="auto"/>
              <w:ind w:right="57"/>
              <w:jc w:val="both"/>
              <w:rPr>
                <w:rFonts w:ascii="Times New Roman" w:eastAsia="Calibri" w:hAnsi="Times New Roman" w:cs="Times New Roman"/>
                <w:sz w:val="20"/>
                <w:szCs w:val="20"/>
                <w:lang w:val="en-US"/>
              </w:rPr>
            </w:pPr>
          </w:p>
          <w:p w:rsidR="00FB650E" w:rsidRDefault="00FB650E"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FB650E" w:rsidRDefault="00FB650E"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FB650E" w:rsidRDefault="00FB650E"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FB650E" w:rsidRDefault="00FB650E"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FB650E" w:rsidRDefault="00FB650E"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FB650E" w:rsidRDefault="00FB650E"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FB650E" w:rsidRDefault="00FB650E"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FB650E" w:rsidRDefault="00FB650E"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BC40B5" w:rsidRDefault="00BC40B5"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BC40B5" w:rsidRDefault="00BC40B5"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BC40B5" w:rsidRDefault="00BC40B5"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BC40B5" w:rsidRDefault="00BC40B5"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BC40B5" w:rsidRDefault="00BC40B5"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BC40B5" w:rsidRDefault="00BC40B5"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BC40B5" w:rsidRDefault="00BC40B5"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BC40B5" w:rsidRDefault="00BC40B5"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BC40B5" w:rsidRDefault="00BC40B5"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BC40B5" w:rsidRDefault="00BC40B5"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2E1EF3" w:rsidRPr="004C0446" w:rsidRDefault="002E1EF3"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APC a realizat un sondaj sociologic pe un eșantion de 874 intervievați. Sondajul este publicat pe pagina web APC(</w:t>
            </w:r>
            <w:hyperlink r:id="rId8" w:history="1">
              <w:r w:rsidRPr="004C0446">
                <w:rPr>
                  <w:rStyle w:val="Hyperlink"/>
                  <w:rFonts w:ascii="Times New Roman" w:eastAsia="Calibri" w:hAnsi="Times New Roman" w:cs="Times New Roman"/>
                  <w:sz w:val="20"/>
                  <w:szCs w:val="20"/>
                  <w:lang w:val="ro-RO"/>
                </w:rPr>
                <w:t>http://consumator.gov.md/doc.php?l=ro&amp;idc=136&amp;id=1579&amp;t=/Transparenta/Rapoarte/Raport-privind-efectuarea-sondajului-despre-APC/</w:t>
              </w:r>
            </w:hyperlink>
            <w:r w:rsidRPr="004C0446">
              <w:rPr>
                <w:rFonts w:ascii="Times New Roman" w:eastAsia="Calibri" w:hAnsi="Times New Roman" w:cs="Times New Roman"/>
                <w:sz w:val="20"/>
                <w:szCs w:val="20"/>
                <w:lang w:val="ro-RO"/>
              </w:rPr>
              <w:t>).</w:t>
            </w:r>
          </w:p>
          <w:p w:rsidR="002E1EF3" w:rsidRPr="004C0446" w:rsidRDefault="002E1EF3"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2E1EF3" w:rsidRPr="004C0446" w:rsidRDefault="002E1EF3"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sz w:val="20"/>
                <w:szCs w:val="20"/>
                <w:lang w:val="ro-RO"/>
              </w:rPr>
            </w:pPr>
          </w:p>
          <w:p w:rsidR="002E1EF3" w:rsidRDefault="002E1EF3"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b/>
                <w:sz w:val="20"/>
                <w:szCs w:val="20"/>
                <w:lang w:val="en-US"/>
              </w:rPr>
            </w:pPr>
          </w:p>
          <w:p w:rsidR="00CC7E18" w:rsidRPr="004C0446" w:rsidRDefault="00CC7E18" w:rsidP="003B5354">
            <w:pPr>
              <w:tabs>
                <w:tab w:val="left" w:pos="167"/>
                <w:tab w:val="left" w:pos="315"/>
                <w:tab w:val="left" w:pos="1170"/>
                <w:tab w:val="left" w:pos="1890"/>
                <w:tab w:val="left" w:pos="2655"/>
              </w:tabs>
              <w:spacing w:after="0" w:line="240" w:lineRule="auto"/>
              <w:ind w:right="57"/>
              <w:rPr>
                <w:rFonts w:ascii="Times New Roman" w:eastAsia="Calibri" w:hAnsi="Times New Roman" w:cs="Times New Roman"/>
                <w:b/>
                <w:sz w:val="20"/>
                <w:szCs w:val="20"/>
                <w:lang w:val="en-US"/>
              </w:rPr>
            </w:pPr>
          </w:p>
          <w:p w:rsidR="002E1EF3" w:rsidRPr="004C0446" w:rsidRDefault="002E1EF3" w:rsidP="005256B0">
            <w:pPr>
              <w:tabs>
                <w:tab w:val="left" w:pos="167"/>
                <w:tab w:val="left" w:pos="315"/>
                <w:tab w:val="left" w:pos="1170"/>
                <w:tab w:val="left" w:pos="1890"/>
                <w:tab w:val="left" w:pos="2655"/>
              </w:tabs>
              <w:spacing w:after="40" w:line="240" w:lineRule="auto"/>
              <w:ind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xml:space="preserve">Au fost efectuate 771 vizite consultative, </w:t>
            </w:r>
            <w:r w:rsidR="005256B0" w:rsidRPr="004C0446">
              <w:rPr>
                <w:rFonts w:ascii="Times New Roman" w:eastAsia="Calibri" w:hAnsi="Times New Roman" w:cs="Times New Roman"/>
                <w:color w:val="000000"/>
                <w:sz w:val="20"/>
                <w:szCs w:val="20"/>
                <w:lang w:val="ro-RO"/>
              </w:rPr>
              <w:t>primind</w:t>
            </w:r>
            <w:r w:rsidRPr="004C0446">
              <w:rPr>
                <w:rFonts w:ascii="Times New Roman" w:eastAsia="Calibri" w:hAnsi="Times New Roman" w:cs="Times New Roman"/>
                <w:color w:val="000000"/>
                <w:sz w:val="20"/>
                <w:szCs w:val="20"/>
                <w:lang w:val="ro-RO"/>
              </w:rPr>
              <w:t xml:space="preserve"> consultanță circa 27813 consumatori, față de circa 22 000 consumatori consultați în 2015, sau cu 5813 (21%) consumatori consultați mai mult față de a</w:t>
            </w:r>
            <w:r w:rsidR="005256B0" w:rsidRPr="004C0446">
              <w:rPr>
                <w:rFonts w:ascii="Times New Roman" w:eastAsia="Calibri" w:hAnsi="Times New Roman" w:cs="Times New Roman"/>
                <w:color w:val="000000"/>
                <w:sz w:val="20"/>
                <w:szCs w:val="20"/>
                <w:lang w:val="ro-RO"/>
              </w:rPr>
              <w:t xml:space="preserve">nul </w:t>
            </w:r>
            <w:r w:rsidRPr="004C0446">
              <w:rPr>
                <w:rFonts w:ascii="Times New Roman" w:eastAsia="Calibri" w:hAnsi="Times New Roman" w:cs="Times New Roman"/>
                <w:color w:val="000000"/>
                <w:sz w:val="20"/>
                <w:szCs w:val="20"/>
                <w:lang w:val="ro-RO"/>
              </w:rPr>
              <w:t>2015.</w:t>
            </w:r>
          </w:p>
          <w:p w:rsidR="002E1EF3" w:rsidRPr="004C0446" w:rsidRDefault="005256B0" w:rsidP="005256B0">
            <w:pPr>
              <w:tabs>
                <w:tab w:val="left" w:pos="167"/>
                <w:tab w:val="left" w:pos="315"/>
                <w:tab w:val="left" w:pos="1170"/>
                <w:tab w:val="left" w:pos="1890"/>
                <w:tab w:val="left" w:pos="2655"/>
              </w:tabs>
              <w:spacing w:after="40" w:line="240" w:lineRule="auto"/>
              <w:ind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P</w:t>
            </w:r>
            <w:r w:rsidR="002E1EF3" w:rsidRPr="004C0446">
              <w:rPr>
                <w:rFonts w:ascii="Times New Roman" w:eastAsia="Calibri" w:hAnsi="Times New Roman" w:cs="Times New Roman"/>
                <w:color w:val="000000"/>
                <w:sz w:val="20"/>
                <w:szCs w:val="20"/>
                <w:lang w:val="ro-RO"/>
              </w:rPr>
              <w:t xml:space="preserve">e pagina web </w:t>
            </w:r>
            <w:r w:rsidRPr="004C0446">
              <w:rPr>
                <w:rFonts w:ascii="Times New Roman" w:eastAsia="Calibri" w:hAnsi="Times New Roman" w:cs="Times New Roman"/>
                <w:color w:val="000000"/>
                <w:sz w:val="20"/>
                <w:szCs w:val="20"/>
                <w:lang w:val="ro-RO"/>
              </w:rPr>
              <w:t>a APC</w:t>
            </w:r>
            <w:r w:rsidR="002E1EF3" w:rsidRPr="004C0446">
              <w:rPr>
                <w:rFonts w:ascii="Times New Roman" w:eastAsia="Calibri" w:hAnsi="Times New Roman" w:cs="Times New Roman"/>
                <w:color w:val="000000"/>
                <w:sz w:val="20"/>
                <w:szCs w:val="20"/>
                <w:lang w:val="ro-RO"/>
              </w:rPr>
              <w:t xml:space="preserve"> au fost plasate 276 informații utile pentru consumatori, cu 45 (16%) plasări mai mult, față de anul precedent.</w:t>
            </w:r>
          </w:p>
          <w:p w:rsidR="002E1EF3" w:rsidRPr="004C0446" w:rsidRDefault="005256B0" w:rsidP="005256B0">
            <w:pPr>
              <w:tabs>
                <w:tab w:val="left" w:pos="167"/>
                <w:tab w:val="left" w:pos="315"/>
                <w:tab w:val="left" w:pos="1170"/>
                <w:tab w:val="left" w:pos="1890"/>
                <w:tab w:val="left" w:pos="2655"/>
              </w:tabs>
              <w:spacing w:after="40" w:line="240" w:lineRule="auto"/>
              <w:ind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lastRenderedPageBreak/>
              <w:t>Au fost realizate a</w:t>
            </w:r>
            <w:r w:rsidR="002E1EF3" w:rsidRPr="004C0446">
              <w:rPr>
                <w:rFonts w:ascii="Times New Roman" w:eastAsia="Calibri" w:hAnsi="Times New Roman" w:cs="Times New Roman"/>
                <w:color w:val="000000"/>
                <w:sz w:val="20"/>
                <w:szCs w:val="20"/>
                <w:lang w:val="ro-RO"/>
              </w:rPr>
              <w:t>ctivități de colaborare cu mass-media (inte</w:t>
            </w:r>
            <w:r w:rsidRPr="004C0446">
              <w:rPr>
                <w:rFonts w:ascii="Times New Roman" w:eastAsia="Calibri" w:hAnsi="Times New Roman" w:cs="Times New Roman"/>
                <w:color w:val="000000"/>
                <w:sz w:val="20"/>
                <w:szCs w:val="20"/>
                <w:lang w:val="ro-RO"/>
              </w:rPr>
              <w:t>rviuri TV, radio, presa scrisa);</w:t>
            </w:r>
          </w:p>
          <w:p w:rsidR="002E1EF3" w:rsidRPr="004C0446" w:rsidRDefault="002E1EF3" w:rsidP="005256B0">
            <w:pPr>
              <w:tabs>
                <w:tab w:val="left" w:pos="167"/>
                <w:tab w:val="left" w:pos="315"/>
                <w:tab w:val="left" w:pos="1170"/>
                <w:tab w:val="left" w:pos="1890"/>
                <w:tab w:val="left" w:pos="2655"/>
              </w:tabs>
              <w:spacing w:after="40" w:line="240" w:lineRule="auto"/>
              <w:ind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Au fost acordate 278 interviuri în a</w:t>
            </w:r>
            <w:r w:rsidR="005256B0" w:rsidRPr="004C0446">
              <w:rPr>
                <w:rFonts w:ascii="Times New Roman" w:eastAsia="Calibri" w:hAnsi="Times New Roman" w:cs="Times New Roman"/>
                <w:color w:val="000000"/>
                <w:sz w:val="20"/>
                <w:szCs w:val="20"/>
                <w:lang w:val="ro-RO"/>
              </w:rPr>
              <w:t xml:space="preserve">nul </w:t>
            </w:r>
            <w:r w:rsidRPr="004C0446">
              <w:rPr>
                <w:rFonts w:ascii="Times New Roman" w:eastAsia="Calibri" w:hAnsi="Times New Roman" w:cs="Times New Roman"/>
                <w:color w:val="000000"/>
                <w:sz w:val="20"/>
                <w:szCs w:val="20"/>
                <w:lang w:val="ro-RO"/>
              </w:rPr>
              <w:t>2016, cu 41 interviuri mai mult, față de 237 interviuri în a</w:t>
            </w:r>
            <w:r w:rsidR="005256B0" w:rsidRPr="004C0446">
              <w:rPr>
                <w:rFonts w:ascii="Times New Roman" w:eastAsia="Calibri" w:hAnsi="Times New Roman" w:cs="Times New Roman"/>
                <w:color w:val="000000"/>
                <w:sz w:val="20"/>
                <w:szCs w:val="20"/>
                <w:lang w:val="ro-RO"/>
              </w:rPr>
              <w:t xml:space="preserve">nul </w:t>
            </w:r>
            <w:r w:rsidRPr="004C0446">
              <w:rPr>
                <w:rFonts w:ascii="Times New Roman" w:eastAsia="Calibri" w:hAnsi="Times New Roman" w:cs="Times New Roman"/>
                <w:color w:val="000000"/>
                <w:sz w:val="20"/>
                <w:szCs w:val="20"/>
                <w:lang w:val="ro-RO"/>
              </w:rPr>
              <w:t xml:space="preserve">2015. </w:t>
            </w:r>
          </w:p>
          <w:p w:rsidR="005256B0" w:rsidRPr="004C0446" w:rsidRDefault="005256B0" w:rsidP="005256B0">
            <w:pPr>
              <w:tabs>
                <w:tab w:val="left" w:pos="167"/>
                <w:tab w:val="left" w:pos="315"/>
                <w:tab w:val="left" w:pos="1170"/>
                <w:tab w:val="left" w:pos="1890"/>
                <w:tab w:val="left" w:pos="2655"/>
              </w:tabs>
              <w:spacing w:after="0" w:line="240" w:lineRule="auto"/>
              <w:ind w:right="57"/>
              <w:rPr>
                <w:rFonts w:ascii="Times New Roman" w:eastAsia="Calibri" w:hAnsi="Times New Roman" w:cs="Times New Roman"/>
                <w:color w:val="000000"/>
                <w:sz w:val="20"/>
                <w:szCs w:val="20"/>
                <w:lang w:val="ro-RO"/>
              </w:rPr>
            </w:pPr>
          </w:p>
          <w:p w:rsidR="002E1EF3" w:rsidRPr="004C0446" w:rsidRDefault="00867B24" w:rsidP="003B5354">
            <w:pPr>
              <w:tabs>
                <w:tab w:val="left" w:pos="257"/>
              </w:tabs>
              <w:spacing w:after="40" w:line="240" w:lineRule="auto"/>
              <w:ind w:left="-13" w:right="-51"/>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P</w:t>
            </w:r>
            <w:r w:rsidR="002E1EF3" w:rsidRPr="004C0446">
              <w:rPr>
                <w:rFonts w:ascii="Times New Roman" w:eastAsia="Calibri" w:hAnsi="Times New Roman" w:cs="Times New Roman"/>
                <w:color w:val="000000"/>
                <w:sz w:val="20"/>
                <w:szCs w:val="20"/>
                <w:lang w:val="ro-RO"/>
              </w:rPr>
              <w:t>e parcursul anului 2016 au instruiţi 71 persoane, fiind organizate 70 sesiuni de instruiri, 3 acţiuni privind schimbul de experienţă externă (inspectori, manageri), 771 vizite de informare și educare a consumatorilor și agenților economici, 23 mese rotunde cu agenții economici.</w:t>
            </w:r>
          </w:p>
          <w:p w:rsidR="002E1EF3" w:rsidRPr="004C0446" w:rsidRDefault="002E1EF3" w:rsidP="00867B24">
            <w:pPr>
              <w:tabs>
                <w:tab w:val="left" w:pos="257"/>
              </w:tabs>
              <w:spacing w:after="40" w:line="240" w:lineRule="auto"/>
              <w:ind w:left="-13" w:right="-51"/>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xml:space="preserve">Au </w:t>
            </w:r>
            <w:r w:rsidR="00867B24" w:rsidRPr="004C0446">
              <w:rPr>
                <w:rFonts w:ascii="Times New Roman" w:eastAsia="Calibri" w:hAnsi="Times New Roman" w:cs="Times New Roman"/>
                <w:color w:val="000000"/>
                <w:sz w:val="20"/>
                <w:szCs w:val="20"/>
                <w:lang w:val="ro-RO"/>
              </w:rPr>
              <w:t>fost achiziționate echipamente</w:t>
            </w:r>
            <w:r w:rsidRPr="004C0446">
              <w:rPr>
                <w:rFonts w:ascii="Times New Roman" w:eastAsia="Calibri" w:hAnsi="Times New Roman" w:cs="Times New Roman"/>
                <w:color w:val="000000"/>
                <w:sz w:val="20"/>
                <w:szCs w:val="20"/>
                <w:lang w:val="ro-RO"/>
              </w:rPr>
              <w:t xml:space="preserve"> și </w:t>
            </w:r>
            <w:r w:rsidR="00867B24" w:rsidRPr="004C0446">
              <w:rPr>
                <w:rFonts w:ascii="Times New Roman" w:eastAsia="Calibri" w:hAnsi="Times New Roman" w:cs="Times New Roman"/>
                <w:color w:val="000000"/>
                <w:sz w:val="20"/>
                <w:szCs w:val="20"/>
                <w:lang w:val="ro-RO"/>
              </w:rPr>
              <w:t>materiale</w:t>
            </w:r>
            <w:r w:rsidRPr="004C0446">
              <w:rPr>
                <w:rFonts w:ascii="Times New Roman" w:eastAsia="Calibri" w:hAnsi="Times New Roman" w:cs="Times New Roman"/>
                <w:color w:val="000000"/>
                <w:sz w:val="20"/>
                <w:szCs w:val="20"/>
                <w:lang w:val="ro-RO"/>
              </w:rPr>
              <w:t xml:space="preserve"> pentru expres-testări în valoare de 5258,7 mii lei, din care 4250,6 mii lei prin proceduri de achiziții publice.</w:t>
            </w:r>
          </w:p>
          <w:p w:rsidR="002E1EF3" w:rsidRPr="004C0446" w:rsidRDefault="002E1EF3" w:rsidP="00867B24">
            <w:pPr>
              <w:tabs>
                <w:tab w:val="left" w:pos="257"/>
              </w:tabs>
              <w:spacing w:after="40" w:line="240" w:lineRule="auto"/>
              <w:ind w:left="-13" w:right="-51"/>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Au fost elaborate, aprobate și puse în aplicare 6 proceduri de control în baza analizei riscurilor.</w:t>
            </w:r>
          </w:p>
          <w:p w:rsidR="00222B9A" w:rsidRPr="004C0446" w:rsidRDefault="00222B9A" w:rsidP="00334505">
            <w:pPr>
              <w:spacing w:after="0" w:line="240" w:lineRule="auto"/>
              <w:ind w:right="-52"/>
              <w:jc w:val="both"/>
              <w:rPr>
                <w:rFonts w:ascii="Times New Roman" w:eastAsia="Calibri" w:hAnsi="Times New Roman" w:cs="Times New Roman"/>
                <w:sz w:val="20"/>
                <w:szCs w:val="20"/>
                <w:lang w:val="ro-RO"/>
              </w:rPr>
            </w:pPr>
          </w:p>
          <w:p w:rsidR="00222B9A" w:rsidRPr="004C0446" w:rsidRDefault="00222B9A" w:rsidP="00334505">
            <w:pPr>
              <w:spacing w:after="0" w:line="240" w:lineRule="auto"/>
              <w:ind w:right="-52"/>
              <w:jc w:val="both"/>
              <w:rPr>
                <w:rFonts w:ascii="Times New Roman" w:eastAsia="Calibri" w:hAnsi="Times New Roman" w:cs="Times New Roman"/>
                <w:sz w:val="20"/>
                <w:szCs w:val="20"/>
                <w:lang w:val="ro-RO"/>
              </w:rPr>
            </w:pPr>
          </w:p>
          <w:p w:rsidR="00222B9A" w:rsidRPr="004C0446" w:rsidRDefault="00222B9A" w:rsidP="00334505">
            <w:pPr>
              <w:spacing w:after="0" w:line="240" w:lineRule="auto"/>
              <w:ind w:right="-52"/>
              <w:jc w:val="both"/>
              <w:rPr>
                <w:rFonts w:ascii="Times New Roman" w:eastAsia="Calibri" w:hAnsi="Times New Roman" w:cs="Times New Roman"/>
                <w:sz w:val="20"/>
                <w:szCs w:val="20"/>
                <w:lang w:val="ro-RO"/>
              </w:rPr>
            </w:pPr>
          </w:p>
          <w:p w:rsidR="00222B9A" w:rsidRPr="004C0446" w:rsidRDefault="00222B9A" w:rsidP="00334505">
            <w:pPr>
              <w:spacing w:after="0" w:line="240" w:lineRule="auto"/>
              <w:ind w:right="-52"/>
              <w:jc w:val="both"/>
              <w:rPr>
                <w:rFonts w:ascii="Times New Roman" w:eastAsia="Calibri" w:hAnsi="Times New Roman" w:cs="Times New Roman"/>
                <w:sz w:val="20"/>
                <w:szCs w:val="20"/>
                <w:lang w:val="ro-RO"/>
              </w:rPr>
            </w:pPr>
          </w:p>
          <w:p w:rsidR="00222B9A" w:rsidRPr="004C0446" w:rsidRDefault="00222B9A" w:rsidP="00334505">
            <w:pPr>
              <w:spacing w:after="0" w:line="240" w:lineRule="auto"/>
              <w:ind w:right="-52"/>
              <w:jc w:val="both"/>
              <w:rPr>
                <w:rFonts w:ascii="Times New Roman" w:eastAsia="Calibri" w:hAnsi="Times New Roman" w:cs="Times New Roman"/>
                <w:sz w:val="20"/>
                <w:szCs w:val="20"/>
                <w:lang w:val="ro-RO"/>
              </w:rPr>
            </w:pPr>
          </w:p>
          <w:p w:rsidR="00222B9A" w:rsidRPr="004C0446" w:rsidRDefault="00222B9A" w:rsidP="00334505">
            <w:pPr>
              <w:spacing w:after="0" w:line="240" w:lineRule="auto"/>
              <w:ind w:right="-52"/>
              <w:jc w:val="both"/>
              <w:rPr>
                <w:rFonts w:ascii="Times New Roman" w:eastAsia="Calibri" w:hAnsi="Times New Roman" w:cs="Times New Roman"/>
                <w:sz w:val="20"/>
                <w:szCs w:val="20"/>
                <w:lang w:val="ro-RO"/>
              </w:rPr>
            </w:pPr>
          </w:p>
          <w:p w:rsidR="004B2895" w:rsidRPr="004C0446" w:rsidRDefault="004B2895" w:rsidP="00334505">
            <w:pPr>
              <w:spacing w:after="0" w:line="240" w:lineRule="auto"/>
              <w:ind w:right="-52"/>
              <w:jc w:val="both"/>
              <w:rPr>
                <w:rFonts w:ascii="Times New Roman" w:eastAsia="Calibri" w:hAnsi="Times New Roman" w:cs="Times New Roman"/>
                <w:sz w:val="20"/>
                <w:szCs w:val="20"/>
                <w:lang w:val="ro-RO"/>
              </w:rPr>
            </w:pPr>
          </w:p>
          <w:p w:rsidR="007D70CB" w:rsidRPr="004C0446" w:rsidRDefault="007D70CB" w:rsidP="004B2895">
            <w:pPr>
              <w:tabs>
                <w:tab w:val="left" w:pos="167"/>
              </w:tabs>
              <w:spacing w:after="0" w:line="240" w:lineRule="auto"/>
              <w:ind w:right="4"/>
              <w:rPr>
                <w:rFonts w:ascii="Times New Roman" w:eastAsia="Calibri" w:hAnsi="Times New Roman" w:cs="Times New Roman"/>
                <w:sz w:val="20"/>
                <w:szCs w:val="20"/>
                <w:lang w:val="ro-RO"/>
              </w:rPr>
            </w:pPr>
          </w:p>
          <w:p w:rsidR="002E1EF3" w:rsidRPr="004C0446" w:rsidRDefault="002E1EF3" w:rsidP="004B2895">
            <w:pPr>
              <w:tabs>
                <w:tab w:val="left" w:pos="167"/>
              </w:tabs>
              <w:spacing w:after="0" w:line="240" w:lineRule="auto"/>
              <w:ind w:right="4"/>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În contextul fortificării activităţilor de colaborare cu autorităţile de competenţă, inclusiv cu autorități europene, pe parcursul perioadei de raportare au fost încheiate 5 Acorduri de colaborare:</w:t>
            </w:r>
          </w:p>
          <w:p w:rsidR="002E1EF3" w:rsidRPr="004C0446" w:rsidRDefault="002E1EF3" w:rsidP="000407C1">
            <w:pPr>
              <w:pStyle w:val="ListParagraph"/>
              <w:numPr>
                <w:ilvl w:val="0"/>
                <w:numId w:val="18"/>
              </w:numPr>
              <w:tabs>
                <w:tab w:val="left" w:pos="252"/>
              </w:tabs>
              <w:spacing w:after="0" w:line="240" w:lineRule="auto"/>
              <w:ind w:left="437" w:right="4" w:hanging="270"/>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Memorandumul de Înţelegere cu Proiectul PNUD Moldova, Agenţia devenind partenerul principal al Platformei ”ÎmiPasă”;</w:t>
            </w:r>
          </w:p>
          <w:p w:rsidR="002E1EF3" w:rsidRPr="004C0446" w:rsidRDefault="002E1EF3" w:rsidP="000407C1">
            <w:pPr>
              <w:pStyle w:val="ListParagraph"/>
              <w:numPr>
                <w:ilvl w:val="0"/>
                <w:numId w:val="18"/>
              </w:numPr>
              <w:tabs>
                <w:tab w:val="left" w:pos="252"/>
              </w:tabs>
              <w:spacing w:after="0" w:line="240" w:lineRule="auto"/>
              <w:ind w:left="437" w:right="4" w:hanging="270"/>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shd w:val="clear" w:color="auto" w:fill="FFFFFF"/>
                <w:lang w:val="ro-MD"/>
              </w:rPr>
              <w:t xml:space="preserve">Acord de colaborare cu </w:t>
            </w:r>
            <w:r w:rsidRPr="004C0446">
              <w:rPr>
                <w:rFonts w:ascii="Times New Roman" w:eastAsia="Calibri" w:hAnsi="Times New Roman" w:cs="Times New Roman"/>
                <w:sz w:val="20"/>
                <w:szCs w:val="20"/>
                <w:lang w:val="ro-MD"/>
              </w:rPr>
              <w:t xml:space="preserve">Autoritatea Naţională pentru Protecţia Consumatorilor din </w:t>
            </w:r>
            <w:r w:rsidRPr="004C0446">
              <w:rPr>
                <w:rFonts w:ascii="Times New Roman" w:eastAsia="Calibri" w:hAnsi="Times New Roman" w:cs="Times New Roman"/>
                <w:sz w:val="20"/>
                <w:szCs w:val="20"/>
                <w:shd w:val="clear" w:color="auto" w:fill="FFFFFF"/>
                <w:lang w:val="en-US"/>
              </w:rPr>
              <w:t>România;</w:t>
            </w:r>
          </w:p>
          <w:p w:rsidR="002E1EF3" w:rsidRPr="004C0446" w:rsidRDefault="002E1EF3" w:rsidP="000407C1">
            <w:pPr>
              <w:pStyle w:val="ListParagraph"/>
              <w:numPr>
                <w:ilvl w:val="0"/>
                <w:numId w:val="18"/>
              </w:numPr>
              <w:tabs>
                <w:tab w:val="left" w:pos="252"/>
              </w:tabs>
              <w:spacing w:after="0" w:line="240" w:lineRule="auto"/>
              <w:ind w:left="437" w:hanging="270"/>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shd w:val="clear" w:color="auto" w:fill="FFFFFF"/>
                <w:lang w:val="en-US"/>
              </w:rPr>
              <w:t>Memorandum de înţelegere cu Autoritatea maghiară pentru Protecţia Consumatorilor;</w:t>
            </w:r>
          </w:p>
          <w:p w:rsidR="002E1EF3" w:rsidRPr="004C0446" w:rsidRDefault="002E1EF3" w:rsidP="000407C1">
            <w:pPr>
              <w:pStyle w:val="ListParagraph"/>
              <w:numPr>
                <w:ilvl w:val="0"/>
                <w:numId w:val="18"/>
              </w:numPr>
              <w:tabs>
                <w:tab w:val="left" w:pos="252"/>
              </w:tabs>
              <w:spacing w:after="0" w:line="240" w:lineRule="auto"/>
              <w:ind w:left="437" w:hanging="270"/>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MD"/>
              </w:rPr>
              <w:lastRenderedPageBreak/>
              <w:t>Memorandumul de înţelegere privind asistenţa reciprocă în domeniul protecţiei consumatorilor şi supravegherea pieţei, cu Autoritatea pentru Protecţia Consumatorilor din Estonia;</w:t>
            </w:r>
          </w:p>
          <w:p w:rsidR="002E1EF3" w:rsidRPr="004C0446" w:rsidRDefault="002E1EF3" w:rsidP="000407C1">
            <w:pPr>
              <w:pStyle w:val="ListParagraph"/>
              <w:numPr>
                <w:ilvl w:val="0"/>
                <w:numId w:val="18"/>
              </w:numPr>
              <w:spacing w:after="0" w:line="240" w:lineRule="auto"/>
              <w:ind w:left="437" w:hanging="270"/>
              <w:rPr>
                <w:rFonts w:ascii="Times New Roman" w:eastAsia="Calibri" w:hAnsi="Times New Roman" w:cs="Times New Roman"/>
                <w:color w:val="000000"/>
                <w:sz w:val="20"/>
                <w:szCs w:val="20"/>
                <w:lang w:val="ro-RO"/>
              </w:rPr>
            </w:pPr>
            <w:r w:rsidRPr="004C0446">
              <w:rPr>
                <w:rFonts w:ascii="Times New Roman" w:eastAsia="Calibri" w:hAnsi="Times New Roman" w:cs="Times New Roman"/>
                <w:sz w:val="20"/>
                <w:szCs w:val="20"/>
                <w:lang w:val="ro-MD"/>
              </w:rPr>
              <w:t>Memorandumul de înţelegere privind asistenţa reciprocă în domeniul protecţiei consumatorilor şi supravegherea pieţei, cu Autoritatea pentr</w:t>
            </w:r>
            <w:r w:rsidR="004D4CB8" w:rsidRPr="004C0446">
              <w:rPr>
                <w:rFonts w:ascii="Times New Roman" w:eastAsia="Calibri" w:hAnsi="Times New Roman" w:cs="Times New Roman"/>
                <w:sz w:val="20"/>
                <w:szCs w:val="20"/>
                <w:lang w:val="ro-MD"/>
              </w:rPr>
              <w:t xml:space="preserve">u Protecţia Consumatorilor din </w:t>
            </w:r>
            <w:r w:rsidRPr="004C0446">
              <w:rPr>
                <w:rFonts w:ascii="Times New Roman" w:eastAsia="Calibri" w:hAnsi="Times New Roman" w:cs="Times New Roman"/>
                <w:sz w:val="20"/>
                <w:szCs w:val="20"/>
                <w:lang w:val="ro-MD"/>
              </w:rPr>
              <w:t>Letonia</w:t>
            </w:r>
            <w:r w:rsidRPr="004C0446">
              <w:rPr>
                <w:rFonts w:ascii="Times New Roman" w:eastAsia="Calibri" w:hAnsi="Times New Roman" w:cs="Times New Roman"/>
                <w:color w:val="000000"/>
                <w:sz w:val="20"/>
                <w:szCs w:val="20"/>
                <w:lang w:val="ro-RO"/>
              </w:rPr>
              <w:t>.</w:t>
            </w:r>
          </w:p>
          <w:p w:rsidR="00E779BB" w:rsidRPr="004C0446" w:rsidRDefault="00E779BB" w:rsidP="00E779BB">
            <w:pPr>
              <w:spacing w:after="0" w:line="240" w:lineRule="auto"/>
              <w:rPr>
                <w:rFonts w:ascii="Times New Roman" w:eastAsia="Calibri" w:hAnsi="Times New Roman" w:cs="Times New Roman"/>
                <w:color w:val="000000"/>
                <w:sz w:val="20"/>
                <w:szCs w:val="20"/>
                <w:lang w:val="ro-RO"/>
              </w:rPr>
            </w:pPr>
          </w:p>
          <w:p w:rsidR="004D4CB8" w:rsidRPr="004C0446" w:rsidRDefault="002E1EF3" w:rsidP="00C97351">
            <w:pPr>
              <w:spacing w:after="40" w:line="240" w:lineRule="auto"/>
              <w:rPr>
                <w:rFonts w:ascii="Times New Roman" w:eastAsia="Calibri" w:hAnsi="Times New Roman" w:cs="Times New Roman"/>
                <w:bCs/>
                <w:color w:val="000000"/>
                <w:sz w:val="20"/>
                <w:szCs w:val="20"/>
                <w:lang w:val="ro-RO"/>
              </w:rPr>
            </w:pPr>
            <w:r w:rsidRPr="004C0446">
              <w:rPr>
                <w:rFonts w:ascii="Times New Roman" w:eastAsia="Calibri" w:hAnsi="Times New Roman" w:cs="Times New Roman"/>
                <w:color w:val="000000"/>
                <w:sz w:val="20"/>
                <w:szCs w:val="20"/>
                <w:lang w:val="ro-RO"/>
              </w:rPr>
              <w:t>În scopul inform</w:t>
            </w:r>
            <w:r w:rsidR="004D4CB8" w:rsidRPr="004C0446">
              <w:rPr>
                <w:rFonts w:ascii="Times New Roman" w:eastAsia="Calibri" w:hAnsi="Times New Roman" w:cs="Times New Roman"/>
                <w:color w:val="000000"/>
                <w:sz w:val="20"/>
                <w:szCs w:val="20"/>
                <w:lang w:val="ro-RO"/>
              </w:rPr>
              <w:t>ării</w:t>
            </w:r>
            <w:r w:rsidRPr="004C0446">
              <w:rPr>
                <w:rFonts w:ascii="Times New Roman" w:eastAsia="Calibri" w:hAnsi="Times New Roman" w:cs="Times New Roman"/>
                <w:color w:val="000000"/>
                <w:sz w:val="20"/>
                <w:szCs w:val="20"/>
                <w:lang w:val="ro-RO"/>
              </w:rPr>
              <w:t xml:space="preserve"> mediului de afaceri </w:t>
            </w:r>
            <w:r w:rsidRPr="004C0446">
              <w:rPr>
                <w:rFonts w:ascii="Times New Roman" w:eastAsia="Calibri" w:hAnsi="Times New Roman" w:cs="Times New Roman"/>
                <w:bCs/>
                <w:color w:val="000000"/>
                <w:sz w:val="20"/>
                <w:szCs w:val="20"/>
                <w:lang w:val="ro-RO"/>
              </w:rPr>
              <w:t>privind cerinţele aplicabile, regulile d</w:t>
            </w:r>
            <w:r w:rsidR="004D4CB8" w:rsidRPr="004C0446">
              <w:rPr>
                <w:rFonts w:ascii="Times New Roman" w:eastAsia="Calibri" w:hAnsi="Times New Roman" w:cs="Times New Roman"/>
                <w:bCs/>
                <w:color w:val="000000"/>
                <w:sz w:val="20"/>
                <w:szCs w:val="20"/>
                <w:lang w:val="ro-RO"/>
              </w:rPr>
              <w:t>e comerţ şi de plasare pe piaţă</w:t>
            </w:r>
            <w:r w:rsidRPr="004C0446">
              <w:rPr>
                <w:rFonts w:ascii="Times New Roman" w:eastAsia="Calibri" w:hAnsi="Times New Roman" w:cs="Times New Roman"/>
                <w:bCs/>
                <w:color w:val="000000"/>
                <w:sz w:val="20"/>
                <w:szCs w:val="20"/>
                <w:lang w:val="ro-RO"/>
              </w:rPr>
              <w:t xml:space="preserve"> au fost efectuate 7 campanii organizate și diseminate 23828 exemplare pliante.</w:t>
            </w:r>
          </w:p>
          <w:p w:rsidR="002E1EF3" w:rsidRPr="004C0446" w:rsidRDefault="002E1EF3" w:rsidP="00C97351">
            <w:pPr>
              <w:spacing w:after="40" w:line="240" w:lineRule="auto"/>
              <w:rPr>
                <w:rFonts w:ascii="Times New Roman" w:eastAsia="Calibri" w:hAnsi="Times New Roman" w:cs="Times New Roman"/>
                <w:bCs/>
                <w:color w:val="000000"/>
                <w:sz w:val="20"/>
                <w:szCs w:val="20"/>
                <w:lang w:val="ro-RO"/>
              </w:rPr>
            </w:pPr>
            <w:r w:rsidRPr="004C0446">
              <w:rPr>
                <w:rFonts w:ascii="Times New Roman" w:eastAsia="Calibri" w:hAnsi="Times New Roman" w:cs="Times New Roman"/>
                <w:color w:val="000000"/>
                <w:sz w:val="20"/>
                <w:szCs w:val="20"/>
                <w:lang w:val="en-US"/>
              </w:rPr>
              <w:t>Pentru a spori sensibilizarea consumatorilor în acest sens, APC a distribuit circa 23828 pliante informaţionale.</w:t>
            </w:r>
          </w:p>
          <w:p w:rsidR="002E1EF3" w:rsidRPr="004C0446" w:rsidRDefault="002E1EF3" w:rsidP="00C97351">
            <w:pPr>
              <w:spacing w:after="0" w:line="240" w:lineRule="auto"/>
              <w:rPr>
                <w:rFonts w:ascii="Times New Roman" w:eastAsia="Calibri" w:hAnsi="Times New Roman" w:cs="Times New Roman"/>
                <w:color w:val="000000"/>
                <w:sz w:val="18"/>
                <w:szCs w:val="18"/>
                <w:lang w:val="ro-RO"/>
              </w:rPr>
            </w:pPr>
            <w:r w:rsidRPr="004C0446">
              <w:rPr>
                <w:rFonts w:ascii="Times New Roman" w:eastAsia="Calibri" w:hAnsi="Times New Roman" w:cs="Times New Roman"/>
                <w:color w:val="000000"/>
                <w:sz w:val="20"/>
                <w:szCs w:val="20"/>
                <w:lang w:val="en-US"/>
              </w:rPr>
              <w:t xml:space="preserve">Au fost realizate: 126 vizite de informare în instituţiile de învăţămînt şi tabere de odihnă, unde au fost informați 9635 consumatori cu privire la calitatea produselor și serviciilor, drepturile consumatorilor atribuite prin lege; 40 specialişti antrenaţi în cadrul vizitelor ; </w:t>
            </w:r>
            <w:r w:rsidR="00C97351" w:rsidRPr="004C0446">
              <w:rPr>
                <w:rFonts w:ascii="Times New Roman" w:eastAsia="Calibri" w:hAnsi="Times New Roman" w:cs="Times New Roman"/>
                <w:color w:val="000000"/>
                <w:sz w:val="20"/>
                <w:szCs w:val="20"/>
                <w:lang w:val="en-US"/>
              </w:rPr>
              <w:t>10500 (exemplare) de</w:t>
            </w:r>
            <w:r w:rsidRPr="004C0446">
              <w:rPr>
                <w:rFonts w:ascii="Times New Roman" w:eastAsia="Calibri" w:hAnsi="Times New Roman" w:cs="Times New Roman"/>
                <w:color w:val="000000"/>
                <w:sz w:val="20"/>
                <w:szCs w:val="20"/>
                <w:lang w:val="en-US"/>
              </w:rPr>
              <w:t xml:space="preserve"> pliante/fişe informative distribuite.</w:t>
            </w:r>
          </w:p>
          <w:p w:rsidR="00C97351" w:rsidRPr="004C0446" w:rsidRDefault="002E1EF3" w:rsidP="00C97351">
            <w:pPr>
              <w:spacing w:after="40" w:line="240" w:lineRule="auto"/>
              <w:rPr>
                <w:rFonts w:ascii="Times New Roman" w:eastAsia="Calibri" w:hAnsi="Times New Roman" w:cs="Times New Roman"/>
                <w:color w:val="000000"/>
                <w:sz w:val="20"/>
                <w:szCs w:val="20"/>
                <w:lang w:val="en-US"/>
              </w:rPr>
            </w:pPr>
            <w:r w:rsidRPr="004C0446">
              <w:rPr>
                <w:rFonts w:ascii="Times New Roman" w:eastAsia="Calibri" w:hAnsi="Times New Roman" w:cs="Times New Roman"/>
                <w:color w:val="000000"/>
                <w:sz w:val="20"/>
                <w:szCs w:val="20"/>
                <w:lang w:val="en-US"/>
              </w:rPr>
              <w:t xml:space="preserve">În anul 2016 APC a realizat 2 activităţi importante (conferinţe) cu participarea presei: </w:t>
            </w:r>
          </w:p>
          <w:p w:rsidR="002E1EF3" w:rsidRPr="004C0446" w:rsidRDefault="002E1EF3" w:rsidP="00C97351">
            <w:pPr>
              <w:spacing w:after="40" w:line="240" w:lineRule="auto"/>
              <w:rPr>
                <w:rFonts w:ascii="Times New Roman" w:eastAsia="Calibri" w:hAnsi="Times New Roman" w:cs="Times New Roman"/>
                <w:color w:val="000000"/>
                <w:sz w:val="20"/>
                <w:szCs w:val="20"/>
                <w:lang w:val="en-US"/>
              </w:rPr>
            </w:pPr>
            <w:r w:rsidRPr="004C0446">
              <w:rPr>
                <w:rFonts w:ascii="Times New Roman" w:eastAsia="Calibri" w:hAnsi="Times New Roman" w:cs="Times New Roman"/>
                <w:color w:val="000000"/>
                <w:sz w:val="20"/>
                <w:szCs w:val="20"/>
                <w:lang w:val="en-US"/>
              </w:rPr>
              <w:t>- De Ziua mondială a consumatorului http://consumator.gov.md/libview.php?l=ro&amp;idc=46&amp;id= 1357&amp;t=/Comunicate-de-presa</w:t>
            </w:r>
          </w:p>
          <w:p w:rsidR="002E1EF3" w:rsidRPr="004C0446" w:rsidRDefault="00C97351" w:rsidP="00C97351">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en-US"/>
              </w:rPr>
              <w:t xml:space="preserve">- </w:t>
            </w:r>
            <w:r w:rsidR="002E1EF3" w:rsidRPr="004C0446">
              <w:rPr>
                <w:rFonts w:ascii="Times New Roman" w:eastAsia="Calibri" w:hAnsi="Times New Roman" w:cs="Times New Roman"/>
                <w:color w:val="000000"/>
                <w:sz w:val="20"/>
                <w:szCs w:val="20"/>
                <w:lang w:val="en-US"/>
              </w:rPr>
              <w:t>Intervenţia live, în cadrul emisiunii Euroconsumatorul, duplex TVR Romania-TVR Moldova, a cărui subiect a fost încheierea Acordului de colaborare reciprocă între APC Moldova şi ANPC Ro</w:t>
            </w:r>
            <w:r w:rsidR="00740BE0">
              <w:rPr>
                <w:rFonts w:ascii="Times New Roman" w:eastAsia="Calibri" w:hAnsi="Times New Roman" w:cs="Times New Roman"/>
                <w:color w:val="000000"/>
                <w:sz w:val="20"/>
                <w:szCs w:val="20"/>
                <w:lang w:val="en-US"/>
              </w:rPr>
              <w:t>m</w:t>
            </w:r>
            <w:r w:rsidR="002E1EF3" w:rsidRPr="004C0446">
              <w:rPr>
                <w:rFonts w:ascii="Times New Roman" w:eastAsia="Calibri" w:hAnsi="Times New Roman" w:cs="Times New Roman"/>
                <w:color w:val="000000"/>
                <w:sz w:val="20"/>
                <w:szCs w:val="20"/>
                <w:lang w:val="en-US"/>
              </w:rPr>
              <w:t xml:space="preserve">ânia </w:t>
            </w:r>
            <w:r w:rsidR="002E1EF3" w:rsidRPr="004C0446">
              <w:rPr>
                <w:rFonts w:ascii="Times New Roman" w:eastAsia="Calibri" w:hAnsi="Times New Roman" w:cs="Times New Roman"/>
                <w:color w:val="000000"/>
                <w:sz w:val="20"/>
                <w:szCs w:val="20"/>
                <w:lang w:val="en-US"/>
              </w:rPr>
              <w:lastRenderedPageBreak/>
              <w:t>http://consumator.gov.md/libview.php?l=ro&amp;idc=46&amp;id=1 492&amp;t=/Comunicate-de-presa/A-fost-semnat-Acordul-decolaborare.</w:t>
            </w:r>
          </w:p>
          <w:p w:rsidR="00C97351" w:rsidRPr="004C0446" w:rsidRDefault="00C97351" w:rsidP="00C97351">
            <w:pPr>
              <w:pStyle w:val="ListParagraph"/>
              <w:spacing w:after="0" w:line="240" w:lineRule="auto"/>
              <w:ind w:left="167"/>
              <w:jc w:val="both"/>
              <w:rPr>
                <w:rFonts w:ascii="Times New Roman" w:eastAsia="Calibri" w:hAnsi="Times New Roman" w:cs="Times New Roman"/>
                <w:color w:val="000000"/>
                <w:sz w:val="20"/>
                <w:szCs w:val="20"/>
                <w:lang w:val="ro-RO"/>
              </w:rPr>
            </w:pPr>
          </w:p>
          <w:p w:rsidR="009D29FB" w:rsidRPr="004C0446" w:rsidRDefault="002E1EF3" w:rsidP="001D6094">
            <w:pPr>
              <w:spacing w:after="4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sz w:val="20"/>
                <w:szCs w:val="20"/>
                <w:lang w:val="ro-RO"/>
              </w:rPr>
              <w:t>Pe parcursul anului 2016 pe site-ul APC au fost adăugate noi compartimete (colaborare), noi banere, precum și compartimetul video din partea dreaptă a paginii (video rulante de la articole media).</w:t>
            </w:r>
          </w:p>
          <w:p w:rsidR="002E1EF3" w:rsidRPr="004C0446" w:rsidRDefault="002E1EF3" w:rsidP="001D6094">
            <w:pPr>
              <w:spacing w:after="40" w:line="240" w:lineRule="auto"/>
              <w:jc w:val="both"/>
              <w:rPr>
                <w:rFonts w:ascii="Times New Roman" w:eastAsia="Calibri" w:hAnsi="Times New Roman" w:cs="Times New Roman"/>
                <w:color w:val="000000"/>
                <w:sz w:val="20"/>
                <w:szCs w:val="20"/>
                <w:lang w:val="ro-RO"/>
              </w:rPr>
            </w:pPr>
            <w:r w:rsidRPr="004C0446">
              <w:rPr>
                <w:rFonts w:ascii="Times New Roman" w:eastAsia="Times New Roman" w:hAnsi="Times New Roman" w:cs="Times New Roman"/>
                <w:sz w:val="20"/>
                <w:szCs w:val="20"/>
                <w:lang w:val="en-US"/>
              </w:rPr>
              <w:t>Conferințele online au fost înlocuite cu deplasarea în subdiviziunile din teritoriu (Bălți și Cahul). Au avut loc 4 deplasări, două din care, informația a fost publicată pe site-ul APC.</w:t>
            </w:r>
          </w:p>
          <w:p w:rsidR="00A77742" w:rsidRDefault="002E1EF3" w:rsidP="00C27A68">
            <w:pPr>
              <w:spacing w:after="0" w:line="240" w:lineRule="auto"/>
              <w:jc w:val="both"/>
              <w:rPr>
                <w:rFonts w:ascii="Times New Roman" w:eastAsia="Calibri" w:hAnsi="Times New Roman" w:cs="Times New Roman"/>
                <w:color w:val="000000"/>
                <w:sz w:val="20"/>
                <w:szCs w:val="20"/>
                <w:lang w:val="en-US"/>
              </w:rPr>
            </w:pPr>
            <w:r w:rsidRPr="004C0446">
              <w:rPr>
                <w:rFonts w:ascii="Times New Roman" w:eastAsia="Calibri" w:hAnsi="Times New Roman" w:cs="Times New Roman"/>
                <w:sz w:val="20"/>
                <w:szCs w:val="20"/>
                <w:lang w:val="en-US"/>
              </w:rPr>
              <w:t>Au fost lansate 2 spoturi publicitare pe pagina web a Agenţiei și difuzate prin 10 canale TV/Radio.</w:t>
            </w:r>
          </w:p>
          <w:p w:rsidR="002E1EF3" w:rsidRPr="00A77742" w:rsidRDefault="002E1EF3" w:rsidP="00A77742">
            <w:pPr>
              <w:rPr>
                <w:rFonts w:ascii="Times New Roman" w:eastAsia="Calibri" w:hAnsi="Times New Roman" w:cs="Times New Roman"/>
                <w:sz w:val="20"/>
                <w:szCs w:val="20"/>
                <w:lang w:val="en-US"/>
              </w:rPr>
            </w:pPr>
          </w:p>
        </w:tc>
        <w:tc>
          <w:tcPr>
            <w:tcW w:w="1135" w:type="dxa"/>
            <w:vMerge w:val="restart"/>
            <w:shd w:val="clear" w:color="auto" w:fill="auto"/>
          </w:tcPr>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r w:rsidRPr="005911BC">
              <w:rPr>
                <w:rFonts w:ascii="Times New Roman" w:eastAsia="Calibri" w:hAnsi="Times New Roman" w:cs="Times New Roman"/>
                <w:bCs/>
                <w:sz w:val="20"/>
                <w:szCs w:val="20"/>
                <w:lang w:val="ro-RO" w:eastAsia="nl-NL"/>
              </w:rPr>
              <w:lastRenderedPageBreak/>
              <w:t>7993,9</w:t>
            </w: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color w:val="FF0000"/>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color w:val="FF0000"/>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color w:val="FF0000"/>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color w:val="FF0000"/>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color w:val="FF0000"/>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color w:val="FF0000"/>
                <w:sz w:val="20"/>
                <w:szCs w:val="20"/>
                <w:lang w:val="ro-RO" w:eastAsia="nl-NL"/>
              </w:rPr>
            </w:pPr>
          </w:p>
          <w:p w:rsidR="00BC40B5" w:rsidRPr="005911BC" w:rsidRDefault="00BC40B5" w:rsidP="00BC40B5">
            <w:pPr>
              <w:spacing w:after="0" w:line="240" w:lineRule="auto"/>
              <w:rPr>
                <w:rFonts w:ascii="Times New Roman" w:eastAsia="Calibri" w:hAnsi="Times New Roman" w:cs="Times New Roman"/>
                <w:bCs/>
                <w:color w:val="FF0000"/>
                <w:sz w:val="20"/>
                <w:szCs w:val="20"/>
                <w:lang w:val="ro-RO" w:eastAsia="nl-NL"/>
              </w:rPr>
            </w:pPr>
          </w:p>
          <w:p w:rsidR="00CC7E18" w:rsidRPr="005911BC" w:rsidRDefault="00CC7E18" w:rsidP="00BC40B5">
            <w:pPr>
              <w:spacing w:after="0" w:line="240" w:lineRule="auto"/>
              <w:rPr>
                <w:rFonts w:ascii="Times New Roman" w:eastAsia="Calibri" w:hAnsi="Times New Roman" w:cs="Times New Roman"/>
                <w:bCs/>
                <w:color w:val="FF0000"/>
                <w:sz w:val="20"/>
                <w:szCs w:val="20"/>
                <w:lang w:val="ro-RO" w:eastAsia="nl-NL"/>
              </w:rPr>
            </w:pPr>
          </w:p>
          <w:p w:rsidR="00CC7E18" w:rsidRPr="005911BC" w:rsidRDefault="00CC7E18" w:rsidP="00BC40B5">
            <w:pPr>
              <w:spacing w:after="0" w:line="240" w:lineRule="auto"/>
              <w:rPr>
                <w:rFonts w:ascii="Times New Roman" w:eastAsia="Calibri" w:hAnsi="Times New Roman" w:cs="Times New Roman"/>
                <w:bCs/>
                <w:color w:val="FF0000"/>
                <w:sz w:val="20"/>
                <w:szCs w:val="20"/>
                <w:lang w:val="ro-RO" w:eastAsia="nl-NL"/>
              </w:rPr>
            </w:pPr>
          </w:p>
          <w:p w:rsidR="00CC7E18" w:rsidRPr="005911BC" w:rsidRDefault="00CC7E18" w:rsidP="00BC40B5">
            <w:pPr>
              <w:spacing w:after="0" w:line="240" w:lineRule="auto"/>
              <w:rPr>
                <w:rFonts w:ascii="Times New Roman" w:eastAsia="Calibri" w:hAnsi="Times New Roman" w:cs="Times New Roman"/>
                <w:bCs/>
                <w:color w:val="FF0000"/>
                <w:sz w:val="20"/>
                <w:szCs w:val="20"/>
                <w:lang w:val="ro-RO" w:eastAsia="nl-NL"/>
              </w:rPr>
            </w:pPr>
          </w:p>
          <w:p w:rsidR="002E1EF3" w:rsidRPr="005911BC" w:rsidRDefault="002E1EF3" w:rsidP="00334505">
            <w:pPr>
              <w:spacing w:after="0" w:line="240" w:lineRule="auto"/>
              <w:jc w:val="center"/>
              <w:rPr>
                <w:rFonts w:ascii="Times New Roman" w:eastAsia="Times New Roman" w:hAnsi="Times New Roman" w:cs="Times New Roman"/>
                <w:sz w:val="20"/>
                <w:szCs w:val="20"/>
                <w:lang w:val="ro-RO"/>
              </w:rPr>
            </w:pPr>
            <w:r w:rsidRPr="005911BC">
              <w:rPr>
                <w:rFonts w:ascii="Times New Roman" w:eastAsia="Times New Roman" w:hAnsi="Times New Roman" w:cs="Times New Roman"/>
                <w:sz w:val="20"/>
                <w:szCs w:val="20"/>
                <w:lang w:val="ro-RO"/>
              </w:rPr>
              <w:t>7750,0</w:t>
            </w: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sz w:val="20"/>
                <w:szCs w:val="20"/>
                <w:lang w:val="ro-MD" w:eastAsia="nl-NL"/>
              </w:rPr>
            </w:pPr>
          </w:p>
          <w:p w:rsidR="002E1EF3" w:rsidRPr="005911BC" w:rsidRDefault="002E1EF3" w:rsidP="002E1EF3">
            <w:pPr>
              <w:spacing w:after="0" w:line="240" w:lineRule="auto"/>
              <w:ind w:right="27"/>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22B9A" w:rsidRPr="005911BC" w:rsidRDefault="00222B9A" w:rsidP="00334505">
            <w:pPr>
              <w:spacing w:after="0" w:line="240" w:lineRule="auto"/>
              <w:ind w:right="27"/>
              <w:jc w:val="center"/>
              <w:rPr>
                <w:rFonts w:ascii="Times New Roman" w:eastAsia="Calibri" w:hAnsi="Times New Roman" w:cs="Times New Roman"/>
                <w:bCs/>
                <w:i/>
                <w:sz w:val="20"/>
                <w:szCs w:val="20"/>
                <w:lang w:val="ro-MD" w:eastAsia="nl-NL"/>
              </w:rPr>
            </w:pPr>
          </w:p>
          <w:p w:rsidR="00222B9A" w:rsidRPr="005911BC" w:rsidRDefault="00222B9A" w:rsidP="00334505">
            <w:pPr>
              <w:spacing w:after="0" w:line="240" w:lineRule="auto"/>
              <w:ind w:right="27"/>
              <w:jc w:val="center"/>
              <w:rPr>
                <w:rFonts w:ascii="Times New Roman" w:eastAsia="Calibri" w:hAnsi="Times New Roman" w:cs="Times New Roman"/>
                <w:bCs/>
                <w:i/>
                <w:sz w:val="20"/>
                <w:szCs w:val="20"/>
                <w:lang w:val="ro-MD" w:eastAsia="nl-NL"/>
              </w:rPr>
            </w:pPr>
          </w:p>
          <w:p w:rsidR="00222B9A" w:rsidRPr="005911BC" w:rsidRDefault="00222B9A" w:rsidP="00334505">
            <w:pPr>
              <w:spacing w:after="0" w:line="240" w:lineRule="auto"/>
              <w:ind w:right="27"/>
              <w:jc w:val="center"/>
              <w:rPr>
                <w:rFonts w:ascii="Times New Roman" w:eastAsia="Calibri" w:hAnsi="Times New Roman" w:cs="Times New Roman"/>
                <w:bCs/>
                <w:i/>
                <w:sz w:val="20"/>
                <w:szCs w:val="20"/>
                <w:lang w:val="ro-MD" w:eastAsia="nl-NL"/>
              </w:rPr>
            </w:pPr>
          </w:p>
          <w:p w:rsidR="00222B9A" w:rsidRPr="005911BC" w:rsidRDefault="00222B9A" w:rsidP="00334505">
            <w:pPr>
              <w:spacing w:after="0" w:line="240" w:lineRule="auto"/>
              <w:ind w:right="27"/>
              <w:jc w:val="center"/>
              <w:rPr>
                <w:rFonts w:ascii="Times New Roman" w:eastAsia="Calibri" w:hAnsi="Times New Roman" w:cs="Times New Roman"/>
                <w:bCs/>
                <w:i/>
                <w:sz w:val="20"/>
                <w:szCs w:val="20"/>
                <w:lang w:val="ro-MD" w:eastAsia="nl-NL"/>
              </w:rPr>
            </w:pPr>
          </w:p>
          <w:p w:rsidR="00222B9A" w:rsidRPr="005911BC" w:rsidRDefault="00222B9A" w:rsidP="00334505">
            <w:pPr>
              <w:spacing w:after="0" w:line="240" w:lineRule="auto"/>
              <w:ind w:right="27"/>
              <w:jc w:val="center"/>
              <w:rPr>
                <w:rFonts w:ascii="Times New Roman" w:eastAsia="Calibri" w:hAnsi="Times New Roman" w:cs="Times New Roman"/>
                <w:bCs/>
                <w:i/>
                <w:sz w:val="20"/>
                <w:szCs w:val="20"/>
                <w:lang w:val="ro-MD" w:eastAsia="nl-NL"/>
              </w:rPr>
            </w:pPr>
          </w:p>
          <w:p w:rsidR="007D70CB" w:rsidRPr="005911BC" w:rsidRDefault="007D70CB" w:rsidP="00FB650E">
            <w:pPr>
              <w:spacing w:after="0" w:line="240" w:lineRule="auto"/>
              <w:ind w:right="27"/>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CC7E18" w:rsidRPr="005911BC" w:rsidRDefault="00CC7E18"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ind w:right="27"/>
              <w:jc w:val="center"/>
              <w:rPr>
                <w:rFonts w:ascii="Times New Roman" w:eastAsia="Calibri" w:hAnsi="Times New Roman" w:cs="Times New Roman"/>
                <w:bCs/>
                <w:i/>
                <w:sz w:val="20"/>
                <w:szCs w:val="20"/>
                <w:lang w:val="ro-MD" w:eastAsia="nl-NL"/>
              </w:rPr>
            </w:pPr>
          </w:p>
          <w:p w:rsidR="00C97351" w:rsidRPr="005911BC" w:rsidRDefault="00C97351" w:rsidP="00090617">
            <w:pPr>
              <w:spacing w:after="0" w:line="240" w:lineRule="auto"/>
              <w:ind w:right="27"/>
              <w:rPr>
                <w:rFonts w:ascii="Times New Roman" w:eastAsia="Calibri" w:hAnsi="Times New Roman" w:cs="Times New Roman"/>
                <w:bCs/>
                <w:i/>
                <w:sz w:val="20"/>
                <w:szCs w:val="20"/>
                <w:lang w:val="ro-MD" w:eastAsia="nl-NL"/>
              </w:rPr>
            </w:pPr>
          </w:p>
        </w:tc>
        <w:tc>
          <w:tcPr>
            <w:tcW w:w="993" w:type="dxa"/>
            <w:vMerge w:val="restart"/>
            <w:shd w:val="clear" w:color="auto" w:fill="auto"/>
          </w:tcPr>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r w:rsidRPr="005911BC">
              <w:rPr>
                <w:rFonts w:ascii="Times New Roman" w:eastAsia="Calibri" w:hAnsi="Times New Roman" w:cs="Times New Roman"/>
                <w:bCs/>
                <w:sz w:val="20"/>
                <w:szCs w:val="20"/>
                <w:lang w:val="ro-RO" w:eastAsia="nl-NL"/>
              </w:rPr>
              <w:lastRenderedPageBreak/>
              <w:t>7913,0</w:t>
            </w: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5256B0" w:rsidRPr="005911BC" w:rsidRDefault="005256B0" w:rsidP="00334505">
            <w:pPr>
              <w:spacing w:after="0" w:line="240" w:lineRule="auto"/>
              <w:jc w:val="center"/>
              <w:rPr>
                <w:rFonts w:ascii="Times New Roman" w:eastAsia="Calibri" w:hAnsi="Times New Roman" w:cs="Times New Roman"/>
                <w:bCs/>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sz w:val="20"/>
                <w:szCs w:val="20"/>
                <w:lang w:val="ro-RO" w:eastAsia="nl-NL"/>
              </w:rPr>
            </w:pPr>
          </w:p>
          <w:p w:rsidR="00BC40B5" w:rsidRPr="005911BC" w:rsidRDefault="00BC40B5" w:rsidP="00334505">
            <w:pPr>
              <w:spacing w:after="0" w:line="240" w:lineRule="auto"/>
              <w:jc w:val="center"/>
              <w:rPr>
                <w:rFonts w:ascii="Times New Roman" w:eastAsia="Calibri" w:hAnsi="Times New Roman" w:cs="Times New Roman"/>
                <w:bCs/>
                <w:sz w:val="20"/>
                <w:szCs w:val="20"/>
                <w:lang w:val="ro-RO" w:eastAsia="nl-NL"/>
              </w:rPr>
            </w:pPr>
          </w:p>
          <w:p w:rsidR="00CC7E18" w:rsidRPr="005911BC" w:rsidRDefault="00CC7E18" w:rsidP="00334505">
            <w:pPr>
              <w:spacing w:after="0" w:line="240" w:lineRule="auto"/>
              <w:jc w:val="center"/>
              <w:rPr>
                <w:rFonts w:ascii="Times New Roman" w:eastAsia="Calibri" w:hAnsi="Times New Roman" w:cs="Times New Roman"/>
                <w:bCs/>
                <w:sz w:val="20"/>
                <w:szCs w:val="20"/>
                <w:lang w:val="ro-RO" w:eastAsia="nl-NL"/>
              </w:rPr>
            </w:pPr>
          </w:p>
          <w:p w:rsidR="00CC7E18" w:rsidRPr="005911BC" w:rsidRDefault="00CC7E18" w:rsidP="00334505">
            <w:pPr>
              <w:spacing w:after="0" w:line="240" w:lineRule="auto"/>
              <w:jc w:val="center"/>
              <w:rPr>
                <w:rFonts w:ascii="Times New Roman" w:eastAsia="Calibri" w:hAnsi="Times New Roman" w:cs="Times New Roman"/>
                <w:bCs/>
                <w:sz w:val="20"/>
                <w:szCs w:val="20"/>
                <w:lang w:val="ro-RO" w:eastAsia="nl-NL"/>
              </w:rPr>
            </w:pPr>
          </w:p>
          <w:p w:rsidR="00CC7E18" w:rsidRPr="005911BC" w:rsidRDefault="00CC7E18"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59" w:lineRule="auto"/>
              <w:jc w:val="center"/>
              <w:rPr>
                <w:rFonts w:ascii="Times New Roman" w:eastAsia="Times New Roman" w:hAnsi="Times New Roman" w:cs="Times New Roman"/>
                <w:sz w:val="20"/>
                <w:szCs w:val="20"/>
                <w:lang w:val="ro-RO"/>
              </w:rPr>
            </w:pPr>
            <w:r w:rsidRPr="005911BC">
              <w:rPr>
                <w:rFonts w:ascii="Times New Roman" w:eastAsia="Times New Roman" w:hAnsi="Times New Roman" w:cs="Times New Roman"/>
                <w:sz w:val="20"/>
                <w:szCs w:val="20"/>
                <w:lang w:val="ro-RO"/>
              </w:rPr>
              <w:t>5870,4</w:t>
            </w: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sz w:val="20"/>
                <w:szCs w:val="20"/>
                <w:lang w:val="ro-RO"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BC40B5" w:rsidRPr="005911BC" w:rsidRDefault="00BC40B5"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22B9A" w:rsidRPr="005911BC" w:rsidRDefault="00222B9A" w:rsidP="00334505">
            <w:pPr>
              <w:spacing w:after="0" w:line="240" w:lineRule="auto"/>
              <w:jc w:val="center"/>
              <w:rPr>
                <w:rFonts w:ascii="Times New Roman" w:eastAsia="Calibri" w:hAnsi="Times New Roman" w:cs="Times New Roman"/>
                <w:bCs/>
                <w:i/>
                <w:sz w:val="20"/>
                <w:szCs w:val="20"/>
                <w:lang w:val="ro-MD" w:eastAsia="nl-NL"/>
              </w:rPr>
            </w:pPr>
          </w:p>
          <w:p w:rsidR="00222B9A" w:rsidRPr="005911BC" w:rsidRDefault="00222B9A" w:rsidP="00334505">
            <w:pPr>
              <w:spacing w:after="0" w:line="240" w:lineRule="auto"/>
              <w:jc w:val="center"/>
              <w:rPr>
                <w:rFonts w:ascii="Times New Roman" w:eastAsia="Calibri" w:hAnsi="Times New Roman" w:cs="Times New Roman"/>
                <w:bCs/>
                <w:i/>
                <w:sz w:val="20"/>
                <w:szCs w:val="20"/>
                <w:lang w:val="ro-MD" w:eastAsia="nl-NL"/>
              </w:rPr>
            </w:pPr>
          </w:p>
          <w:p w:rsidR="00222B9A" w:rsidRPr="005911BC" w:rsidRDefault="00222B9A" w:rsidP="00334505">
            <w:pPr>
              <w:spacing w:after="0" w:line="240" w:lineRule="auto"/>
              <w:jc w:val="center"/>
              <w:rPr>
                <w:rFonts w:ascii="Times New Roman" w:eastAsia="Calibri" w:hAnsi="Times New Roman" w:cs="Times New Roman"/>
                <w:bCs/>
                <w:i/>
                <w:sz w:val="20"/>
                <w:szCs w:val="20"/>
                <w:lang w:val="ro-MD" w:eastAsia="nl-NL"/>
              </w:rPr>
            </w:pPr>
          </w:p>
          <w:p w:rsidR="00222B9A" w:rsidRPr="005911BC" w:rsidRDefault="00222B9A" w:rsidP="00334505">
            <w:pPr>
              <w:spacing w:after="0" w:line="240" w:lineRule="auto"/>
              <w:jc w:val="center"/>
              <w:rPr>
                <w:rFonts w:ascii="Times New Roman" w:eastAsia="Calibri" w:hAnsi="Times New Roman" w:cs="Times New Roman"/>
                <w:bCs/>
                <w:i/>
                <w:sz w:val="20"/>
                <w:szCs w:val="20"/>
                <w:lang w:val="ro-MD" w:eastAsia="nl-NL"/>
              </w:rPr>
            </w:pPr>
          </w:p>
          <w:p w:rsidR="00222B9A" w:rsidRPr="005911BC" w:rsidRDefault="00222B9A" w:rsidP="00334505">
            <w:pPr>
              <w:spacing w:after="0" w:line="240" w:lineRule="auto"/>
              <w:jc w:val="center"/>
              <w:rPr>
                <w:rFonts w:ascii="Times New Roman" w:eastAsia="Calibri" w:hAnsi="Times New Roman" w:cs="Times New Roman"/>
                <w:bCs/>
                <w:i/>
                <w:sz w:val="20"/>
                <w:szCs w:val="20"/>
                <w:lang w:val="ro-MD" w:eastAsia="nl-NL"/>
              </w:rPr>
            </w:pPr>
          </w:p>
          <w:p w:rsidR="00FB650E" w:rsidRPr="005911BC" w:rsidRDefault="00FB650E" w:rsidP="00FB650E">
            <w:pPr>
              <w:spacing w:after="0" w:line="240" w:lineRule="auto"/>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2E1EF3" w:rsidRPr="005911BC" w:rsidRDefault="002E1EF3" w:rsidP="00334505">
            <w:pPr>
              <w:spacing w:after="0" w:line="240" w:lineRule="auto"/>
              <w:jc w:val="center"/>
              <w:rPr>
                <w:rFonts w:ascii="Times New Roman" w:eastAsia="Calibri" w:hAnsi="Times New Roman" w:cs="Times New Roman"/>
                <w:bCs/>
                <w:i/>
                <w:sz w:val="20"/>
                <w:szCs w:val="20"/>
                <w:lang w:val="ro-MD" w:eastAsia="nl-NL"/>
              </w:rPr>
            </w:pPr>
          </w:p>
          <w:p w:rsidR="00CC7E18" w:rsidRPr="005911BC" w:rsidRDefault="00CC7E18"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E779BB" w:rsidRPr="005911BC" w:rsidRDefault="00E779BB"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C97351" w:rsidRPr="005911BC" w:rsidRDefault="00C97351" w:rsidP="00334505">
            <w:pPr>
              <w:spacing w:after="0" w:line="240" w:lineRule="auto"/>
              <w:jc w:val="center"/>
              <w:rPr>
                <w:rFonts w:ascii="Times New Roman" w:eastAsia="Calibri" w:hAnsi="Times New Roman" w:cs="Times New Roman"/>
                <w:bCs/>
                <w:i/>
                <w:sz w:val="20"/>
                <w:szCs w:val="20"/>
                <w:lang w:val="ro-MD" w:eastAsia="nl-NL"/>
              </w:rPr>
            </w:pPr>
          </w:p>
          <w:p w:rsidR="001D6094" w:rsidRPr="005911BC" w:rsidRDefault="001D6094" w:rsidP="00090617">
            <w:pPr>
              <w:spacing w:after="0" w:line="240" w:lineRule="auto"/>
              <w:rPr>
                <w:rFonts w:ascii="Times New Roman" w:eastAsia="Calibri" w:hAnsi="Times New Roman" w:cs="Times New Roman"/>
                <w:bCs/>
                <w:i/>
                <w:sz w:val="20"/>
                <w:szCs w:val="20"/>
                <w:lang w:val="ro-MD" w:eastAsia="nl-NL"/>
              </w:rPr>
            </w:pPr>
          </w:p>
        </w:tc>
        <w:tc>
          <w:tcPr>
            <w:tcW w:w="1561" w:type="dxa"/>
            <w:shd w:val="clear" w:color="auto" w:fill="auto"/>
          </w:tcPr>
          <w:p w:rsidR="002E1EF3" w:rsidRDefault="002E1EF3" w:rsidP="00B32806">
            <w:pPr>
              <w:spacing w:after="0" w:line="240" w:lineRule="auto"/>
              <w:ind w:right="-48"/>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lastRenderedPageBreak/>
              <w:t>Numărul de controale privind conformitatea produselor/ serviciilor, respectarea regulilor de comerţ şi normelor metrologice;</w:t>
            </w: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t>Numărul total de controale – 2000</w:t>
            </w: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sz w:val="20"/>
                <w:szCs w:val="20"/>
                <w:lang w:val="en-US"/>
              </w:rPr>
            </w:pPr>
          </w:p>
          <w:p w:rsidR="00FB650E" w:rsidRDefault="00FB650E" w:rsidP="00B32806">
            <w:pPr>
              <w:spacing w:after="0" w:line="240" w:lineRule="auto"/>
              <w:ind w:right="-48"/>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Numărul de controale planificate conform Graficului de control - 66%</w:t>
            </w:r>
          </w:p>
          <w:p w:rsidR="00FB650E" w:rsidRDefault="00FB650E" w:rsidP="00B32806">
            <w:pPr>
              <w:spacing w:after="0" w:line="240" w:lineRule="auto"/>
              <w:ind w:right="-48"/>
              <w:rPr>
                <w:rFonts w:ascii="Times New Roman" w:eastAsia="Calibri" w:hAnsi="Times New Roman" w:cs="Times New Roman"/>
                <w:color w:val="000000"/>
                <w:sz w:val="20"/>
                <w:szCs w:val="20"/>
                <w:lang w:val="ro-RO"/>
              </w:rPr>
            </w:pPr>
          </w:p>
          <w:p w:rsidR="00FB650E" w:rsidRDefault="00FB650E" w:rsidP="00B32806">
            <w:pPr>
              <w:spacing w:after="0" w:line="240" w:lineRule="auto"/>
              <w:ind w:right="-48"/>
              <w:rPr>
                <w:rFonts w:ascii="Times New Roman" w:eastAsia="Calibri" w:hAnsi="Times New Roman" w:cs="Times New Roman"/>
                <w:color w:val="000000"/>
                <w:sz w:val="20"/>
                <w:szCs w:val="20"/>
                <w:lang w:val="ro-RO"/>
              </w:rPr>
            </w:pPr>
          </w:p>
          <w:p w:rsidR="00FB650E" w:rsidRDefault="00FB650E" w:rsidP="00B32806">
            <w:pPr>
              <w:spacing w:after="0" w:line="240" w:lineRule="auto"/>
              <w:ind w:right="-48"/>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Numărul de controale inopinate – 34% din total</w:t>
            </w:r>
          </w:p>
          <w:p w:rsidR="00FB650E" w:rsidRDefault="00FB650E" w:rsidP="00B32806">
            <w:pPr>
              <w:spacing w:after="0" w:line="240" w:lineRule="auto"/>
              <w:ind w:right="-48"/>
              <w:rPr>
                <w:rFonts w:ascii="Times New Roman" w:eastAsia="Calibri" w:hAnsi="Times New Roman" w:cs="Times New Roman"/>
                <w:color w:val="000000"/>
                <w:sz w:val="20"/>
                <w:szCs w:val="20"/>
                <w:lang w:val="ro-RO"/>
              </w:rPr>
            </w:pPr>
          </w:p>
          <w:p w:rsidR="00FB650E" w:rsidRDefault="00FB650E" w:rsidP="00B32806">
            <w:pPr>
              <w:spacing w:after="0" w:line="240" w:lineRule="auto"/>
              <w:ind w:right="-48"/>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80% depistate neconformităţi din total controale efectuate</w:t>
            </w:r>
          </w:p>
          <w:p w:rsidR="00FB650E" w:rsidRDefault="00FB650E" w:rsidP="00B32806">
            <w:pPr>
              <w:spacing w:after="0" w:line="240" w:lineRule="auto"/>
              <w:ind w:right="-48"/>
              <w:rPr>
                <w:rFonts w:ascii="Times New Roman" w:eastAsia="Calibri" w:hAnsi="Times New Roman" w:cs="Times New Roman"/>
                <w:color w:val="000000"/>
                <w:sz w:val="20"/>
                <w:szCs w:val="20"/>
                <w:lang w:val="ro-RO"/>
              </w:rPr>
            </w:pPr>
          </w:p>
          <w:p w:rsidR="00FB650E" w:rsidRDefault="00FB650E" w:rsidP="00B32806">
            <w:pPr>
              <w:spacing w:after="0" w:line="240" w:lineRule="auto"/>
              <w:ind w:right="-48"/>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lastRenderedPageBreak/>
              <w:t>36 controale efectuate de un inspector anual</w:t>
            </w:r>
          </w:p>
          <w:p w:rsidR="00FB650E" w:rsidRDefault="00FB650E" w:rsidP="00B32806">
            <w:pPr>
              <w:spacing w:after="0" w:line="240" w:lineRule="auto"/>
              <w:ind w:right="-48"/>
              <w:rPr>
                <w:rFonts w:ascii="Times New Roman" w:eastAsia="Calibri" w:hAnsi="Times New Roman" w:cs="Times New Roman"/>
                <w:color w:val="000000"/>
                <w:sz w:val="20"/>
                <w:szCs w:val="20"/>
                <w:lang w:val="ro-RO"/>
              </w:rPr>
            </w:pPr>
          </w:p>
          <w:p w:rsidR="00FB650E" w:rsidRDefault="00FB650E" w:rsidP="00FB650E">
            <w:pPr>
              <w:tabs>
                <w:tab w:val="left" w:pos="45"/>
                <w:tab w:val="left" w:pos="135"/>
              </w:tabs>
              <w:spacing w:after="0" w:line="240" w:lineRule="auto"/>
              <w:ind w:right="57"/>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4 probe de arbitraj plasate în laboratoare, inclusiv peste hotare (anual)</w:t>
            </w:r>
          </w:p>
          <w:p w:rsidR="00BC40B5" w:rsidRDefault="00BC40B5" w:rsidP="00FB650E">
            <w:pPr>
              <w:tabs>
                <w:tab w:val="left" w:pos="45"/>
                <w:tab w:val="left" w:pos="135"/>
              </w:tabs>
              <w:spacing w:after="0" w:line="240" w:lineRule="auto"/>
              <w:ind w:right="57"/>
              <w:rPr>
                <w:rFonts w:ascii="Times New Roman" w:eastAsia="Calibri" w:hAnsi="Times New Roman" w:cs="Times New Roman"/>
                <w:sz w:val="20"/>
                <w:szCs w:val="20"/>
                <w:lang w:val="ro-RO"/>
              </w:rPr>
            </w:pPr>
          </w:p>
          <w:p w:rsidR="00BC40B5" w:rsidRDefault="00BC40B5" w:rsidP="00FB650E">
            <w:pPr>
              <w:tabs>
                <w:tab w:val="left" w:pos="45"/>
                <w:tab w:val="left" w:pos="135"/>
              </w:tabs>
              <w:spacing w:after="0" w:line="240" w:lineRule="auto"/>
              <w:ind w:right="57"/>
              <w:rPr>
                <w:rFonts w:ascii="Times New Roman" w:eastAsia="Calibri" w:hAnsi="Times New Roman" w:cs="Times New Roman"/>
                <w:sz w:val="20"/>
                <w:szCs w:val="20"/>
                <w:lang w:val="ro-RO"/>
              </w:rPr>
            </w:pPr>
          </w:p>
          <w:p w:rsidR="00BC40B5" w:rsidRDefault="00BC40B5" w:rsidP="00FB650E">
            <w:pPr>
              <w:tabs>
                <w:tab w:val="left" w:pos="45"/>
                <w:tab w:val="left" w:pos="135"/>
              </w:tabs>
              <w:spacing w:after="0" w:line="240" w:lineRule="auto"/>
              <w:ind w:right="57"/>
              <w:rPr>
                <w:rFonts w:ascii="Times New Roman" w:eastAsia="Calibri" w:hAnsi="Times New Roman" w:cs="Times New Roman"/>
                <w:sz w:val="20"/>
                <w:szCs w:val="20"/>
                <w:lang w:val="ro-RO"/>
              </w:rPr>
            </w:pPr>
          </w:p>
          <w:p w:rsidR="00BC40B5" w:rsidRDefault="00BC40B5" w:rsidP="00FB650E">
            <w:pPr>
              <w:tabs>
                <w:tab w:val="left" w:pos="45"/>
                <w:tab w:val="left" w:pos="135"/>
              </w:tabs>
              <w:spacing w:after="0" w:line="240" w:lineRule="auto"/>
              <w:ind w:right="57"/>
              <w:rPr>
                <w:rFonts w:ascii="Times New Roman" w:eastAsia="Calibri" w:hAnsi="Times New Roman" w:cs="Times New Roman"/>
                <w:sz w:val="20"/>
                <w:szCs w:val="20"/>
                <w:lang w:val="ro-RO"/>
              </w:rPr>
            </w:pPr>
          </w:p>
          <w:p w:rsidR="00BC40B5" w:rsidRDefault="00BC40B5" w:rsidP="00FB650E">
            <w:pPr>
              <w:tabs>
                <w:tab w:val="left" w:pos="45"/>
                <w:tab w:val="left" w:pos="135"/>
              </w:tabs>
              <w:spacing w:after="0" w:line="240" w:lineRule="auto"/>
              <w:ind w:right="57"/>
              <w:rPr>
                <w:rFonts w:ascii="Times New Roman" w:eastAsia="Calibri" w:hAnsi="Times New Roman" w:cs="Times New Roman"/>
                <w:sz w:val="20"/>
                <w:szCs w:val="20"/>
                <w:lang w:val="ro-RO"/>
              </w:rPr>
            </w:pPr>
          </w:p>
          <w:p w:rsidR="00BC40B5" w:rsidRDefault="00BC40B5" w:rsidP="00FB650E">
            <w:pPr>
              <w:tabs>
                <w:tab w:val="left" w:pos="45"/>
                <w:tab w:val="left" w:pos="135"/>
              </w:tabs>
              <w:spacing w:after="0" w:line="240" w:lineRule="auto"/>
              <w:ind w:right="57"/>
              <w:rPr>
                <w:rFonts w:ascii="Times New Roman" w:eastAsia="Calibri" w:hAnsi="Times New Roman" w:cs="Times New Roman"/>
                <w:sz w:val="20"/>
                <w:szCs w:val="20"/>
                <w:lang w:val="ro-RO"/>
              </w:rPr>
            </w:pPr>
          </w:p>
          <w:p w:rsidR="00BC40B5" w:rsidRDefault="00BC40B5" w:rsidP="00FB650E">
            <w:pPr>
              <w:tabs>
                <w:tab w:val="left" w:pos="45"/>
                <w:tab w:val="left" w:pos="135"/>
              </w:tabs>
              <w:spacing w:after="0" w:line="240" w:lineRule="auto"/>
              <w:ind w:right="57"/>
              <w:rPr>
                <w:rFonts w:ascii="Times New Roman" w:eastAsia="Calibri" w:hAnsi="Times New Roman" w:cs="Times New Roman"/>
                <w:sz w:val="20"/>
                <w:szCs w:val="20"/>
                <w:lang w:val="ro-RO"/>
              </w:rPr>
            </w:pPr>
          </w:p>
          <w:p w:rsidR="00BC40B5" w:rsidRDefault="00BC40B5" w:rsidP="00FB650E">
            <w:pPr>
              <w:tabs>
                <w:tab w:val="left" w:pos="45"/>
                <w:tab w:val="left" w:pos="135"/>
              </w:tabs>
              <w:spacing w:after="0" w:line="240" w:lineRule="auto"/>
              <w:ind w:right="57"/>
              <w:rPr>
                <w:rFonts w:ascii="Times New Roman" w:eastAsia="Calibri" w:hAnsi="Times New Roman" w:cs="Times New Roman"/>
                <w:sz w:val="20"/>
                <w:szCs w:val="20"/>
                <w:lang w:val="ro-RO"/>
              </w:rPr>
            </w:pPr>
          </w:p>
          <w:p w:rsidR="00BC40B5" w:rsidRPr="004C0446" w:rsidRDefault="00BC40B5" w:rsidP="00FB650E">
            <w:pPr>
              <w:tabs>
                <w:tab w:val="left" w:pos="45"/>
                <w:tab w:val="left" w:pos="135"/>
              </w:tabs>
              <w:spacing w:after="0" w:line="240" w:lineRule="auto"/>
              <w:ind w:right="57"/>
              <w:rPr>
                <w:rFonts w:ascii="Times New Roman" w:eastAsia="Calibri" w:hAnsi="Times New Roman" w:cs="Times New Roman"/>
                <w:sz w:val="20"/>
                <w:szCs w:val="20"/>
                <w:lang w:val="ro-RO"/>
              </w:rPr>
            </w:pPr>
          </w:p>
          <w:p w:rsidR="00BC40B5" w:rsidRDefault="00BC40B5" w:rsidP="00BC40B5">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Sondaj realizat (cca 1000 respondenţi) -1</w:t>
            </w:r>
          </w:p>
          <w:p w:rsidR="00BC40B5" w:rsidRDefault="00BC40B5" w:rsidP="00BC40B5">
            <w:pPr>
              <w:spacing w:after="0" w:line="240" w:lineRule="auto"/>
              <w:rPr>
                <w:rFonts w:ascii="Times New Roman" w:eastAsia="Calibri" w:hAnsi="Times New Roman" w:cs="Times New Roman"/>
                <w:sz w:val="20"/>
                <w:szCs w:val="20"/>
                <w:lang w:val="ro-RO"/>
              </w:rPr>
            </w:pPr>
          </w:p>
          <w:p w:rsidR="00BC40B5" w:rsidRDefault="00BC40B5" w:rsidP="00BC40B5">
            <w:pPr>
              <w:spacing w:after="0" w:line="240" w:lineRule="auto"/>
              <w:rPr>
                <w:rFonts w:ascii="Times New Roman" w:eastAsia="Calibri" w:hAnsi="Times New Roman" w:cs="Times New Roman"/>
                <w:sz w:val="20"/>
                <w:szCs w:val="20"/>
                <w:lang w:val="ro-RO"/>
              </w:rPr>
            </w:pPr>
          </w:p>
          <w:p w:rsidR="00BC40B5" w:rsidRDefault="00BC40B5" w:rsidP="00BC40B5">
            <w:pPr>
              <w:spacing w:after="0" w:line="240" w:lineRule="auto"/>
              <w:rPr>
                <w:rFonts w:ascii="Times New Roman" w:eastAsia="Calibri" w:hAnsi="Times New Roman" w:cs="Times New Roman"/>
                <w:sz w:val="20"/>
                <w:szCs w:val="20"/>
                <w:lang w:val="ro-RO"/>
              </w:rPr>
            </w:pPr>
          </w:p>
          <w:p w:rsidR="00BC40B5" w:rsidRDefault="00BC40B5" w:rsidP="00BC40B5">
            <w:pPr>
              <w:spacing w:after="0" w:line="240" w:lineRule="auto"/>
              <w:rPr>
                <w:rFonts w:ascii="Times New Roman" w:eastAsia="Calibri" w:hAnsi="Times New Roman" w:cs="Times New Roman"/>
                <w:sz w:val="20"/>
                <w:szCs w:val="20"/>
                <w:lang w:val="ro-RO"/>
              </w:rPr>
            </w:pPr>
          </w:p>
          <w:p w:rsidR="00BC40B5" w:rsidRDefault="00BC40B5" w:rsidP="00BC40B5">
            <w:pPr>
              <w:spacing w:after="0" w:line="240" w:lineRule="auto"/>
              <w:rPr>
                <w:rFonts w:ascii="Times New Roman" w:eastAsia="Calibri" w:hAnsi="Times New Roman" w:cs="Times New Roman"/>
                <w:sz w:val="20"/>
                <w:szCs w:val="20"/>
                <w:lang w:val="ro-RO"/>
              </w:rPr>
            </w:pPr>
          </w:p>
          <w:p w:rsidR="00BC40B5" w:rsidRDefault="00BC40B5" w:rsidP="00BC40B5">
            <w:pPr>
              <w:spacing w:after="0" w:line="240" w:lineRule="auto"/>
              <w:rPr>
                <w:rFonts w:ascii="Times New Roman" w:eastAsia="Calibri" w:hAnsi="Times New Roman" w:cs="Times New Roman"/>
                <w:sz w:val="20"/>
                <w:szCs w:val="20"/>
                <w:lang w:val="ro-RO"/>
              </w:rPr>
            </w:pPr>
          </w:p>
          <w:p w:rsidR="00CC7E18" w:rsidRPr="004C0446" w:rsidRDefault="00CC7E18" w:rsidP="00BC40B5">
            <w:pPr>
              <w:spacing w:after="0" w:line="240" w:lineRule="auto"/>
              <w:rPr>
                <w:rFonts w:ascii="Times New Roman" w:eastAsia="Calibri" w:hAnsi="Times New Roman" w:cs="Times New Roman"/>
                <w:sz w:val="20"/>
                <w:szCs w:val="20"/>
                <w:lang w:val="ro-RO"/>
              </w:rPr>
            </w:pPr>
          </w:p>
          <w:p w:rsidR="00FB650E" w:rsidRPr="00FB650E" w:rsidRDefault="00BC40B5" w:rsidP="00B32806">
            <w:pPr>
              <w:spacing w:after="0" w:line="240" w:lineRule="auto"/>
              <w:ind w:right="-48"/>
              <w:rPr>
                <w:rFonts w:ascii="Times New Roman" w:eastAsia="Calibri" w:hAnsi="Times New Roman" w:cs="Times New Roman"/>
                <w:sz w:val="20"/>
                <w:szCs w:val="20"/>
                <w:lang w:val="ro-RO"/>
              </w:rPr>
            </w:pPr>
            <w:r w:rsidRPr="004C0446">
              <w:rPr>
                <w:rFonts w:ascii="Times New Roman" w:eastAsia="Calibri" w:hAnsi="Times New Roman" w:cs="Times New Roman"/>
                <w:color w:val="000000"/>
                <w:sz w:val="20"/>
                <w:szCs w:val="20"/>
                <w:lang w:val="ro-RO"/>
              </w:rPr>
              <w:t>255 vizite consultative efectuate</w:t>
            </w:r>
          </w:p>
        </w:tc>
        <w:tc>
          <w:tcPr>
            <w:tcW w:w="1560" w:type="dxa"/>
            <w:shd w:val="clear" w:color="auto" w:fill="auto"/>
          </w:tcPr>
          <w:p w:rsidR="002E1EF3" w:rsidRPr="004C0446" w:rsidRDefault="002E1EF3" w:rsidP="00334505">
            <w:pPr>
              <w:spacing w:after="0" w:line="240" w:lineRule="auto"/>
              <w:ind w:right="-108"/>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lastRenderedPageBreak/>
              <w:t xml:space="preserve">415 </w:t>
            </w:r>
          </w:p>
          <w:p w:rsidR="002E1EF3" w:rsidRDefault="002E1EF3"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294</w:t>
            </w:r>
          </w:p>
          <w:p w:rsidR="00FB650E" w:rsidRDefault="00FB650E" w:rsidP="00334505">
            <w:pPr>
              <w:spacing w:after="0" w:line="240" w:lineRule="auto"/>
              <w:rPr>
                <w:rFonts w:ascii="Times New Roman" w:eastAsia="Calibri" w:hAnsi="Times New Roman" w:cs="Times New Roman"/>
                <w:sz w:val="20"/>
                <w:szCs w:val="20"/>
                <w:lang w:val="ro-RO"/>
              </w:rPr>
            </w:pPr>
          </w:p>
          <w:p w:rsidR="00FB650E" w:rsidRDefault="00FB650E" w:rsidP="00334505">
            <w:pPr>
              <w:spacing w:after="0" w:line="240" w:lineRule="auto"/>
              <w:rPr>
                <w:rFonts w:ascii="Times New Roman" w:eastAsia="Calibri" w:hAnsi="Times New Roman" w:cs="Times New Roman"/>
                <w:sz w:val="20"/>
                <w:szCs w:val="20"/>
                <w:lang w:val="ro-RO"/>
              </w:rPr>
            </w:pPr>
          </w:p>
          <w:p w:rsidR="00FB650E" w:rsidRDefault="00FB650E" w:rsidP="00334505">
            <w:pPr>
              <w:spacing w:after="0" w:line="240" w:lineRule="auto"/>
              <w:rPr>
                <w:rFonts w:ascii="Times New Roman" w:eastAsia="Calibri" w:hAnsi="Times New Roman" w:cs="Times New Roman"/>
                <w:sz w:val="20"/>
                <w:szCs w:val="20"/>
                <w:lang w:val="ro-RO"/>
              </w:rPr>
            </w:pPr>
          </w:p>
          <w:p w:rsidR="00FB650E" w:rsidRDefault="00FB650E" w:rsidP="00334505">
            <w:pPr>
              <w:spacing w:after="0" w:line="240" w:lineRule="auto"/>
              <w:rPr>
                <w:rFonts w:ascii="Times New Roman" w:eastAsia="Calibri" w:hAnsi="Times New Roman" w:cs="Times New Roman"/>
                <w:sz w:val="20"/>
                <w:szCs w:val="20"/>
                <w:lang w:val="ro-RO"/>
              </w:rPr>
            </w:pPr>
          </w:p>
          <w:p w:rsidR="00FB650E" w:rsidRDefault="00FB650E" w:rsidP="00334505">
            <w:pPr>
              <w:spacing w:after="0" w:line="240" w:lineRule="auto"/>
              <w:rPr>
                <w:rFonts w:ascii="Times New Roman" w:eastAsia="Calibri" w:hAnsi="Times New Roman" w:cs="Times New Roman"/>
                <w:sz w:val="20"/>
                <w:szCs w:val="20"/>
                <w:lang w:val="ro-RO"/>
              </w:rPr>
            </w:pPr>
          </w:p>
          <w:p w:rsidR="00FB650E" w:rsidRDefault="00FB650E" w:rsidP="00334505">
            <w:pPr>
              <w:spacing w:after="0" w:line="240" w:lineRule="auto"/>
              <w:rPr>
                <w:rFonts w:ascii="Times New Roman" w:eastAsia="Calibri" w:hAnsi="Times New Roman" w:cs="Times New Roman"/>
                <w:sz w:val="20"/>
                <w:szCs w:val="20"/>
                <w:lang w:val="ro-RO"/>
              </w:rPr>
            </w:pPr>
          </w:p>
          <w:p w:rsidR="00FB650E" w:rsidRDefault="00FB650E" w:rsidP="00334505">
            <w:pPr>
              <w:spacing w:after="0" w:line="240" w:lineRule="auto"/>
              <w:rPr>
                <w:rFonts w:ascii="Times New Roman" w:eastAsia="Calibri" w:hAnsi="Times New Roman" w:cs="Times New Roman"/>
                <w:sz w:val="20"/>
                <w:szCs w:val="20"/>
                <w:lang w:val="ro-RO"/>
              </w:rPr>
            </w:pPr>
          </w:p>
          <w:p w:rsidR="00FB650E" w:rsidRDefault="00FB650E" w:rsidP="00334505">
            <w:pPr>
              <w:spacing w:after="0" w:line="240" w:lineRule="auto"/>
              <w:rPr>
                <w:rFonts w:ascii="Times New Roman" w:eastAsia="Calibri" w:hAnsi="Times New Roman" w:cs="Times New Roman"/>
                <w:sz w:val="20"/>
                <w:szCs w:val="20"/>
                <w:lang w:val="ro-RO"/>
              </w:rPr>
            </w:pPr>
          </w:p>
          <w:p w:rsidR="00FB650E" w:rsidRDefault="00FB650E" w:rsidP="00334505">
            <w:pPr>
              <w:spacing w:after="0" w:line="240" w:lineRule="auto"/>
              <w:rPr>
                <w:rFonts w:ascii="Times New Roman" w:eastAsia="Calibri" w:hAnsi="Times New Roman" w:cs="Times New Roman"/>
                <w:sz w:val="20"/>
                <w:szCs w:val="20"/>
                <w:lang w:val="ro-RO"/>
              </w:rPr>
            </w:pPr>
          </w:p>
          <w:p w:rsidR="00FB650E" w:rsidRDefault="00FB650E" w:rsidP="00334505">
            <w:pPr>
              <w:spacing w:after="0" w:line="240" w:lineRule="auto"/>
              <w:rPr>
                <w:rFonts w:ascii="Times New Roman" w:eastAsia="Calibri" w:hAnsi="Times New Roman" w:cs="Times New Roman"/>
                <w:sz w:val="20"/>
                <w:szCs w:val="20"/>
                <w:lang w:val="ro-RO"/>
              </w:rPr>
            </w:pPr>
          </w:p>
          <w:p w:rsidR="00FB650E" w:rsidRPr="004C0446" w:rsidRDefault="00FB650E" w:rsidP="00FB650E">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52%</w:t>
            </w: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b/>
                <w:sz w:val="20"/>
                <w:szCs w:val="20"/>
                <w:lang w:val="en-US"/>
              </w:rPr>
            </w:pPr>
          </w:p>
          <w:p w:rsidR="00FB650E" w:rsidRDefault="00FB650E" w:rsidP="00334505">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63% (262 controale inopinate)</w:t>
            </w:r>
          </w:p>
          <w:p w:rsidR="00FB650E" w:rsidRDefault="00FB650E" w:rsidP="00334505">
            <w:pPr>
              <w:spacing w:after="0" w:line="240" w:lineRule="auto"/>
              <w:rPr>
                <w:rFonts w:ascii="Times New Roman" w:eastAsia="Calibri" w:hAnsi="Times New Roman" w:cs="Times New Roman"/>
                <w:color w:val="000000"/>
                <w:sz w:val="20"/>
                <w:szCs w:val="20"/>
                <w:lang w:val="ro-RO"/>
              </w:rPr>
            </w:pPr>
          </w:p>
          <w:p w:rsidR="00FB650E" w:rsidRDefault="00FB650E" w:rsidP="00334505">
            <w:pPr>
              <w:spacing w:after="0" w:line="240" w:lineRule="auto"/>
              <w:rPr>
                <w:rFonts w:ascii="Times New Roman" w:eastAsia="Calibri" w:hAnsi="Times New Roman" w:cs="Times New Roman"/>
                <w:color w:val="000000"/>
                <w:sz w:val="20"/>
                <w:szCs w:val="20"/>
                <w:lang w:val="ro-RO"/>
              </w:rPr>
            </w:pPr>
          </w:p>
          <w:p w:rsidR="00FB650E" w:rsidRDefault="00FB650E" w:rsidP="00334505">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68,2%</w:t>
            </w:r>
          </w:p>
          <w:p w:rsidR="00FB650E" w:rsidRDefault="00FB650E" w:rsidP="00334505">
            <w:pPr>
              <w:spacing w:after="0" w:line="240" w:lineRule="auto"/>
              <w:rPr>
                <w:rFonts w:ascii="Times New Roman" w:eastAsia="Calibri" w:hAnsi="Times New Roman" w:cs="Times New Roman"/>
                <w:color w:val="000000"/>
                <w:sz w:val="20"/>
                <w:szCs w:val="20"/>
                <w:lang w:val="ro-RO"/>
              </w:rPr>
            </w:pPr>
          </w:p>
          <w:p w:rsidR="00FB650E" w:rsidRDefault="00FB650E" w:rsidP="00334505">
            <w:pPr>
              <w:spacing w:after="0" w:line="240" w:lineRule="auto"/>
              <w:rPr>
                <w:rFonts w:ascii="Times New Roman" w:eastAsia="Calibri" w:hAnsi="Times New Roman" w:cs="Times New Roman"/>
                <w:color w:val="000000"/>
                <w:sz w:val="20"/>
                <w:szCs w:val="20"/>
                <w:lang w:val="ro-RO"/>
              </w:rPr>
            </w:pPr>
          </w:p>
          <w:p w:rsidR="00FB650E" w:rsidRDefault="00FB650E" w:rsidP="00334505">
            <w:pPr>
              <w:spacing w:after="0" w:line="240" w:lineRule="auto"/>
              <w:rPr>
                <w:rFonts w:ascii="Times New Roman" w:eastAsia="Calibri" w:hAnsi="Times New Roman" w:cs="Times New Roman"/>
                <w:color w:val="000000"/>
                <w:sz w:val="20"/>
                <w:szCs w:val="20"/>
                <w:lang w:val="ro-RO"/>
              </w:rPr>
            </w:pPr>
          </w:p>
          <w:p w:rsidR="00FB650E" w:rsidRDefault="00FB650E" w:rsidP="00334505">
            <w:pPr>
              <w:spacing w:after="0" w:line="240" w:lineRule="auto"/>
              <w:rPr>
                <w:rFonts w:ascii="Times New Roman" w:eastAsia="Calibri" w:hAnsi="Times New Roman" w:cs="Times New Roman"/>
                <w:color w:val="000000"/>
                <w:sz w:val="20"/>
                <w:szCs w:val="20"/>
                <w:lang w:val="ro-RO"/>
              </w:rPr>
            </w:pPr>
          </w:p>
          <w:p w:rsidR="00FB650E" w:rsidRDefault="00FB650E" w:rsidP="00334505">
            <w:pPr>
              <w:spacing w:after="0" w:line="240" w:lineRule="auto"/>
              <w:rPr>
                <w:rFonts w:ascii="Times New Roman" w:eastAsia="Calibri" w:hAnsi="Times New Roman" w:cs="Times New Roman"/>
                <w:color w:val="000000"/>
                <w:sz w:val="20"/>
                <w:szCs w:val="20"/>
                <w:lang w:val="ro-RO"/>
              </w:rPr>
            </w:pPr>
          </w:p>
          <w:p w:rsidR="00F12827" w:rsidRDefault="00F12827" w:rsidP="00334505">
            <w:pPr>
              <w:spacing w:after="0" w:line="240" w:lineRule="auto"/>
              <w:rPr>
                <w:rFonts w:ascii="Times New Roman" w:eastAsia="Calibri" w:hAnsi="Times New Roman" w:cs="Times New Roman"/>
                <w:color w:val="000000"/>
                <w:sz w:val="20"/>
                <w:szCs w:val="20"/>
                <w:lang w:val="ro-RO"/>
              </w:rPr>
            </w:pPr>
          </w:p>
          <w:p w:rsidR="00FB650E" w:rsidRDefault="00FB650E" w:rsidP="00334505">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lastRenderedPageBreak/>
              <w:t>11</w:t>
            </w:r>
          </w:p>
          <w:p w:rsidR="00FB650E" w:rsidRDefault="00FB650E" w:rsidP="00334505">
            <w:pPr>
              <w:spacing w:after="0" w:line="240" w:lineRule="auto"/>
              <w:rPr>
                <w:rFonts w:ascii="Times New Roman" w:eastAsia="Calibri" w:hAnsi="Times New Roman" w:cs="Times New Roman"/>
                <w:color w:val="000000"/>
                <w:sz w:val="20"/>
                <w:szCs w:val="20"/>
                <w:lang w:val="ro-RO"/>
              </w:rPr>
            </w:pPr>
          </w:p>
          <w:p w:rsidR="00FB650E" w:rsidRDefault="00FB650E" w:rsidP="00334505">
            <w:pPr>
              <w:spacing w:after="0" w:line="240" w:lineRule="auto"/>
              <w:rPr>
                <w:rFonts w:ascii="Times New Roman" w:eastAsia="Calibri" w:hAnsi="Times New Roman" w:cs="Times New Roman"/>
                <w:color w:val="000000"/>
                <w:sz w:val="20"/>
                <w:szCs w:val="20"/>
                <w:lang w:val="ro-RO"/>
              </w:rPr>
            </w:pPr>
          </w:p>
          <w:p w:rsidR="00FB650E" w:rsidRPr="004C0446" w:rsidRDefault="00FB650E" w:rsidP="00FB650E">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0</w:t>
            </w:r>
          </w:p>
          <w:p w:rsidR="00FB650E" w:rsidRDefault="00FB650E"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334505">
            <w:pPr>
              <w:spacing w:after="0" w:line="240" w:lineRule="auto"/>
              <w:rPr>
                <w:rFonts w:ascii="Times New Roman" w:eastAsia="Calibri" w:hAnsi="Times New Roman" w:cs="Times New Roman"/>
                <w:b/>
                <w:sz w:val="20"/>
                <w:szCs w:val="20"/>
                <w:lang w:val="en-US"/>
              </w:rPr>
            </w:pPr>
          </w:p>
          <w:p w:rsidR="00BC40B5" w:rsidRDefault="00BC40B5" w:rsidP="00BC40B5">
            <w:pPr>
              <w:spacing w:after="40" w:line="240" w:lineRule="auto"/>
              <w:rPr>
                <w:rFonts w:ascii="Times New Roman" w:eastAsia="Calibri" w:hAnsi="Times New Roman" w:cs="Times New Roman"/>
                <w:sz w:val="20"/>
                <w:szCs w:val="20"/>
                <w:lang w:val="ro-RO"/>
              </w:rPr>
            </w:pPr>
          </w:p>
          <w:p w:rsidR="00BC40B5" w:rsidRPr="004C0446" w:rsidRDefault="00BC40B5" w:rsidP="00BC40B5">
            <w:pPr>
              <w:spacing w:after="40" w:line="240" w:lineRule="auto"/>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w:t>
            </w:r>
          </w:p>
          <w:p w:rsidR="00BC40B5" w:rsidRDefault="00BC40B5" w:rsidP="00BC40B5">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APC a realizat un sondaj sociologic pe un eșantion de 874 intervievați.</w:t>
            </w:r>
          </w:p>
          <w:p w:rsidR="00BC40B5" w:rsidRDefault="00BC40B5" w:rsidP="00BC40B5">
            <w:pPr>
              <w:spacing w:after="0" w:line="240" w:lineRule="auto"/>
              <w:rPr>
                <w:rFonts w:ascii="Times New Roman" w:eastAsia="Calibri" w:hAnsi="Times New Roman" w:cs="Times New Roman"/>
                <w:sz w:val="20"/>
                <w:szCs w:val="20"/>
                <w:lang w:val="ro-RO"/>
              </w:rPr>
            </w:pPr>
          </w:p>
          <w:p w:rsidR="00BC40B5" w:rsidRDefault="00BC40B5" w:rsidP="00BC40B5">
            <w:pPr>
              <w:spacing w:after="0" w:line="240" w:lineRule="auto"/>
              <w:rPr>
                <w:rFonts w:ascii="Times New Roman" w:eastAsia="Calibri" w:hAnsi="Times New Roman" w:cs="Times New Roman"/>
                <w:sz w:val="20"/>
                <w:szCs w:val="20"/>
                <w:lang w:val="ro-RO"/>
              </w:rPr>
            </w:pPr>
          </w:p>
          <w:p w:rsidR="00BC40B5" w:rsidRDefault="00BC40B5" w:rsidP="00BC40B5">
            <w:pPr>
              <w:spacing w:after="0" w:line="240" w:lineRule="auto"/>
              <w:rPr>
                <w:rFonts w:ascii="Times New Roman" w:eastAsia="Calibri" w:hAnsi="Times New Roman" w:cs="Times New Roman"/>
                <w:sz w:val="20"/>
                <w:szCs w:val="20"/>
                <w:lang w:val="ro-RO"/>
              </w:rPr>
            </w:pPr>
          </w:p>
          <w:p w:rsidR="00CC7E18" w:rsidRDefault="00CC7E18" w:rsidP="00BC40B5">
            <w:pPr>
              <w:spacing w:after="0" w:line="240" w:lineRule="auto"/>
              <w:rPr>
                <w:rFonts w:ascii="Times New Roman" w:eastAsia="Calibri" w:hAnsi="Times New Roman" w:cs="Times New Roman"/>
                <w:sz w:val="20"/>
                <w:szCs w:val="20"/>
                <w:lang w:val="ro-RO"/>
              </w:rPr>
            </w:pPr>
          </w:p>
          <w:p w:rsidR="00BC40B5" w:rsidRPr="004C0446" w:rsidRDefault="00BC40B5" w:rsidP="00BC40B5">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 xml:space="preserve">771 </w:t>
            </w:r>
          </w:p>
          <w:p w:rsidR="00BC40B5" w:rsidRPr="004C0446" w:rsidRDefault="00BC40B5" w:rsidP="00BC40B5">
            <w:pPr>
              <w:spacing w:after="0" w:line="240" w:lineRule="auto"/>
              <w:rPr>
                <w:rFonts w:ascii="Times New Roman" w:eastAsia="Calibri" w:hAnsi="Times New Roman" w:cs="Times New Roman"/>
                <w:b/>
                <w:sz w:val="20"/>
                <w:szCs w:val="20"/>
                <w:lang w:val="en-US"/>
              </w:rPr>
            </w:pPr>
          </w:p>
        </w:tc>
        <w:tc>
          <w:tcPr>
            <w:tcW w:w="1418" w:type="dxa"/>
            <w:shd w:val="clear" w:color="auto" w:fill="auto"/>
          </w:tcPr>
          <w:p w:rsidR="002E1EF3" w:rsidRDefault="006B4EA8" w:rsidP="006B4EA8">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lastRenderedPageBreak/>
              <w:t>-</w:t>
            </w:r>
          </w:p>
          <w:p w:rsidR="00FB650E" w:rsidRDefault="00FB650E" w:rsidP="006B4EA8">
            <w:pPr>
              <w:spacing w:after="0" w:line="240" w:lineRule="auto"/>
              <w:rPr>
                <w:rFonts w:ascii="Times New Roman" w:eastAsia="Calibri" w:hAnsi="Times New Roman" w:cs="Times New Roman"/>
                <w:b/>
                <w:sz w:val="20"/>
                <w:szCs w:val="20"/>
                <w:lang w:val="ro-MD"/>
              </w:rPr>
            </w:pPr>
          </w:p>
          <w:p w:rsidR="00FB650E" w:rsidRDefault="00FB650E" w:rsidP="006B4EA8">
            <w:pPr>
              <w:spacing w:after="0" w:line="240" w:lineRule="auto"/>
              <w:rPr>
                <w:rFonts w:ascii="Times New Roman" w:eastAsia="Calibri" w:hAnsi="Times New Roman" w:cs="Times New Roman"/>
                <w:b/>
                <w:sz w:val="20"/>
                <w:szCs w:val="20"/>
                <w:lang w:val="ro-MD"/>
              </w:rPr>
            </w:pPr>
          </w:p>
          <w:p w:rsidR="00FB650E" w:rsidRDefault="00FB650E" w:rsidP="006B4EA8">
            <w:pPr>
              <w:spacing w:after="0" w:line="240" w:lineRule="auto"/>
              <w:rPr>
                <w:rFonts w:ascii="Times New Roman" w:eastAsia="Calibri" w:hAnsi="Times New Roman" w:cs="Times New Roman"/>
                <w:b/>
                <w:sz w:val="20"/>
                <w:szCs w:val="20"/>
                <w:lang w:val="ro-MD"/>
              </w:rPr>
            </w:pPr>
          </w:p>
          <w:p w:rsidR="00FB650E" w:rsidRDefault="00FB650E" w:rsidP="006B4EA8">
            <w:pPr>
              <w:spacing w:after="0" w:line="240" w:lineRule="auto"/>
              <w:rPr>
                <w:rFonts w:ascii="Times New Roman" w:eastAsia="Calibri" w:hAnsi="Times New Roman" w:cs="Times New Roman"/>
                <w:b/>
                <w:sz w:val="20"/>
                <w:szCs w:val="20"/>
                <w:lang w:val="ro-MD"/>
              </w:rPr>
            </w:pPr>
          </w:p>
          <w:p w:rsidR="00FB650E" w:rsidRDefault="00FB650E" w:rsidP="006B4EA8">
            <w:pPr>
              <w:spacing w:after="0" w:line="240" w:lineRule="auto"/>
              <w:rPr>
                <w:rFonts w:ascii="Times New Roman" w:eastAsia="Calibri" w:hAnsi="Times New Roman" w:cs="Times New Roman"/>
                <w:b/>
                <w:sz w:val="20"/>
                <w:szCs w:val="20"/>
                <w:lang w:val="ro-MD"/>
              </w:rPr>
            </w:pPr>
          </w:p>
          <w:p w:rsidR="00FB650E" w:rsidRDefault="00FB650E" w:rsidP="006B4EA8">
            <w:pPr>
              <w:spacing w:after="0" w:line="240" w:lineRule="auto"/>
              <w:rPr>
                <w:rFonts w:ascii="Times New Roman" w:eastAsia="Calibri" w:hAnsi="Times New Roman" w:cs="Times New Roman"/>
                <w:b/>
                <w:sz w:val="20"/>
                <w:szCs w:val="20"/>
                <w:lang w:val="ro-MD"/>
              </w:rPr>
            </w:pPr>
          </w:p>
          <w:p w:rsidR="00FB650E" w:rsidRDefault="00FB650E" w:rsidP="006B4EA8">
            <w:pPr>
              <w:spacing w:after="0" w:line="240" w:lineRule="auto"/>
              <w:rPr>
                <w:rFonts w:ascii="Times New Roman" w:eastAsia="Calibri" w:hAnsi="Times New Roman" w:cs="Times New Roman"/>
                <w:b/>
                <w:sz w:val="20"/>
                <w:szCs w:val="20"/>
                <w:lang w:val="ro-MD"/>
              </w:rPr>
            </w:pPr>
          </w:p>
          <w:p w:rsidR="00FB650E" w:rsidRDefault="00FB650E" w:rsidP="006B4EA8">
            <w:pPr>
              <w:spacing w:after="0" w:line="240" w:lineRule="auto"/>
              <w:rPr>
                <w:rFonts w:ascii="Times New Roman" w:eastAsia="Calibri" w:hAnsi="Times New Roman" w:cs="Times New Roman"/>
                <w:b/>
                <w:sz w:val="20"/>
                <w:szCs w:val="20"/>
                <w:lang w:val="ro-MD"/>
              </w:rPr>
            </w:pPr>
          </w:p>
          <w:p w:rsidR="00FB650E" w:rsidRDefault="00FB650E" w:rsidP="006B4EA8">
            <w:pPr>
              <w:spacing w:after="0" w:line="240" w:lineRule="auto"/>
              <w:rPr>
                <w:rFonts w:ascii="Times New Roman" w:eastAsia="Calibri" w:hAnsi="Times New Roman" w:cs="Times New Roman"/>
                <w:b/>
                <w:sz w:val="20"/>
                <w:szCs w:val="20"/>
                <w:lang w:val="ro-MD"/>
              </w:rPr>
            </w:pPr>
          </w:p>
          <w:p w:rsidR="00FB650E" w:rsidRDefault="00FB650E" w:rsidP="006B4EA8">
            <w:pPr>
              <w:spacing w:after="0" w:line="240" w:lineRule="auto"/>
              <w:rPr>
                <w:rFonts w:ascii="Times New Roman" w:eastAsia="Calibri" w:hAnsi="Times New Roman" w:cs="Times New Roman"/>
                <w:b/>
                <w:sz w:val="20"/>
                <w:szCs w:val="20"/>
                <w:lang w:val="ro-MD"/>
              </w:rPr>
            </w:pPr>
          </w:p>
          <w:p w:rsidR="00FB650E" w:rsidRDefault="00FB650E" w:rsidP="006B4EA8">
            <w:pPr>
              <w:spacing w:after="0" w:line="240" w:lineRule="auto"/>
              <w:rPr>
                <w:rFonts w:ascii="Times New Roman" w:eastAsia="Calibri" w:hAnsi="Times New Roman" w:cs="Times New Roman"/>
                <w:b/>
                <w:sz w:val="20"/>
                <w:szCs w:val="20"/>
                <w:lang w:val="ro-MD"/>
              </w:rPr>
            </w:pPr>
          </w:p>
          <w:p w:rsidR="00FB650E" w:rsidRPr="004C0446" w:rsidRDefault="00FB650E" w:rsidP="00FB650E">
            <w:pPr>
              <w:spacing w:after="40" w:line="240" w:lineRule="auto"/>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w:t>
            </w:r>
            <w:r w:rsidRPr="004C0446">
              <w:rPr>
                <w:rFonts w:ascii="Times New Roman" w:eastAsia="Calibri" w:hAnsi="Times New Roman" w:cs="Times New Roman"/>
                <w:sz w:val="20"/>
                <w:szCs w:val="20"/>
                <w:lang w:val="ro-MD"/>
              </w:rPr>
              <w:t>1706</w:t>
            </w:r>
          </w:p>
          <w:p w:rsidR="00FB650E" w:rsidRDefault="00FB650E" w:rsidP="00FB650E">
            <w:pPr>
              <w:spacing w:after="0" w:line="240" w:lineRule="auto"/>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t>Din cauza instituirii Moratoriul asupra controalelor de stat, nu au fost efectuate controale planificate</w:t>
            </w:r>
          </w:p>
          <w:p w:rsidR="00FB650E" w:rsidRDefault="00FB650E" w:rsidP="00FB650E">
            <w:pPr>
              <w:spacing w:after="0" w:line="240" w:lineRule="auto"/>
              <w:rPr>
                <w:rFonts w:ascii="Times New Roman" w:eastAsia="Calibri" w:hAnsi="Times New Roman" w:cs="Times New Roman"/>
                <w:sz w:val="20"/>
                <w:szCs w:val="20"/>
                <w:lang w:val="en-US"/>
              </w:rPr>
            </w:pPr>
          </w:p>
          <w:p w:rsidR="00FB650E" w:rsidRDefault="00FB650E" w:rsidP="00FB650E">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- 14 p.p.</w:t>
            </w:r>
          </w:p>
          <w:p w:rsidR="00FB650E" w:rsidRDefault="00FB650E" w:rsidP="00FB650E">
            <w:pPr>
              <w:spacing w:after="0" w:line="240" w:lineRule="auto"/>
              <w:rPr>
                <w:rFonts w:ascii="Times New Roman" w:eastAsia="Calibri" w:hAnsi="Times New Roman" w:cs="Times New Roman"/>
                <w:sz w:val="20"/>
                <w:szCs w:val="20"/>
                <w:lang w:val="ro-RO"/>
              </w:rPr>
            </w:pPr>
          </w:p>
          <w:p w:rsidR="00FB650E" w:rsidRDefault="00FB650E" w:rsidP="00FB650E">
            <w:pPr>
              <w:spacing w:after="0" w:line="240" w:lineRule="auto"/>
              <w:rPr>
                <w:rFonts w:ascii="Times New Roman" w:eastAsia="Calibri" w:hAnsi="Times New Roman" w:cs="Times New Roman"/>
                <w:sz w:val="20"/>
                <w:szCs w:val="20"/>
                <w:lang w:val="ro-RO"/>
              </w:rPr>
            </w:pPr>
          </w:p>
          <w:p w:rsidR="00FB650E" w:rsidRDefault="00FB650E" w:rsidP="00FB650E">
            <w:pPr>
              <w:spacing w:after="0" w:line="240" w:lineRule="auto"/>
              <w:rPr>
                <w:rFonts w:ascii="Times New Roman" w:eastAsia="Calibri" w:hAnsi="Times New Roman" w:cs="Times New Roman"/>
                <w:sz w:val="20"/>
                <w:szCs w:val="20"/>
                <w:lang w:val="ro-RO"/>
              </w:rPr>
            </w:pPr>
          </w:p>
          <w:p w:rsidR="00FB650E" w:rsidRDefault="00FB650E" w:rsidP="00FB650E">
            <w:pPr>
              <w:spacing w:after="0" w:line="240" w:lineRule="auto"/>
              <w:rPr>
                <w:rFonts w:ascii="Times New Roman" w:eastAsia="Calibri" w:hAnsi="Times New Roman" w:cs="Times New Roman"/>
                <w:sz w:val="20"/>
                <w:szCs w:val="20"/>
                <w:lang w:val="ro-RO"/>
              </w:rPr>
            </w:pPr>
          </w:p>
          <w:p w:rsidR="00FB650E" w:rsidRDefault="00FB650E" w:rsidP="00FB650E">
            <w:pPr>
              <w:spacing w:after="0" w:line="240" w:lineRule="auto"/>
              <w:rPr>
                <w:rFonts w:ascii="Times New Roman" w:eastAsia="Calibri" w:hAnsi="Times New Roman" w:cs="Times New Roman"/>
                <w:sz w:val="20"/>
                <w:szCs w:val="20"/>
                <w:lang w:val="ro-RO"/>
              </w:rPr>
            </w:pPr>
          </w:p>
          <w:p w:rsidR="00FB650E" w:rsidRDefault="00FB650E" w:rsidP="00FB650E">
            <w:pPr>
              <w:spacing w:after="0" w:line="240" w:lineRule="auto"/>
              <w:rPr>
                <w:rFonts w:ascii="Times New Roman" w:eastAsia="Calibri" w:hAnsi="Times New Roman" w:cs="Times New Roman"/>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+ 29 p.p.</w:t>
            </w: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- 11,8 p.p.</w:t>
            </w: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lastRenderedPageBreak/>
              <w:t>- 25</w:t>
            </w: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Default="00FB650E" w:rsidP="00FB650E">
            <w:pPr>
              <w:spacing w:after="0" w:line="240" w:lineRule="auto"/>
              <w:rPr>
                <w:rFonts w:ascii="Times New Roman" w:eastAsia="Calibri" w:hAnsi="Times New Roman" w:cs="Times New Roman"/>
                <w:color w:val="000000"/>
                <w:sz w:val="20"/>
                <w:szCs w:val="20"/>
                <w:lang w:val="ro-RO"/>
              </w:rPr>
            </w:pPr>
          </w:p>
          <w:p w:rsidR="00FB650E" w:rsidRPr="004C0446" w:rsidRDefault="00FB650E" w:rsidP="00FB650E">
            <w:pPr>
              <w:spacing w:after="4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- 4</w:t>
            </w:r>
          </w:p>
          <w:p w:rsidR="00FB650E" w:rsidRDefault="00FB650E" w:rsidP="00FB650E">
            <w:pPr>
              <w:spacing w:after="0" w:line="240" w:lineRule="auto"/>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t>Din lipsă de temei (rezultatele de laborator nu au fost contestate), probe de arbitraj nu au fost prelevate/ plasate în laboratoare peste hotare.</w:t>
            </w:r>
          </w:p>
          <w:p w:rsidR="00BC40B5" w:rsidRDefault="00BC40B5" w:rsidP="00FB650E">
            <w:pPr>
              <w:spacing w:after="0" w:line="240" w:lineRule="auto"/>
              <w:rPr>
                <w:rFonts w:ascii="Times New Roman" w:eastAsia="Calibri" w:hAnsi="Times New Roman" w:cs="Times New Roman"/>
                <w:sz w:val="20"/>
                <w:szCs w:val="20"/>
                <w:lang w:val="en-US"/>
              </w:rPr>
            </w:pPr>
          </w:p>
          <w:p w:rsidR="00BC40B5" w:rsidRDefault="00BC40B5" w:rsidP="00FB650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p w:rsidR="00BC40B5" w:rsidRDefault="00BC40B5" w:rsidP="00FB650E">
            <w:pPr>
              <w:spacing w:after="0" w:line="240" w:lineRule="auto"/>
              <w:rPr>
                <w:rFonts w:ascii="Times New Roman" w:eastAsia="Calibri" w:hAnsi="Times New Roman" w:cs="Times New Roman"/>
                <w:sz w:val="20"/>
                <w:szCs w:val="20"/>
                <w:lang w:val="en-US"/>
              </w:rPr>
            </w:pPr>
          </w:p>
          <w:p w:rsidR="00BC40B5" w:rsidRDefault="00BC40B5" w:rsidP="00FB650E">
            <w:pPr>
              <w:spacing w:after="0" w:line="240" w:lineRule="auto"/>
              <w:rPr>
                <w:rFonts w:ascii="Times New Roman" w:eastAsia="Calibri" w:hAnsi="Times New Roman" w:cs="Times New Roman"/>
                <w:sz w:val="20"/>
                <w:szCs w:val="20"/>
                <w:lang w:val="en-US"/>
              </w:rPr>
            </w:pPr>
          </w:p>
          <w:p w:rsidR="00BC40B5" w:rsidRDefault="00BC40B5" w:rsidP="00FB650E">
            <w:pPr>
              <w:spacing w:after="0" w:line="240" w:lineRule="auto"/>
              <w:rPr>
                <w:rFonts w:ascii="Times New Roman" w:eastAsia="Calibri" w:hAnsi="Times New Roman" w:cs="Times New Roman"/>
                <w:sz w:val="20"/>
                <w:szCs w:val="20"/>
                <w:lang w:val="en-US"/>
              </w:rPr>
            </w:pPr>
          </w:p>
          <w:p w:rsidR="00BC40B5" w:rsidRDefault="00BC40B5" w:rsidP="00FB650E">
            <w:pPr>
              <w:spacing w:after="0" w:line="240" w:lineRule="auto"/>
              <w:rPr>
                <w:rFonts w:ascii="Times New Roman" w:eastAsia="Calibri" w:hAnsi="Times New Roman" w:cs="Times New Roman"/>
                <w:sz w:val="20"/>
                <w:szCs w:val="20"/>
                <w:lang w:val="en-US"/>
              </w:rPr>
            </w:pPr>
          </w:p>
          <w:p w:rsidR="00BC40B5" w:rsidRDefault="00BC40B5" w:rsidP="00FB650E">
            <w:pPr>
              <w:spacing w:after="0" w:line="240" w:lineRule="auto"/>
              <w:rPr>
                <w:rFonts w:ascii="Times New Roman" w:eastAsia="Calibri" w:hAnsi="Times New Roman" w:cs="Times New Roman"/>
                <w:sz w:val="20"/>
                <w:szCs w:val="20"/>
                <w:lang w:val="en-US"/>
              </w:rPr>
            </w:pPr>
          </w:p>
          <w:p w:rsidR="00BC40B5" w:rsidRDefault="00BC40B5" w:rsidP="00FB650E">
            <w:pPr>
              <w:spacing w:after="0" w:line="240" w:lineRule="auto"/>
              <w:rPr>
                <w:rFonts w:ascii="Times New Roman" w:eastAsia="Calibri" w:hAnsi="Times New Roman" w:cs="Times New Roman"/>
                <w:sz w:val="20"/>
                <w:szCs w:val="20"/>
                <w:lang w:val="en-US"/>
              </w:rPr>
            </w:pPr>
          </w:p>
          <w:p w:rsidR="00BC40B5" w:rsidRDefault="00BC40B5" w:rsidP="00FB650E">
            <w:pPr>
              <w:spacing w:after="0" w:line="240" w:lineRule="auto"/>
              <w:rPr>
                <w:rFonts w:ascii="Times New Roman" w:eastAsia="Calibri" w:hAnsi="Times New Roman" w:cs="Times New Roman"/>
                <w:sz w:val="20"/>
                <w:szCs w:val="20"/>
                <w:lang w:val="en-US"/>
              </w:rPr>
            </w:pPr>
          </w:p>
          <w:p w:rsidR="00BC40B5" w:rsidRDefault="00BC40B5" w:rsidP="00FB650E">
            <w:pPr>
              <w:spacing w:after="0" w:line="240" w:lineRule="auto"/>
              <w:rPr>
                <w:rFonts w:ascii="Times New Roman" w:eastAsia="Calibri" w:hAnsi="Times New Roman" w:cs="Times New Roman"/>
                <w:sz w:val="20"/>
                <w:szCs w:val="20"/>
                <w:lang w:val="en-US"/>
              </w:rPr>
            </w:pPr>
          </w:p>
          <w:p w:rsidR="00CC7E18" w:rsidRDefault="00CC7E18" w:rsidP="00FB650E">
            <w:pPr>
              <w:spacing w:after="0" w:line="240" w:lineRule="auto"/>
              <w:rPr>
                <w:rFonts w:ascii="Times New Roman" w:eastAsia="Calibri" w:hAnsi="Times New Roman" w:cs="Times New Roman"/>
                <w:sz w:val="20"/>
                <w:szCs w:val="20"/>
                <w:lang w:val="en-US"/>
              </w:rPr>
            </w:pPr>
          </w:p>
          <w:p w:rsidR="00BC40B5" w:rsidRPr="004C0446" w:rsidRDefault="00BC40B5" w:rsidP="00BC40B5">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+516</w:t>
            </w:r>
          </w:p>
          <w:p w:rsidR="00BC40B5" w:rsidRPr="004C0446" w:rsidRDefault="00BC40B5" w:rsidP="00FB650E">
            <w:pPr>
              <w:spacing w:after="0" w:line="240" w:lineRule="auto"/>
              <w:rPr>
                <w:rFonts w:ascii="Times New Roman" w:eastAsia="Calibri" w:hAnsi="Times New Roman" w:cs="Times New Roman"/>
                <w:b/>
                <w:sz w:val="20"/>
                <w:szCs w:val="20"/>
                <w:lang w:val="ro-MD"/>
              </w:rPr>
            </w:pPr>
          </w:p>
        </w:tc>
        <w:tc>
          <w:tcPr>
            <w:tcW w:w="1231" w:type="dxa"/>
            <w:gridSpan w:val="2"/>
            <w:shd w:val="clear" w:color="auto" w:fill="auto"/>
          </w:tcPr>
          <w:p w:rsidR="002E1EF3" w:rsidRDefault="002E1EF3" w:rsidP="00334505">
            <w:pPr>
              <w:spacing w:after="0" w:line="240" w:lineRule="auto"/>
              <w:rPr>
                <w:rFonts w:ascii="Times New Roman" w:eastAsia="Calibri" w:hAnsi="Times New Roman" w:cs="Times New Roman"/>
                <w:b/>
                <w:sz w:val="20"/>
                <w:szCs w:val="20"/>
                <w:lang w:val="ro-MD"/>
              </w:rPr>
            </w:pPr>
          </w:p>
          <w:p w:rsidR="00FB650E" w:rsidRDefault="00FB650E" w:rsidP="00334505">
            <w:pPr>
              <w:spacing w:after="0" w:line="240" w:lineRule="auto"/>
              <w:rPr>
                <w:rFonts w:ascii="Times New Roman" w:eastAsia="Calibri" w:hAnsi="Times New Roman" w:cs="Times New Roman"/>
                <w:b/>
                <w:sz w:val="20"/>
                <w:szCs w:val="20"/>
                <w:lang w:val="ro-MD"/>
              </w:rPr>
            </w:pPr>
          </w:p>
          <w:p w:rsidR="00FB650E" w:rsidRDefault="00FB650E" w:rsidP="00334505">
            <w:pPr>
              <w:spacing w:after="0" w:line="240" w:lineRule="auto"/>
              <w:rPr>
                <w:rFonts w:ascii="Times New Roman" w:eastAsia="Calibri" w:hAnsi="Times New Roman" w:cs="Times New Roman"/>
                <w:b/>
                <w:sz w:val="20"/>
                <w:szCs w:val="20"/>
                <w:lang w:val="ro-MD"/>
              </w:rPr>
            </w:pPr>
          </w:p>
          <w:p w:rsidR="00FB650E" w:rsidRDefault="00FB650E" w:rsidP="00334505">
            <w:pPr>
              <w:spacing w:after="0" w:line="240" w:lineRule="auto"/>
              <w:rPr>
                <w:rFonts w:ascii="Times New Roman" w:eastAsia="Calibri" w:hAnsi="Times New Roman" w:cs="Times New Roman"/>
                <w:b/>
                <w:sz w:val="20"/>
                <w:szCs w:val="20"/>
                <w:lang w:val="ro-MD"/>
              </w:rPr>
            </w:pPr>
          </w:p>
          <w:p w:rsidR="00FB650E" w:rsidRDefault="00FB650E" w:rsidP="00334505">
            <w:pPr>
              <w:spacing w:after="0" w:line="240" w:lineRule="auto"/>
              <w:rPr>
                <w:rFonts w:ascii="Times New Roman" w:eastAsia="Calibri" w:hAnsi="Times New Roman" w:cs="Times New Roman"/>
                <w:b/>
                <w:sz w:val="20"/>
                <w:szCs w:val="20"/>
                <w:lang w:val="ro-MD"/>
              </w:rPr>
            </w:pPr>
          </w:p>
          <w:p w:rsidR="00FB650E" w:rsidRDefault="00FB650E" w:rsidP="00334505">
            <w:pPr>
              <w:spacing w:after="0" w:line="240" w:lineRule="auto"/>
              <w:rPr>
                <w:rFonts w:ascii="Times New Roman" w:eastAsia="Calibri" w:hAnsi="Times New Roman" w:cs="Times New Roman"/>
                <w:b/>
                <w:sz w:val="20"/>
                <w:szCs w:val="20"/>
                <w:lang w:val="ro-MD"/>
              </w:rPr>
            </w:pPr>
          </w:p>
          <w:p w:rsidR="00FB650E" w:rsidRDefault="00FB650E" w:rsidP="00334505">
            <w:pPr>
              <w:spacing w:after="0" w:line="240" w:lineRule="auto"/>
              <w:rPr>
                <w:rFonts w:ascii="Times New Roman" w:eastAsia="Calibri" w:hAnsi="Times New Roman" w:cs="Times New Roman"/>
                <w:b/>
                <w:sz w:val="20"/>
                <w:szCs w:val="20"/>
                <w:lang w:val="ro-MD"/>
              </w:rPr>
            </w:pPr>
          </w:p>
          <w:p w:rsidR="00FB650E" w:rsidRDefault="00FB650E" w:rsidP="00334505">
            <w:pPr>
              <w:spacing w:after="0" w:line="240" w:lineRule="auto"/>
              <w:rPr>
                <w:rFonts w:ascii="Times New Roman" w:eastAsia="Calibri" w:hAnsi="Times New Roman" w:cs="Times New Roman"/>
                <w:b/>
                <w:sz w:val="20"/>
                <w:szCs w:val="20"/>
                <w:lang w:val="ro-MD"/>
              </w:rPr>
            </w:pPr>
          </w:p>
          <w:p w:rsidR="00FB650E" w:rsidRDefault="00FB650E" w:rsidP="00334505">
            <w:pPr>
              <w:spacing w:after="0" w:line="240" w:lineRule="auto"/>
              <w:rPr>
                <w:rFonts w:ascii="Times New Roman" w:eastAsia="Calibri" w:hAnsi="Times New Roman" w:cs="Times New Roman"/>
                <w:b/>
                <w:sz w:val="20"/>
                <w:szCs w:val="20"/>
                <w:lang w:val="ro-MD"/>
              </w:rPr>
            </w:pPr>
          </w:p>
          <w:p w:rsidR="00FB650E" w:rsidRPr="004C0446" w:rsidRDefault="00FB650E" w:rsidP="00334505">
            <w:pPr>
              <w:spacing w:after="0" w:line="240" w:lineRule="auto"/>
              <w:rPr>
                <w:rFonts w:ascii="Times New Roman" w:eastAsia="Calibri" w:hAnsi="Times New Roman" w:cs="Times New Roman"/>
                <w:b/>
                <w:sz w:val="20"/>
                <w:szCs w:val="20"/>
                <w:lang w:val="ro-MD"/>
              </w:rPr>
            </w:pPr>
          </w:p>
        </w:tc>
      </w:tr>
      <w:tr w:rsidR="00CC7E18" w:rsidRPr="00FB650E" w:rsidTr="00FC2A00">
        <w:trPr>
          <w:trHeight w:val="32424"/>
        </w:trPr>
        <w:tc>
          <w:tcPr>
            <w:tcW w:w="1795" w:type="dxa"/>
            <w:vMerge/>
            <w:tcBorders>
              <w:bottom w:val="single" w:sz="4" w:space="0" w:color="auto"/>
            </w:tcBorders>
            <w:shd w:val="clear" w:color="auto" w:fill="auto"/>
          </w:tcPr>
          <w:p w:rsidR="00CC7E18" w:rsidRPr="004C0446" w:rsidRDefault="00CC7E18" w:rsidP="000407C1">
            <w:pPr>
              <w:pStyle w:val="ListParagraph"/>
              <w:numPr>
                <w:ilvl w:val="0"/>
                <w:numId w:val="14"/>
              </w:numPr>
              <w:spacing w:after="0" w:line="240" w:lineRule="auto"/>
              <w:ind w:left="157" w:right="57" w:hanging="180"/>
              <w:jc w:val="both"/>
              <w:rPr>
                <w:rFonts w:ascii="Times New Roman" w:eastAsia="Calibri" w:hAnsi="Times New Roman" w:cs="Times New Roman"/>
                <w:color w:val="000000"/>
                <w:sz w:val="20"/>
                <w:szCs w:val="20"/>
                <w:lang w:val="ro-RO"/>
              </w:rPr>
            </w:pPr>
          </w:p>
        </w:tc>
        <w:tc>
          <w:tcPr>
            <w:tcW w:w="2430" w:type="dxa"/>
            <w:gridSpan w:val="3"/>
            <w:vMerge/>
            <w:tcBorders>
              <w:bottom w:val="single" w:sz="4" w:space="0" w:color="auto"/>
            </w:tcBorders>
            <w:shd w:val="clear" w:color="auto" w:fill="auto"/>
            <w:vAlign w:val="center"/>
          </w:tcPr>
          <w:p w:rsidR="00CC7E18" w:rsidRPr="004C0446" w:rsidRDefault="00CC7E18" w:rsidP="00334505">
            <w:pPr>
              <w:tabs>
                <w:tab w:val="left" w:pos="169"/>
              </w:tabs>
              <w:spacing w:after="0" w:line="240" w:lineRule="auto"/>
              <w:ind w:right="57"/>
              <w:jc w:val="both"/>
              <w:rPr>
                <w:rFonts w:ascii="Times New Roman" w:eastAsia="Calibri" w:hAnsi="Times New Roman" w:cs="Times New Roman"/>
                <w:color w:val="000000"/>
                <w:sz w:val="20"/>
                <w:szCs w:val="20"/>
                <w:lang w:val="ro-RO"/>
              </w:rPr>
            </w:pPr>
          </w:p>
        </w:tc>
        <w:tc>
          <w:tcPr>
            <w:tcW w:w="3627" w:type="dxa"/>
            <w:vMerge/>
            <w:tcBorders>
              <w:bottom w:val="single" w:sz="4" w:space="0" w:color="auto"/>
            </w:tcBorders>
            <w:shd w:val="clear" w:color="auto" w:fill="auto"/>
          </w:tcPr>
          <w:p w:rsidR="00CC7E18" w:rsidRPr="004C0446" w:rsidRDefault="00CC7E18" w:rsidP="00334505">
            <w:pPr>
              <w:spacing w:after="0" w:line="240" w:lineRule="auto"/>
              <w:contextualSpacing/>
              <w:jc w:val="both"/>
              <w:rPr>
                <w:rFonts w:ascii="Times New Roman" w:eastAsia="Calibri" w:hAnsi="Times New Roman" w:cs="Times New Roman"/>
                <w:color w:val="000000"/>
                <w:sz w:val="20"/>
                <w:szCs w:val="20"/>
                <w:lang w:val="ro-RO"/>
              </w:rPr>
            </w:pPr>
          </w:p>
        </w:tc>
        <w:tc>
          <w:tcPr>
            <w:tcW w:w="1135" w:type="dxa"/>
            <w:vMerge/>
            <w:tcBorders>
              <w:bottom w:val="single" w:sz="4" w:space="0" w:color="auto"/>
            </w:tcBorders>
            <w:shd w:val="clear" w:color="auto" w:fill="auto"/>
          </w:tcPr>
          <w:p w:rsidR="00CC7E18" w:rsidRPr="004C0446" w:rsidRDefault="00CC7E18" w:rsidP="00334505">
            <w:pPr>
              <w:spacing w:after="0" w:line="240" w:lineRule="auto"/>
              <w:ind w:right="27"/>
              <w:jc w:val="center"/>
              <w:rPr>
                <w:rFonts w:ascii="Times New Roman" w:eastAsia="Calibri" w:hAnsi="Times New Roman" w:cs="Times New Roman"/>
                <w:b/>
                <w:bCs/>
                <w:color w:val="FF0000"/>
                <w:sz w:val="20"/>
                <w:szCs w:val="20"/>
                <w:lang w:val="ro-MD" w:eastAsia="nl-NL"/>
              </w:rPr>
            </w:pPr>
          </w:p>
        </w:tc>
        <w:tc>
          <w:tcPr>
            <w:tcW w:w="993" w:type="dxa"/>
            <w:vMerge/>
            <w:tcBorders>
              <w:bottom w:val="single" w:sz="4" w:space="0" w:color="auto"/>
            </w:tcBorders>
            <w:shd w:val="clear" w:color="auto" w:fill="auto"/>
          </w:tcPr>
          <w:p w:rsidR="00CC7E18" w:rsidRPr="004C0446" w:rsidRDefault="00CC7E18" w:rsidP="00334505">
            <w:pPr>
              <w:spacing w:after="0" w:line="240" w:lineRule="auto"/>
              <w:jc w:val="center"/>
              <w:rPr>
                <w:rFonts w:ascii="Times New Roman" w:eastAsia="Calibri" w:hAnsi="Times New Roman" w:cs="Times New Roman"/>
                <w:b/>
                <w:bCs/>
                <w:sz w:val="20"/>
                <w:szCs w:val="20"/>
                <w:lang w:val="ro-MD" w:eastAsia="nl-NL"/>
              </w:rPr>
            </w:pPr>
          </w:p>
        </w:tc>
        <w:tc>
          <w:tcPr>
            <w:tcW w:w="1561" w:type="dxa"/>
            <w:shd w:val="clear" w:color="auto" w:fill="auto"/>
          </w:tcPr>
          <w:p w:rsidR="00CC7E18" w:rsidRDefault="00CC7E18" w:rsidP="002C40C8">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2C40C8">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2C40C8">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2C40C8">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2C40C8">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A77742" w:rsidRDefault="00A77742" w:rsidP="002C40C8">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A77742" w:rsidRDefault="00A77742" w:rsidP="002C40C8">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BC40B5">
            <w:pPr>
              <w:tabs>
                <w:tab w:val="left" w:pos="-75"/>
                <w:tab w:val="left" w:pos="45"/>
                <w:tab w:val="left" w:pos="135"/>
              </w:tabs>
              <w:spacing w:after="0" w:line="240" w:lineRule="auto"/>
              <w:ind w:right="57"/>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 xml:space="preserve">Echipamente </w:t>
            </w:r>
            <w:r w:rsidRPr="004C0446">
              <w:rPr>
                <w:rFonts w:ascii="Cambria Math" w:eastAsia="Calibri" w:hAnsi="Cambria Math" w:cs="Cambria Math"/>
                <w:sz w:val="20"/>
                <w:szCs w:val="20"/>
                <w:lang w:val="ro-RO"/>
              </w:rPr>
              <w:t>ș</w:t>
            </w:r>
            <w:r w:rsidRPr="004C0446">
              <w:rPr>
                <w:rFonts w:ascii="Times New Roman" w:eastAsia="Calibri" w:hAnsi="Times New Roman" w:cs="Times New Roman"/>
                <w:sz w:val="20"/>
                <w:szCs w:val="20"/>
                <w:lang w:val="ro-RO"/>
              </w:rPr>
              <w:t>i materiale achizi</w:t>
            </w:r>
            <w:r w:rsidRPr="004C0446">
              <w:rPr>
                <w:rFonts w:ascii="Times New Roman" w:eastAsia="Calibri" w:hAnsi="Times New Roman" w:cs="Times New Roman"/>
                <w:bCs/>
                <w:sz w:val="20"/>
                <w:szCs w:val="20"/>
                <w:lang w:val="ro-RO"/>
              </w:rPr>
              <w:t>ţ</w:t>
            </w:r>
            <w:r w:rsidRPr="004C0446">
              <w:rPr>
                <w:rFonts w:ascii="Times New Roman" w:eastAsia="Calibri" w:hAnsi="Times New Roman" w:cs="Times New Roman"/>
                <w:sz w:val="20"/>
                <w:szCs w:val="20"/>
                <w:lang w:val="ro-RO"/>
              </w:rPr>
              <w:t>ionate pentru expres-testari</w:t>
            </w: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color w:val="000000"/>
                <w:sz w:val="20"/>
                <w:szCs w:val="20"/>
                <w:lang w:val="ro-RO"/>
              </w:rPr>
              <w:t>76 angajaţi instruiţi anual</w:t>
            </w: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7D70CB">
            <w:pPr>
              <w:tabs>
                <w:tab w:val="left" w:pos="45"/>
                <w:tab w:val="left" w:pos="135"/>
              </w:tabs>
              <w:spacing w:after="0" w:line="240" w:lineRule="auto"/>
              <w:ind w:right="16"/>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2 acţiuni privind schimbul de experienţă externă (inspectori, manageri), anual</w:t>
            </w: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7D70CB">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6 campanii de informare</w:t>
            </w: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7D70CB">
            <w:pPr>
              <w:tabs>
                <w:tab w:val="left" w:pos="-75"/>
                <w:tab w:val="left" w:pos="45"/>
                <w:tab w:val="left" w:pos="135"/>
              </w:tabs>
              <w:spacing w:after="0" w:line="240" w:lineRule="auto"/>
              <w:ind w:right="57"/>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25000 unităţi de pliante editate si distribuite;</w:t>
            </w: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sz w:val="20"/>
                <w:szCs w:val="20"/>
                <w:lang w:val="ro-RO"/>
              </w:rPr>
              <w:t>1000 de ghiduri, broşuri editate si distribuite</w:t>
            </w:r>
          </w:p>
          <w:p w:rsidR="00CC7E18" w:rsidRDefault="00CC7E18" w:rsidP="00CC7E18">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CC7E18">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CC7E18">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C97351">
            <w:pPr>
              <w:tabs>
                <w:tab w:val="left" w:pos="-75"/>
                <w:tab w:val="left" w:pos="105"/>
              </w:tabs>
              <w:spacing w:after="0" w:line="240" w:lineRule="auto"/>
              <w:ind w:right="57"/>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12 întîlniri (lunar) conform Programului zilelor de consultanţă la sediul Agenţiei</w:t>
            </w: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4 conferințe on-line pe site-ul APC</w:t>
            </w: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Default="00CC7E18"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F12827" w:rsidRPr="004C0446" w:rsidRDefault="00F12827" w:rsidP="003B5354">
            <w:pPr>
              <w:tabs>
                <w:tab w:val="left" w:pos="45"/>
                <w:tab w:val="left" w:pos="135"/>
              </w:tabs>
              <w:spacing w:after="0" w:line="240" w:lineRule="auto"/>
              <w:ind w:right="57"/>
              <w:rPr>
                <w:rFonts w:ascii="Times New Roman" w:eastAsia="Calibri" w:hAnsi="Times New Roman" w:cs="Times New Roman"/>
                <w:color w:val="000000"/>
                <w:sz w:val="20"/>
                <w:szCs w:val="20"/>
                <w:lang w:val="ro-RO"/>
              </w:rPr>
            </w:pPr>
          </w:p>
          <w:p w:rsidR="00CC7E18" w:rsidRPr="004C0446" w:rsidRDefault="00CC7E18" w:rsidP="00C27A68">
            <w:pPr>
              <w:tabs>
                <w:tab w:val="left" w:pos="45"/>
                <w:tab w:val="left" w:pos="135"/>
              </w:tabs>
              <w:spacing w:after="0" w:line="240" w:lineRule="auto"/>
              <w:ind w:right="57"/>
              <w:rPr>
                <w:rFonts w:ascii="Times New Roman" w:eastAsia="Calibri" w:hAnsi="Times New Roman" w:cs="Times New Roman"/>
                <w:color w:val="000000"/>
                <w:sz w:val="20"/>
                <w:szCs w:val="20"/>
                <w:lang w:val="ro-RO"/>
              </w:rPr>
            </w:pPr>
            <w:r w:rsidRPr="004C0446">
              <w:rPr>
                <w:rFonts w:ascii="Times New Roman" w:eastAsia="Calibri" w:hAnsi="Times New Roman" w:cs="Times New Roman"/>
                <w:sz w:val="20"/>
                <w:szCs w:val="20"/>
                <w:lang w:val="ro-RO"/>
              </w:rPr>
              <w:t>2 spoturi publicitare pe pagina web a Agenţiei</w:t>
            </w:r>
          </w:p>
        </w:tc>
        <w:tc>
          <w:tcPr>
            <w:tcW w:w="1560" w:type="dxa"/>
            <w:tcBorders>
              <w:bottom w:val="single" w:sz="4" w:space="0" w:color="auto"/>
            </w:tcBorders>
            <w:shd w:val="clear" w:color="auto" w:fill="auto"/>
          </w:tcPr>
          <w:p w:rsidR="00CC7E18" w:rsidRPr="004C0446" w:rsidRDefault="00CC7E18" w:rsidP="003B5354">
            <w:pPr>
              <w:spacing w:after="0" w:line="240" w:lineRule="auto"/>
              <w:rPr>
                <w:rFonts w:ascii="Times New Roman" w:eastAsia="Calibri" w:hAnsi="Times New Roman" w:cs="Times New Roman"/>
                <w:sz w:val="20"/>
                <w:szCs w:val="20"/>
                <w:lang w:val="ro-RO"/>
              </w:rPr>
            </w:pPr>
          </w:p>
          <w:p w:rsidR="00CC7E18" w:rsidRPr="004C0446" w:rsidRDefault="00CC7E18" w:rsidP="003B5354">
            <w:pPr>
              <w:spacing w:after="0" w:line="240" w:lineRule="auto"/>
              <w:rPr>
                <w:rFonts w:ascii="Times New Roman" w:eastAsia="Calibri" w:hAnsi="Times New Roman" w:cs="Times New Roman"/>
                <w:sz w:val="20"/>
                <w:szCs w:val="20"/>
                <w:lang w:val="ro-RO"/>
              </w:rPr>
            </w:pPr>
          </w:p>
          <w:p w:rsidR="00CC7E18" w:rsidRPr="004C0446" w:rsidRDefault="00CC7E18" w:rsidP="003B5354">
            <w:pPr>
              <w:spacing w:after="0" w:line="240" w:lineRule="auto"/>
              <w:rPr>
                <w:rFonts w:ascii="Times New Roman" w:eastAsia="Calibri" w:hAnsi="Times New Roman" w:cs="Times New Roman"/>
                <w:sz w:val="20"/>
                <w:szCs w:val="20"/>
                <w:lang w:val="ro-RO"/>
              </w:rPr>
            </w:pPr>
          </w:p>
          <w:p w:rsidR="00CC7E18" w:rsidRDefault="00CC7E18" w:rsidP="003B5354">
            <w:pPr>
              <w:spacing w:after="0" w:line="240" w:lineRule="auto"/>
              <w:rPr>
                <w:rFonts w:ascii="Times New Roman" w:eastAsia="Calibri" w:hAnsi="Times New Roman" w:cs="Times New Roman"/>
                <w:sz w:val="20"/>
                <w:szCs w:val="20"/>
                <w:lang w:val="ro-RO"/>
              </w:rPr>
            </w:pPr>
          </w:p>
          <w:p w:rsidR="00CC7E18" w:rsidRDefault="00CC7E18" w:rsidP="003B5354">
            <w:pPr>
              <w:spacing w:after="0" w:line="240" w:lineRule="auto"/>
              <w:rPr>
                <w:rFonts w:ascii="Times New Roman" w:eastAsia="Calibri" w:hAnsi="Times New Roman" w:cs="Times New Roman"/>
                <w:sz w:val="20"/>
                <w:szCs w:val="20"/>
                <w:lang w:val="ro-RO"/>
              </w:rPr>
            </w:pPr>
          </w:p>
          <w:p w:rsidR="00A77742" w:rsidRDefault="00A77742" w:rsidP="003B5354">
            <w:pPr>
              <w:spacing w:after="0" w:line="240" w:lineRule="auto"/>
              <w:rPr>
                <w:rFonts w:ascii="Times New Roman" w:eastAsia="Calibri" w:hAnsi="Times New Roman" w:cs="Times New Roman"/>
                <w:sz w:val="20"/>
                <w:szCs w:val="20"/>
                <w:lang w:val="ro-RO"/>
              </w:rPr>
            </w:pPr>
          </w:p>
          <w:p w:rsidR="00A77742" w:rsidRPr="004C0446" w:rsidRDefault="00A77742" w:rsidP="003B5354">
            <w:pPr>
              <w:spacing w:after="0" w:line="240" w:lineRule="auto"/>
              <w:rPr>
                <w:rFonts w:ascii="Times New Roman" w:eastAsia="Calibri" w:hAnsi="Times New Roman" w:cs="Times New Roman"/>
                <w:sz w:val="20"/>
                <w:szCs w:val="20"/>
                <w:lang w:val="ro-RO"/>
              </w:rPr>
            </w:pPr>
          </w:p>
          <w:p w:rsidR="00CC7E18" w:rsidRPr="004C0446" w:rsidRDefault="00CC7E18" w:rsidP="00222B9A">
            <w:pPr>
              <w:tabs>
                <w:tab w:val="left" w:pos="0"/>
                <w:tab w:val="left" w:pos="105"/>
              </w:tabs>
              <w:spacing w:after="40" w:line="240" w:lineRule="auto"/>
              <w:ind w:right="57"/>
              <w:contextualSpacing/>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Spectrometru X-Calubru SDD - 2095793,40 lei;</w:t>
            </w:r>
          </w:p>
          <w:p w:rsidR="00CC7E18" w:rsidRPr="004C0446" w:rsidRDefault="00CC7E18" w:rsidP="00222B9A">
            <w:pPr>
              <w:tabs>
                <w:tab w:val="left" w:pos="0"/>
                <w:tab w:val="left" w:pos="105"/>
              </w:tabs>
              <w:spacing w:after="40" w:line="240" w:lineRule="auto"/>
              <w:ind w:right="57"/>
              <w:contextualSpacing/>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Multianalizator portabil multicombustibil – 1098624,00 lei;</w:t>
            </w:r>
          </w:p>
          <w:p w:rsidR="00CC7E18" w:rsidRPr="004C0446" w:rsidRDefault="00CC7E18" w:rsidP="00222B9A">
            <w:pPr>
              <w:tabs>
                <w:tab w:val="left" w:pos="0"/>
                <w:tab w:val="left" w:pos="105"/>
              </w:tabs>
              <w:spacing w:after="40" w:line="240" w:lineRule="auto"/>
              <w:ind w:right="57"/>
              <w:contextualSpacing/>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Analizator metale pretioase - 559524,00 lei;</w:t>
            </w:r>
          </w:p>
          <w:p w:rsidR="00CC7E18" w:rsidRPr="004C0446" w:rsidRDefault="00CC7E18" w:rsidP="00222B9A">
            <w:pPr>
              <w:tabs>
                <w:tab w:val="left" w:pos="0"/>
                <w:tab w:val="left" w:pos="105"/>
              </w:tabs>
              <w:spacing w:after="40" w:line="240" w:lineRule="auto"/>
              <w:ind w:right="57"/>
              <w:contextualSpacing/>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Analizator temperaturii de congelare, petroliere - 298656,00 lei;</w:t>
            </w:r>
          </w:p>
          <w:p w:rsidR="00CC7E18" w:rsidRPr="004C0446" w:rsidRDefault="00CC7E18" w:rsidP="00222B9A">
            <w:pPr>
              <w:spacing w:after="40" w:line="240" w:lineRule="auto"/>
              <w:contextualSpacing/>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Abrazimetru pentru testarea rezistenței la abraziune - 198018,00 lei.</w:t>
            </w:r>
          </w:p>
          <w:p w:rsidR="00CC7E18" w:rsidRPr="004C0446" w:rsidRDefault="00CC7E18" w:rsidP="00222B9A">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71</w:t>
            </w: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tabs>
                <w:tab w:val="left" w:pos="0"/>
                <w:tab w:val="left" w:pos="105"/>
              </w:tabs>
              <w:spacing w:after="0" w:line="240" w:lineRule="auto"/>
              <w:ind w:right="57"/>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7 acţiuni privind schimbul de experienţă externă (inspectori, manageri), anual</w:t>
            </w: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 xml:space="preserve">7 </w:t>
            </w: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tabs>
                <w:tab w:val="left" w:pos="-75"/>
                <w:tab w:val="left" w:pos="45"/>
                <w:tab w:val="left" w:pos="135"/>
              </w:tabs>
              <w:spacing w:after="0" w:line="240" w:lineRule="auto"/>
              <w:ind w:right="57"/>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 xml:space="preserve">23828 </w:t>
            </w: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F12827" w:rsidRPr="004C0446" w:rsidRDefault="00F12827"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30000</w:t>
            </w:r>
            <w:r w:rsidRPr="004C0446">
              <w:rPr>
                <w:rFonts w:ascii="Times New Roman" w:eastAsia="Calibri" w:hAnsi="Times New Roman" w:cs="Times New Roman"/>
                <w:color w:val="000000"/>
                <w:sz w:val="18"/>
                <w:szCs w:val="18"/>
                <w:lang w:val="ro-RO"/>
              </w:rPr>
              <w:t xml:space="preserve"> </w:t>
            </w:r>
            <w:r w:rsidRPr="004C0446">
              <w:rPr>
                <w:rFonts w:ascii="Times New Roman" w:eastAsia="Calibri" w:hAnsi="Times New Roman" w:cs="Times New Roman"/>
                <w:sz w:val="20"/>
                <w:szCs w:val="20"/>
                <w:lang w:val="ro-RO"/>
              </w:rPr>
              <w:t>de ghiduri, broşuri editate si distribuite</w:t>
            </w: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C97351">
            <w:pPr>
              <w:tabs>
                <w:tab w:val="left" w:pos="162"/>
              </w:tabs>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Zilnic, în Ghișeul unic al APC, inspectorii acordă consultanță persoanelor interesate. Pe parcursul anului 2016, au fost acordate zilnic 1337 consultaţii.</w:t>
            </w: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MD"/>
              </w:rPr>
              <w:t>1</w:t>
            </w:r>
            <w:r w:rsidRPr="004C0446">
              <w:rPr>
                <w:rFonts w:ascii="Times New Roman" w:eastAsia="Calibri" w:hAnsi="Times New Roman" w:cs="Times New Roman"/>
                <w:sz w:val="20"/>
                <w:szCs w:val="20"/>
                <w:lang w:val="ro-RO"/>
              </w:rPr>
              <w:t xml:space="preserve"> </w:t>
            </w: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7D70CB">
            <w:pPr>
              <w:spacing w:after="40" w:line="240" w:lineRule="auto"/>
              <w:contextualSpacing/>
              <w:rPr>
                <w:rFonts w:ascii="Times New Roman" w:eastAsia="Calibri" w:hAnsi="Times New Roman" w:cs="Times New Roman"/>
                <w:sz w:val="20"/>
                <w:szCs w:val="20"/>
                <w:lang w:val="ro-RO"/>
              </w:rPr>
            </w:pPr>
          </w:p>
          <w:p w:rsidR="00CC7E18" w:rsidRDefault="00CC7E18" w:rsidP="007D70CB">
            <w:pPr>
              <w:spacing w:after="40" w:line="240" w:lineRule="auto"/>
              <w:contextualSpacing/>
              <w:rPr>
                <w:rFonts w:ascii="Times New Roman" w:eastAsia="Calibri" w:hAnsi="Times New Roman" w:cs="Times New Roman"/>
                <w:sz w:val="20"/>
                <w:szCs w:val="20"/>
                <w:lang w:val="ro-RO"/>
              </w:rPr>
            </w:pPr>
          </w:p>
          <w:p w:rsidR="00F12827" w:rsidRPr="004C0446" w:rsidRDefault="00F12827" w:rsidP="007D70CB">
            <w:pPr>
              <w:spacing w:after="40" w:line="240" w:lineRule="auto"/>
              <w:contextualSpacing/>
              <w:rPr>
                <w:rFonts w:ascii="Times New Roman" w:eastAsia="Calibri" w:hAnsi="Times New Roman" w:cs="Times New Roman"/>
                <w:sz w:val="20"/>
                <w:szCs w:val="20"/>
                <w:lang w:val="ro-RO"/>
              </w:rPr>
            </w:pPr>
          </w:p>
          <w:p w:rsidR="00CC7E18" w:rsidRPr="004C0446" w:rsidRDefault="00CC7E18" w:rsidP="00230D7A">
            <w:pPr>
              <w:spacing w:after="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sz w:val="20"/>
                <w:szCs w:val="20"/>
                <w:lang w:val="ro-RO"/>
              </w:rPr>
              <w:t xml:space="preserve">2 </w:t>
            </w:r>
          </w:p>
        </w:tc>
        <w:tc>
          <w:tcPr>
            <w:tcW w:w="1418" w:type="dxa"/>
            <w:tcBorders>
              <w:bottom w:val="single" w:sz="4" w:space="0" w:color="auto"/>
            </w:tcBorders>
            <w:shd w:val="clear" w:color="auto" w:fill="auto"/>
          </w:tcPr>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Default="00CC7E18" w:rsidP="005256B0">
            <w:pPr>
              <w:spacing w:after="0" w:line="240" w:lineRule="auto"/>
              <w:rPr>
                <w:rFonts w:ascii="Times New Roman" w:eastAsia="Calibri" w:hAnsi="Times New Roman" w:cs="Times New Roman"/>
                <w:sz w:val="20"/>
                <w:szCs w:val="20"/>
                <w:lang w:val="ro-MD"/>
              </w:rPr>
            </w:pPr>
          </w:p>
          <w:p w:rsidR="00A77742" w:rsidRDefault="00A77742" w:rsidP="005256B0">
            <w:pPr>
              <w:spacing w:after="0" w:line="240" w:lineRule="auto"/>
              <w:rPr>
                <w:rFonts w:ascii="Times New Roman" w:eastAsia="Calibri" w:hAnsi="Times New Roman" w:cs="Times New Roman"/>
                <w:sz w:val="20"/>
                <w:szCs w:val="20"/>
                <w:lang w:val="ro-MD"/>
              </w:rPr>
            </w:pPr>
          </w:p>
          <w:p w:rsidR="00A77742" w:rsidRDefault="00A77742" w:rsidP="005256B0">
            <w:pPr>
              <w:spacing w:after="0" w:line="240" w:lineRule="auto"/>
              <w:rPr>
                <w:rFonts w:ascii="Times New Roman" w:eastAsia="Calibri" w:hAnsi="Times New Roman" w:cs="Times New Roman"/>
                <w:sz w:val="20"/>
                <w:szCs w:val="20"/>
                <w:lang w:val="ro-MD"/>
              </w:rPr>
            </w:pPr>
          </w:p>
          <w:p w:rsidR="00A77742" w:rsidRPr="004C0446" w:rsidRDefault="00A77742"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5256B0">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b/>
                <w:sz w:val="20"/>
                <w:szCs w:val="20"/>
                <w:lang w:val="ro-MD"/>
              </w:rPr>
              <w:t>-</w:t>
            </w:r>
            <w:r w:rsidRPr="004C0446">
              <w:rPr>
                <w:rFonts w:ascii="Times New Roman" w:eastAsia="Calibri" w:hAnsi="Times New Roman" w:cs="Times New Roman"/>
                <w:sz w:val="20"/>
                <w:szCs w:val="20"/>
                <w:lang w:val="ro-MD"/>
              </w:rPr>
              <w:t>5</w:t>
            </w: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+5</w:t>
            </w:r>
          </w:p>
          <w:p w:rsidR="00CC7E18" w:rsidRPr="004C0446" w:rsidRDefault="00CC7E18" w:rsidP="007D70CB">
            <w:pPr>
              <w:spacing w:after="0" w:line="240" w:lineRule="auto"/>
              <w:rPr>
                <w:rFonts w:ascii="Times New Roman" w:eastAsia="Calibri" w:hAnsi="Times New Roman" w:cs="Times New Roman"/>
                <w:sz w:val="20"/>
                <w:szCs w:val="20"/>
                <w:lang w:val="ro-RO"/>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+1</w:t>
            </w: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b/>
                <w:sz w:val="20"/>
                <w:szCs w:val="20"/>
                <w:lang w:val="ro-MD"/>
              </w:rPr>
              <w:t>-</w:t>
            </w:r>
            <w:r w:rsidRPr="004C0446">
              <w:rPr>
                <w:rFonts w:ascii="Times New Roman" w:eastAsia="Calibri" w:hAnsi="Times New Roman" w:cs="Times New Roman"/>
                <w:sz w:val="20"/>
                <w:szCs w:val="20"/>
                <w:lang w:val="ro-MD"/>
              </w:rPr>
              <w:t>1 172</w:t>
            </w: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F12827" w:rsidRPr="004C0446" w:rsidRDefault="00F12827"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+29000</w:t>
            </w: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Pr="004C0446" w:rsidRDefault="00CC7E18" w:rsidP="007D70CB">
            <w:pPr>
              <w:spacing w:after="0" w:line="240" w:lineRule="auto"/>
              <w:rPr>
                <w:rFonts w:ascii="Times New Roman" w:eastAsia="Calibri" w:hAnsi="Times New Roman" w:cs="Times New Roman"/>
                <w:sz w:val="20"/>
                <w:szCs w:val="20"/>
                <w:lang w:val="ro-MD"/>
              </w:rPr>
            </w:pPr>
          </w:p>
          <w:p w:rsidR="00CC7E18" w:rsidRDefault="00CC7E18" w:rsidP="007D70CB">
            <w:pPr>
              <w:spacing w:after="0" w:line="240" w:lineRule="auto"/>
              <w:rPr>
                <w:rFonts w:ascii="Times New Roman" w:eastAsia="Calibri" w:hAnsi="Times New Roman" w:cs="Times New Roman"/>
                <w:sz w:val="20"/>
                <w:szCs w:val="20"/>
                <w:lang w:val="ro-MD"/>
              </w:rPr>
            </w:pPr>
          </w:p>
          <w:p w:rsidR="00A77742" w:rsidRDefault="00A77742" w:rsidP="007D70CB">
            <w:pPr>
              <w:spacing w:after="0" w:line="240" w:lineRule="auto"/>
              <w:rPr>
                <w:rFonts w:ascii="Times New Roman" w:eastAsia="Calibri" w:hAnsi="Times New Roman" w:cs="Times New Roman"/>
                <w:sz w:val="20"/>
                <w:szCs w:val="20"/>
                <w:lang w:val="ro-MD"/>
              </w:rPr>
            </w:pPr>
          </w:p>
          <w:p w:rsidR="00A77742" w:rsidRDefault="00A77742" w:rsidP="007D70CB">
            <w:pPr>
              <w:spacing w:after="0" w:line="240" w:lineRule="auto"/>
              <w:rPr>
                <w:rFonts w:ascii="Times New Roman" w:eastAsia="Calibri" w:hAnsi="Times New Roman" w:cs="Times New Roman"/>
                <w:sz w:val="20"/>
                <w:szCs w:val="20"/>
                <w:lang w:val="ro-MD"/>
              </w:rPr>
            </w:pPr>
          </w:p>
          <w:p w:rsidR="00A77742" w:rsidRDefault="00A77742" w:rsidP="007D70CB">
            <w:pPr>
              <w:spacing w:after="0" w:line="240" w:lineRule="auto"/>
              <w:rPr>
                <w:rFonts w:ascii="Times New Roman" w:eastAsia="Calibri" w:hAnsi="Times New Roman" w:cs="Times New Roman"/>
                <w:sz w:val="20"/>
                <w:szCs w:val="20"/>
                <w:lang w:val="ro-MD"/>
              </w:rPr>
            </w:pPr>
          </w:p>
          <w:p w:rsidR="00A77742" w:rsidRPr="004C0446" w:rsidRDefault="00A77742" w:rsidP="007D70CB">
            <w:pPr>
              <w:spacing w:after="0" w:line="240" w:lineRule="auto"/>
              <w:rPr>
                <w:rFonts w:ascii="Times New Roman" w:eastAsia="Calibri" w:hAnsi="Times New Roman" w:cs="Times New Roman"/>
                <w:sz w:val="20"/>
                <w:szCs w:val="20"/>
                <w:lang w:val="ro-MD"/>
              </w:rPr>
            </w:pPr>
          </w:p>
          <w:p w:rsidR="00CC7E18" w:rsidRPr="004C0446" w:rsidRDefault="00CC7E18" w:rsidP="00230D7A">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-3</w:t>
            </w:r>
          </w:p>
          <w:p w:rsidR="00CC7E18" w:rsidRPr="004C0446" w:rsidRDefault="00CC7E18" w:rsidP="00230D7A">
            <w:pPr>
              <w:spacing w:after="40" w:line="240" w:lineRule="auto"/>
              <w:rPr>
                <w:rFonts w:ascii="Times New Roman" w:eastAsia="Times New Roman" w:hAnsi="Times New Roman" w:cs="Times New Roman"/>
                <w:sz w:val="20"/>
                <w:szCs w:val="20"/>
                <w:lang w:val="ro-RO"/>
              </w:rPr>
            </w:pPr>
            <w:r w:rsidRPr="004C0446">
              <w:rPr>
                <w:rFonts w:ascii="Times New Roman" w:eastAsia="Times New Roman" w:hAnsi="Times New Roman" w:cs="Times New Roman"/>
                <w:sz w:val="20"/>
                <w:szCs w:val="20"/>
                <w:lang w:val="ro-RO"/>
              </w:rPr>
              <w:t>Conferințele online au fost înlocuite cu deplasarea în teritoriu (Bălți și Cahul). Au avut loc 4 deplasări, două din care, informația a fost publicată pe site-ul APC.</w:t>
            </w:r>
          </w:p>
          <w:p w:rsidR="00CC7E18" w:rsidRPr="004C0446" w:rsidRDefault="00CC7E18" w:rsidP="00230D7A">
            <w:pPr>
              <w:spacing w:after="40" w:line="240" w:lineRule="auto"/>
              <w:rPr>
                <w:rFonts w:ascii="Times New Roman" w:eastAsia="Times New Roman" w:hAnsi="Times New Roman" w:cs="Times New Roman"/>
                <w:sz w:val="20"/>
                <w:szCs w:val="20"/>
                <w:lang w:val="ro-RO"/>
              </w:rPr>
            </w:pPr>
          </w:p>
          <w:p w:rsidR="00CC7E18" w:rsidRPr="004C0446" w:rsidRDefault="00CC7E18" w:rsidP="00230D7A">
            <w:pPr>
              <w:spacing w:after="40" w:line="240" w:lineRule="auto"/>
              <w:rPr>
                <w:rFonts w:ascii="Times New Roman" w:eastAsia="Calibri" w:hAnsi="Times New Roman" w:cs="Times New Roman"/>
                <w:color w:val="000000"/>
                <w:sz w:val="20"/>
                <w:szCs w:val="20"/>
                <w:lang w:val="ro-RO"/>
              </w:rPr>
            </w:pPr>
            <w:r w:rsidRPr="004C0446">
              <w:rPr>
                <w:rFonts w:ascii="Times New Roman" w:eastAsia="Times New Roman" w:hAnsi="Times New Roman" w:cs="Times New Roman"/>
                <w:sz w:val="20"/>
                <w:szCs w:val="20"/>
                <w:lang w:val="ro-RO"/>
              </w:rPr>
              <w:t>-</w:t>
            </w:r>
          </w:p>
        </w:tc>
        <w:tc>
          <w:tcPr>
            <w:tcW w:w="1231" w:type="dxa"/>
            <w:gridSpan w:val="2"/>
            <w:tcBorders>
              <w:bottom w:val="single" w:sz="4" w:space="0" w:color="auto"/>
            </w:tcBorders>
            <w:shd w:val="clear" w:color="auto" w:fill="auto"/>
          </w:tcPr>
          <w:p w:rsidR="00CC7E18" w:rsidRPr="004C0446" w:rsidRDefault="00CC7E18" w:rsidP="00334505">
            <w:pPr>
              <w:spacing w:after="0" w:line="240" w:lineRule="auto"/>
              <w:rPr>
                <w:rFonts w:ascii="Times New Roman" w:eastAsia="Calibri" w:hAnsi="Times New Roman" w:cs="Times New Roman"/>
                <w:b/>
                <w:sz w:val="20"/>
                <w:szCs w:val="20"/>
                <w:lang w:val="ro-MD"/>
              </w:rPr>
            </w:pPr>
          </w:p>
        </w:tc>
      </w:tr>
      <w:tr w:rsidR="003B5354" w:rsidRPr="004C0446" w:rsidTr="00A77742">
        <w:trPr>
          <w:trHeight w:val="442"/>
        </w:trPr>
        <w:tc>
          <w:tcPr>
            <w:tcW w:w="7852" w:type="dxa"/>
            <w:gridSpan w:val="5"/>
            <w:shd w:val="clear" w:color="auto" w:fill="F2F2F2" w:themeFill="background1" w:themeFillShade="F2"/>
          </w:tcPr>
          <w:p w:rsidR="003B5354" w:rsidRPr="004C0446" w:rsidRDefault="003B5354" w:rsidP="00A77742">
            <w:pPr>
              <w:spacing w:after="0" w:line="240" w:lineRule="auto"/>
              <w:contextualSpacing/>
              <w:rPr>
                <w:rFonts w:ascii="Times New Roman" w:eastAsia="Calibri" w:hAnsi="Times New Roman" w:cs="Times New Roman"/>
                <w:color w:val="000000"/>
                <w:sz w:val="20"/>
                <w:szCs w:val="20"/>
                <w:lang w:val="ro-RO"/>
              </w:rPr>
            </w:pPr>
            <w:r w:rsidRPr="004C0446">
              <w:rPr>
                <w:rFonts w:ascii="Times New Roman" w:eastAsia="Calibri" w:hAnsi="Times New Roman" w:cs="Times New Roman"/>
                <w:b/>
                <w:color w:val="000000"/>
                <w:sz w:val="20"/>
                <w:szCs w:val="20"/>
                <w:lang w:val="ro-MD"/>
              </w:rPr>
              <w:lastRenderedPageBreak/>
              <w:t>Total subprogram, mii lei</w:t>
            </w:r>
          </w:p>
        </w:tc>
        <w:tc>
          <w:tcPr>
            <w:tcW w:w="1135" w:type="dxa"/>
            <w:shd w:val="clear" w:color="auto" w:fill="F2F2F2" w:themeFill="background1" w:themeFillShade="F2"/>
          </w:tcPr>
          <w:p w:rsidR="003B5354" w:rsidRPr="005911BC" w:rsidRDefault="00306C1A" w:rsidP="00A77742">
            <w:pPr>
              <w:spacing w:after="0" w:line="240" w:lineRule="auto"/>
              <w:ind w:right="27"/>
              <w:jc w:val="center"/>
              <w:rPr>
                <w:rFonts w:ascii="Times New Roman" w:eastAsia="Calibri" w:hAnsi="Times New Roman" w:cs="Times New Roman"/>
                <w:b/>
                <w:bCs/>
                <w:sz w:val="20"/>
                <w:szCs w:val="20"/>
                <w:lang w:val="ro-MD" w:eastAsia="nl-NL"/>
              </w:rPr>
            </w:pPr>
            <w:r w:rsidRPr="005911BC">
              <w:rPr>
                <w:rFonts w:ascii="Times New Roman" w:eastAsia="Times New Roman" w:hAnsi="Times New Roman" w:cs="Times New Roman"/>
                <w:b/>
                <w:sz w:val="20"/>
                <w:szCs w:val="20"/>
                <w:lang w:val="ro-RO"/>
              </w:rPr>
              <w:t>15743,9</w:t>
            </w:r>
          </w:p>
        </w:tc>
        <w:tc>
          <w:tcPr>
            <w:tcW w:w="993" w:type="dxa"/>
            <w:shd w:val="clear" w:color="auto" w:fill="F2F2F2" w:themeFill="background1" w:themeFillShade="F2"/>
          </w:tcPr>
          <w:p w:rsidR="003B5354" w:rsidRPr="005911BC" w:rsidRDefault="00306C1A" w:rsidP="00A77742">
            <w:pPr>
              <w:spacing w:after="0" w:line="240" w:lineRule="auto"/>
              <w:jc w:val="center"/>
              <w:rPr>
                <w:rFonts w:ascii="Times New Roman" w:eastAsia="Calibri" w:hAnsi="Times New Roman" w:cs="Times New Roman"/>
                <w:b/>
                <w:bCs/>
                <w:sz w:val="20"/>
                <w:szCs w:val="20"/>
                <w:lang w:val="ro-MD" w:eastAsia="nl-NL"/>
              </w:rPr>
            </w:pPr>
            <w:r w:rsidRPr="005911BC">
              <w:rPr>
                <w:rFonts w:ascii="Times New Roman" w:eastAsia="Times New Roman" w:hAnsi="Times New Roman" w:cs="Times New Roman"/>
                <w:b/>
                <w:sz w:val="20"/>
                <w:szCs w:val="20"/>
                <w:lang w:val="ro-RO"/>
              </w:rPr>
              <w:t>13783,4</w:t>
            </w:r>
          </w:p>
        </w:tc>
        <w:tc>
          <w:tcPr>
            <w:tcW w:w="1561" w:type="dxa"/>
            <w:shd w:val="clear" w:color="auto" w:fill="F2F2F2" w:themeFill="background1" w:themeFillShade="F2"/>
          </w:tcPr>
          <w:p w:rsidR="003B5354" w:rsidRPr="004C0446" w:rsidRDefault="003B5354" w:rsidP="00A77742">
            <w:pPr>
              <w:spacing w:after="0" w:line="240" w:lineRule="auto"/>
              <w:rPr>
                <w:rFonts w:ascii="Times New Roman" w:eastAsia="Calibri" w:hAnsi="Times New Roman" w:cs="Times New Roman"/>
                <w:sz w:val="20"/>
                <w:szCs w:val="20"/>
                <w:lang w:val="ro-RO"/>
              </w:rPr>
            </w:pPr>
          </w:p>
        </w:tc>
        <w:tc>
          <w:tcPr>
            <w:tcW w:w="1560" w:type="dxa"/>
            <w:shd w:val="clear" w:color="auto" w:fill="F2F2F2" w:themeFill="background1" w:themeFillShade="F2"/>
          </w:tcPr>
          <w:p w:rsidR="003B5354" w:rsidRPr="004C0446" w:rsidRDefault="003B5354" w:rsidP="00A77742">
            <w:pPr>
              <w:spacing w:after="0" w:line="240" w:lineRule="auto"/>
              <w:rPr>
                <w:rFonts w:ascii="Times New Roman" w:eastAsia="Calibri" w:hAnsi="Times New Roman" w:cs="Times New Roman"/>
                <w:sz w:val="20"/>
                <w:szCs w:val="20"/>
                <w:lang w:val="ro-RO"/>
              </w:rPr>
            </w:pPr>
          </w:p>
        </w:tc>
        <w:tc>
          <w:tcPr>
            <w:tcW w:w="1418" w:type="dxa"/>
            <w:shd w:val="clear" w:color="auto" w:fill="F2F2F2" w:themeFill="background1" w:themeFillShade="F2"/>
          </w:tcPr>
          <w:p w:rsidR="003B5354" w:rsidRPr="004C0446" w:rsidRDefault="003B5354" w:rsidP="00A77742">
            <w:pPr>
              <w:spacing w:after="0" w:line="240" w:lineRule="auto"/>
              <w:rPr>
                <w:rFonts w:ascii="Times New Roman" w:eastAsia="Calibri" w:hAnsi="Times New Roman" w:cs="Times New Roman"/>
                <w:b/>
                <w:sz w:val="20"/>
                <w:szCs w:val="20"/>
                <w:lang w:val="ro-MD"/>
              </w:rPr>
            </w:pPr>
          </w:p>
        </w:tc>
        <w:tc>
          <w:tcPr>
            <w:tcW w:w="1231" w:type="dxa"/>
            <w:gridSpan w:val="2"/>
            <w:shd w:val="clear" w:color="auto" w:fill="F2F2F2" w:themeFill="background1" w:themeFillShade="F2"/>
          </w:tcPr>
          <w:p w:rsidR="003B5354" w:rsidRPr="004C0446" w:rsidRDefault="003B5354" w:rsidP="00A77742">
            <w:pPr>
              <w:spacing w:after="0" w:line="240" w:lineRule="auto"/>
              <w:rPr>
                <w:rFonts w:ascii="Times New Roman" w:eastAsia="Calibri" w:hAnsi="Times New Roman" w:cs="Times New Roman"/>
                <w:b/>
                <w:sz w:val="20"/>
                <w:szCs w:val="20"/>
                <w:lang w:val="ro-MD"/>
              </w:rPr>
            </w:pPr>
          </w:p>
        </w:tc>
      </w:tr>
      <w:tr w:rsidR="003B5354" w:rsidRPr="004C0446" w:rsidTr="00FB650E">
        <w:trPr>
          <w:trHeight w:val="532"/>
        </w:trPr>
        <w:tc>
          <w:tcPr>
            <w:tcW w:w="15750" w:type="dxa"/>
            <w:gridSpan w:val="12"/>
            <w:shd w:val="clear" w:color="auto" w:fill="FDE9D9" w:themeFill="accent6" w:themeFillTint="33"/>
          </w:tcPr>
          <w:p w:rsidR="003B5354" w:rsidRPr="004C0446" w:rsidRDefault="003B5354" w:rsidP="003B5354">
            <w:pPr>
              <w:spacing w:after="0" w:line="240" w:lineRule="auto"/>
              <w:rPr>
                <w:rFonts w:ascii="Times New Roman" w:eastAsia="Calibri" w:hAnsi="Times New Roman" w:cs="Times New Roman"/>
                <w:b/>
                <w:sz w:val="20"/>
                <w:szCs w:val="20"/>
                <w:lang w:val="en-US"/>
              </w:rPr>
            </w:pPr>
            <w:r w:rsidRPr="004C0446">
              <w:rPr>
                <w:rFonts w:ascii="Times New Roman" w:eastAsia="Calibri" w:hAnsi="Times New Roman" w:cs="Times New Roman"/>
                <w:b/>
                <w:sz w:val="20"/>
                <w:szCs w:val="20"/>
                <w:lang w:val="en-US"/>
              </w:rPr>
              <w:t>Programul 5000 “Servicii generale și comerciale”</w:t>
            </w:r>
          </w:p>
          <w:p w:rsidR="003B5354" w:rsidRPr="004C0446" w:rsidRDefault="003B5354" w:rsidP="003B5354">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i/>
                <w:sz w:val="20"/>
                <w:szCs w:val="20"/>
                <w:lang w:val="en-US"/>
              </w:rPr>
              <w:t>Subprogramul 5011 “Securitatea industrial</w:t>
            </w:r>
            <w:r w:rsidRPr="004C0446">
              <w:rPr>
                <w:rFonts w:ascii="Times New Roman" w:eastAsia="Calibri" w:hAnsi="Times New Roman" w:cs="Times New Roman"/>
                <w:b/>
                <w:i/>
                <w:sz w:val="20"/>
                <w:szCs w:val="20"/>
                <w:lang w:val="ro-RO"/>
              </w:rPr>
              <w:t>ă</w:t>
            </w:r>
            <w:r w:rsidRPr="004C0446">
              <w:rPr>
                <w:rFonts w:ascii="Times New Roman" w:eastAsia="Calibri" w:hAnsi="Times New Roman" w:cs="Times New Roman"/>
                <w:b/>
                <w:i/>
                <w:sz w:val="20"/>
                <w:szCs w:val="20"/>
                <w:lang w:val="en-US"/>
              </w:rPr>
              <w:t>”</w:t>
            </w:r>
          </w:p>
        </w:tc>
      </w:tr>
      <w:tr w:rsidR="003B5354" w:rsidRPr="00E943D3" w:rsidTr="00FB650E">
        <w:trPr>
          <w:trHeight w:val="834"/>
        </w:trPr>
        <w:tc>
          <w:tcPr>
            <w:tcW w:w="1795" w:type="dxa"/>
            <w:vMerge w:val="restart"/>
            <w:shd w:val="clear" w:color="auto" w:fill="auto"/>
          </w:tcPr>
          <w:p w:rsidR="003B5354" w:rsidRPr="004C0446" w:rsidRDefault="003B5354" w:rsidP="00D81990">
            <w:pPr>
              <w:pStyle w:val="ListParagraph1"/>
              <w:numPr>
                <w:ilvl w:val="1"/>
                <w:numId w:val="1"/>
              </w:numPr>
              <w:tabs>
                <w:tab w:val="left" w:pos="1579"/>
              </w:tabs>
              <w:spacing w:after="40" w:line="240" w:lineRule="auto"/>
              <w:ind w:left="170" w:hanging="170"/>
              <w:rPr>
                <w:rStyle w:val="FontStyle12"/>
                <w:sz w:val="20"/>
                <w:szCs w:val="20"/>
                <w:lang w:val="ro-RO"/>
              </w:rPr>
            </w:pPr>
            <w:r w:rsidRPr="004C0446">
              <w:rPr>
                <w:rStyle w:val="FontStyle12"/>
                <w:sz w:val="20"/>
                <w:szCs w:val="20"/>
                <w:lang w:val="ro-RO" w:eastAsia="ro-RO"/>
              </w:rPr>
              <w:t>Diminuarea riscurilor de avarii industriale și catastrofe cu caracter tehnogen majorînd ponderea agenţilor economici şi persoanelor fizice care cunosc riscurile ce ţin de obiectele indust</w:t>
            </w:r>
            <w:r w:rsidR="00740BE0">
              <w:rPr>
                <w:rStyle w:val="FontStyle12"/>
                <w:sz w:val="20"/>
                <w:szCs w:val="20"/>
                <w:lang w:val="ro-RO" w:eastAsia="ro-RO"/>
              </w:rPr>
              <w:t>riale periculoase  cu 3 % anual.</w:t>
            </w:r>
          </w:p>
          <w:p w:rsidR="003B5354" w:rsidRPr="004C0446" w:rsidRDefault="003B5354" w:rsidP="00D81990">
            <w:pPr>
              <w:pStyle w:val="ListParagraph1"/>
              <w:numPr>
                <w:ilvl w:val="1"/>
                <w:numId w:val="1"/>
              </w:numPr>
              <w:tabs>
                <w:tab w:val="left" w:pos="1579"/>
              </w:tabs>
              <w:spacing w:after="40" w:line="240" w:lineRule="auto"/>
              <w:ind w:left="170" w:hanging="170"/>
              <w:rPr>
                <w:rStyle w:val="FontStyle12"/>
                <w:sz w:val="20"/>
                <w:szCs w:val="20"/>
                <w:lang w:val="ro-RO" w:eastAsia="ro-RO"/>
              </w:rPr>
            </w:pPr>
            <w:r w:rsidRPr="004C0446">
              <w:rPr>
                <w:rStyle w:val="FontStyle12"/>
                <w:sz w:val="20"/>
                <w:szCs w:val="20"/>
                <w:lang w:val="ro-RO" w:eastAsia="ro-RO"/>
              </w:rPr>
              <w:t>Intensificarea evaluării riscurilor prin estimarea probabilităţii și gravităţii accidentelor tehnologice și intensificarea măsurilor de prevenire a acestora, micşorînd ponderea instalaţiilor tehnic</w:t>
            </w:r>
            <w:r w:rsidR="00740BE0">
              <w:rPr>
                <w:rStyle w:val="FontStyle12"/>
                <w:sz w:val="20"/>
                <w:szCs w:val="20"/>
                <w:lang w:val="ro-RO" w:eastAsia="ro-RO"/>
              </w:rPr>
              <w:t>e din zona de risc cu 3 % anual.</w:t>
            </w:r>
          </w:p>
          <w:p w:rsidR="003B5354" w:rsidRPr="004C0446" w:rsidRDefault="003B5354" w:rsidP="00D81990">
            <w:pPr>
              <w:pStyle w:val="ListParagraph1"/>
              <w:numPr>
                <w:ilvl w:val="1"/>
                <w:numId w:val="1"/>
              </w:numPr>
              <w:tabs>
                <w:tab w:val="left" w:pos="1579"/>
              </w:tabs>
              <w:spacing w:after="40" w:line="240" w:lineRule="auto"/>
              <w:ind w:left="170" w:hanging="170"/>
              <w:rPr>
                <w:rFonts w:ascii="Times New Roman" w:hAnsi="Times New Roman"/>
                <w:color w:val="000000"/>
                <w:sz w:val="20"/>
                <w:szCs w:val="20"/>
                <w:lang w:val="ro-RO" w:eastAsia="ro-RO"/>
              </w:rPr>
            </w:pPr>
            <w:r w:rsidRPr="004C0446">
              <w:rPr>
                <w:rStyle w:val="FontStyle12"/>
                <w:sz w:val="20"/>
                <w:szCs w:val="20"/>
                <w:lang w:val="ro-RO" w:eastAsia="ro-RO"/>
              </w:rPr>
              <w:t xml:space="preserve">Supravegherea stivuitoarelor, instalaţiilor şi echipamentelor </w:t>
            </w:r>
            <w:r w:rsidRPr="004C0446">
              <w:rPr>
                <w:rStyle w:val="FontStyle12"/>
                <w:sz w:val="20"/>
                <w:szCs w:val="20"/>
                <w:lang w:val="ro-RO" w:eastAsia="ro-RO"/>
              </w:rPr>
              <w:lastRenderedPageBreak/>
              <w:t>utilizate în cadrul parcurilor de distracţii.</w:t>
            </w:r>
          </w:p>
        </w:tc>
        <w:tc>
          <w:tcPr>
            <w:tcW w:w="2430" w:type="dxa"/>
            <w:gridSpan w:val="3"/>
            <w:vMerge w:val="restart"/>
            <w:shd w:val="clear" w:color="auto" w:fill="auto"/>
          </w:tcPr>
          <w:p w:rsidR="003B5354" w:rsidRPr="004C0446" w:rsidRDefault="003B5354" w:rsidP="000407C1">
            <w:pPr>
              <w:numPr>
                <w:ilvl w:val="0"/>
                <w:numId w:val="17"/>
              </w:numPr>
              <w:tabs>
                <w:tab w:val="left" w:pos="77"/>
                <w:tab w:val="left" w:pos="167"/>
              </w:tabs>
              <w:spacing w:after="40" w:line="240" w:lineRule="exact"/>
              <w:ind w:left="0" w:right="57" w:hanging="13"/>
              <w:contextualSpacing/>
              <w:rPr>
                <w:rStyle w:val="FontStyle12"/>
                <w:rFonts w:cs="Calibri"/>
                <w:sz w:val="20"/>
                <w:szCs w:val="20"/>
                <w:lang w:val="ro-RO" w:eastAsia="ro-RO"/>
              </w:rPr>
            </w:pPr>
            <w:r w:rsidRPr="004C0446">
              <w:rPr>
                <w:rStyle w:val="FontStyle12"/>
                <w:rFonts w:cs="Calibri"/>
                <w:sz w:val="20"/>
                <w:lang w:val="ro-RO" w:eastAsia="ro-RO"/>
              </w:rPr>
              <w:lastRenderedPageBreak/>
              <w:t>Efectuarea</w:t>
            </w:r>
            <w:r w:rsidRPr="004C0446">
              <w:rPr>
                <w:rStyle w:val="FontStyle12"/>
                <w:rFonts w:cs="Calibri"/>
                <w:sz w:val="20"/>
                <w:szCs w:val="20"/>
                <w:lang w:val="ro-RO" w:eastAsia="ro-RO"/>
              </w:rPr>
              <w:t xml:space="preserve"> controalelor cu scopul prevenirii avariilor industriale şi supravegherea tehnică a obiectelor industriale periculoase, inclusiv securitatea în expluatare a stivuitoarelor, instalaţiilor şi echipamentelor utilizate în </w:t>
            </w:r>
            <w:r w:rsidR="00740BE0">
              <w:rPr>
                <w:rStyle w:val="FontStyle12"/>
                <w:rFonts w:cs="Calibri"/>
                <w:sz w:val="20"/>
                <w:szCs w:val="20"/>
                <w:lang w:val="ro-RO" w:eastAsia="ro-RO"/>
              </w:rPr>
              <w:t>cadrul parcurilor de distracţii.</w:t>
            </w:r>
          </w:p>
          <w:p w:rsidR="00D81990" w:rsidRPr="004C0446" w:rsidRDefault="00D81990" w:rsidP="00D81990">
            <w:pPr>
              <w:tabs>
                <w:tab w:val="left" w:pos="77"/>
                <w:tab w:val="left" w:pos="167"/>
              </w:tabs>
              <w:spacing w:after="40" w:line="240" w:lineRule="exact"/>
              <w:ind w:right="57"/>
              <w:contextualSpacing/>
              <w:rPr>
                <w:rStyle w:val="FontStyle12"/>
                <w:rFonts w:cs="Calibri"/>
                <w:sz w:val="20"/>
                <w:szCs w:val="20"/>
                <w:lang w:val="ro-RO" w:eastAsia="ro-RO"/>
              </w:rPr>
            </w:pPr>
          </w:p>
          <w:p w:rsidR="003B5354" w:rsidRPr="004C0446" w:rsidRDefault="003B5354" w:rsidP="000407C1">
            <w:pPr>
              <w:numPr>
                <w:ilvl w:val="0"/>
                <w:numId w:val="17"/>
              </w:numPr>
              <w:tabs>
                <w:tab w:val="left" w:pos="77"/>
                <w:tab w:val="left" w:pos="167"/>
              </w:tabs>
              <w:spacing w:after="40" w:line="240" w:lineRule="exact"/>
              <w:ind w:left="0" w:right="57" w:hanging="13"/>
              <w:contextualSpacing/>
              <w:rPr>
                <w:rStyle w:val="FontStyle12"/>
                <w:sz w:val="20"/>
                <w:szCs w:val="20"/>
                <w:lang w:val="ro-RO" w:eastAsia="ro-RO"/>
              </w:rPr>
            </w:pPr>
            <w:r w:rsidRPr="004C0446">
              <w:rPr>
                <w:rStyle w:val="FontStyle12"/>
                <w:rFonts w:cs="Calibri"/>
                <w:sz w:val="20"/>
                <w:lang w:val="ro-RO" w:eastAsia="ro-RO"/>
              </w:rPr>
              <w:t>Organizarea</w:t>
            </w:r>
            <w:r w:rsidRPr="004C0446">
              <w:rPr>
                <w:rStyle w:val="FontStyle12"/>
                <w:sz w:val="20"/>
                <w:szCs w:val="20"/>
                <w:lang w:val="ro-RO" w:eastAsia="ro-RO"/>
              </w:rPr>
              <w:t xml:space="preserve"> şi participarea la mese rotunde, seminare şi vizite consultative pe domeniile de supraveghere a obiectelor industriale periculoase atît la nivel</w:t>
            </w:r>
            <w:r w:rsidR="00740BE0">
              <w:rPr>
                <w:rStyle w:val="FontStyle12"/>
                <w:sz w:val="20"/>
                <w:szCs w:val="20"/>
                <w:lang w:val="ro-RO" w:eastAsia="ro-RO"/>
              </w:rPr>
              <w:t xml:space="preserve"> naţional cît şi internaţional.</w:t>
            </w:r>
          </w:p>
          <w:p w:rsidR="003B5354" w:rsidRPr="004C0446" w:rsidRDefault="003B5354" w:rsidP="000407C1">
            <w:pPr>
              <w:numPr>
                <w:ilvl w:val="0"/>
                <w:numId w:val="17"/>
              </w:numPr>
              <w:tabs>
                <w:tab w:val="left" w:pos="77"/>
                <w:tab w:val="left" w:pos="167"/>
              </w:tabs>
              <w:spacing w:after="40" w:line="240" w:lineRule="exact"/>
              <w:ind w:left="0" w:right="57" w:hanging="13"/>
              <w:contextualSpacing/>
              <w:rPr>
                <w:rStyle w:val="FontStyle12"/>
                <w:sz w:val="20"/>
                <w:szCs w:val="20"/>
                <w:lang w:val="ro-RO" w:eastAsia="ro-RO"/>
              </w:rPr>
            </w:pPr>
            <w:r w:rsidRPr="004C0446">
              <w:rPr>
                <w:rStyle w:val="FontStyle12"/>
                <w:rFonts w:cs="Calibri"/>
                <w:sz w:val="20"/>
                <w:lang w:val="ro-RO" w:eastAsia="ro-RO"/>
              </w:rPr>
              <w:t>Participarea</w:t>
            </w:r>
            <w:r w:rsidRPr="004C0446">
              <w:rPr>
                <w:rStyle w:val="FontStyle12"/>
                <w:rFonts w:cs="Calibri"/>
                <w:sz w:val="20"/>
                <w:szCs w:val="20"/>
                <w:lang w:val="ro-RO" w:eastAsia="ro-RO"/>
              </w:rPr>
              <w:t xml:space="preserve"> </w:t>
            </w:r>
            <w:r w:rsidRPr="004C0446">
              <w:rPr>
                <w:rStyle w:val="FontStyle12"/>
                <w:sz w:val="20"/>
                <w:szCs w:val="20"/>
                <w:lang w:val="ro-RO" w:eastAsia="ro-RO"/>
              </w:rPr>
              <w:t>la</w:t>
            </w:r>
            <w:r w:rsidRPr="004C0446">
              <w:rPr>
                <w:rStyle w:val="FontStyle12"/>
                <w:rFonts w:cs="Calibri"/>
                <w:sz w:val="20"/>
                <w:szCs w:val="20"/>
                <w:lang w:val="ro-RO" w:eastAsia="ro-RO"/>
              </w:rPr>
              <w:t xml:space="preserve"> </w:t>
            </w:r>
            <w:r w:rsidRPr="004C0446">
              <w:rPr>
                <w:rStyle w:val="FontStyle12"/>
                <w:sz w:val="20"/>
                <w:szCs w:val="20"/>
                <w:lang w:val="ro-RO" w:eastAsia="ro-RO"/>
              </w:rPr>
              <w:t>cercetarea tehnică a cauzelor avariilor produse la obiectele</w:t>
            </w:r>
            <w:r w:rsidRPr="00CF1FBC">
              <w:rPr>
                <w:rStyle w:val="FontStyle12"/>
                <w:rFonts w:cs="Calibri"/>
                <w:sz w:val="20"/>
                <w:lang w:val="en-US" w:eastAsia="ro-RO"/>
              </w:rPr>
              <w:t xml:space="preserve"> industriale periculoas</w:t>
            </w:r>
            <w:r w:rsidRPr="004C0446">
              <w:rPr>
                <w:rStyle w:val="FontStyle12"/>
                <w:rFonts w:cs="Calibri"/>
                <w:sz w:val="20"/>
                <w:lang w:val="ro-RO" w:eastAsia="ro-RO"/>
              </w:rPr>
              <w:t>e şi catastrofelor cu caracter tehnogen</w:t>
            </w:r>
            <w:r w:rsidRPr="004C0446">
              <w:rPr>
                <w:rStyle w:val="FontStyle12"/>
                <w:sz w:val="20"/>
                <w:szCs w:val="20"/>
                <w:lang w:val="ro-RO" w:eastAsia="ro-RO"/>
              </w:rPr>
              <w:t>.</w:t>
            </w:r>
          </w:p>
          <w:p w:rsidR="003B5354" w:rsidRPr="004C0446" w:rsidRDefault="003B5354" w:rsidP="000407C1">
            <w:pPr>
              <w:numPr>
                <w:ilvl w:val="0"/>
                <w:numId w:val="17"/>
              </w:numPr>
              <w:tabs>
                <w:tab w:val="left" w:pos="77"/>
                <w:tab w:val="left" w:pos="167"/>
              </w:tabs>
              <w:spacing w:after="40" w:line="240" w:lineRule="exact"/>
              <w:ind w:left="0" w:right="57" w:hanging="13"/>
              <w:contextualSpacing/>
              <w:rPr>
                <w:rStyle w:val="FontStyle12"/>
                <w:rFonts w:cs="Calibri"/>
                <w:sz w:val="20"/>
                <w:lang w:val="en-US" w:eastAsia="ro-RO"/>
              </w:rPr>
            </w:pPr>
            <w:r w:rsidRPr="004C0446">
              <w:rPr>
                <w:rStyle w:val="FontStyle12"/>
                <w:rFonts w:cs="Calibri"/>
                <w:sz w:val="20"/>
                <w:lang w:val="ro-RO" w:eastAsia="ro-RO"/>
              </w:rPr>
              <w:t>Îmbunătăţ</w:t>
            </w:r>
            <w:r w:rsidR="00784448" w:rsidRPr="004C0446">
              <w:rPr>
                <w:rStyle w:val="FontStyle12"/>
                <w:sz w:val="20"/>
                <w:lang w:val="ro-RO" w:eastAsia="ro-RO"/>
              </w:rPr>
              <w:t xml:space="preserve">irea capacităţilor tehnice ale </w:t>
            </w:r>
            <w:r w:rsidRPr="004C0446">
              <w:rPr>
                <w:rStyle w:val="FontStyle12"/>
                <w:rFonts w:cs="Calibri"/>
                <w:sz w:val="20"/>
                <w:lang w:val="ro-RO" w:eastAsia="ro-RO"/>
              </w:rPr>
              <w:t>Inspectora</w:t>
            </w:r>
            <w:r w:rsidR="00784448" w:rsidRPr="004C0446">
              <w:rPr>
                <w:rStyle w:val="FontStyle12"/>
                <w:rFonts w:cs="Calibri"/>
                <w:sz w:val="20"/>
                <w:lang w:val="ro-RO" w:eastAsia="ro-RO"/>
              </w:rPr>
              <w:t xml:space="preserve">tului Principal de Stat pentru </w:t>
            </w:r>
            <w:r w:rsidRPr="004C0446">
              <w:rPr>
                <w:rStyle w:val="FontStyle12"/>
                <w:rFonts w:cs="Calibri"/>
                <w:sz w:val="20"/>
                <w:lang w:val="ro-RO" w:eastAsia="ro-RO"/>
              </w:rPr>
              <w:t xml:space="preserve">Supravegherea </w:t>
            </w:r>
            <w:r w:rsidR="00784448" w:rsidRPr="004C0446">
              <w:rPr>
                <w:rStyle w:val="FontStyle12"/>
                <w:rFonts w:cs="Calibri"/>
                <w:sz w:val="20"/>
                <w:lang w:val="ro-RO" w:eastAsia="ro-RO"/>
              </w:rPr>
              <w:t xml:space="preserve">Tehnică </w:t>
            </w:r>
            <w:r w:rsidRPr="004C0446">
              <w:rPr>
                <w:rStyle w:val="FontStyle12"/>
                <w:rFonts w:cs="Calibri"/>
                <w:sz w:val="20"/>
                <w:lang w:val="ro-RO" w:eastAsia="ro-RO"/>
              </w:rPr>
              <w:t>a</w:t>
            </w:r>
            <w:r w:rsidR="00784448" w:rsidRPr="004C0446">
              <w:rPr>
                <w:rStyle w:val="FontStyle12"/>
                <w:rFonts w:cs="Calibri"/>
                <w:sz w:val="20"/>
                <w:lang w:val="ro-RO" w:eastAsia="ro-RO"/>
              </w:rPr>
              <w:t xml:space="preserve"> Obiectelor Industriale </w:t>
            </w:r>
            <w:r w:rsidRPr="004C0446">
              <w:rPr>
                <w:rStyle w:val="FontStyle12"/>
                <w:rFonts w:cs="Calibri"/>
                <w:sz w:val="20"/>
                <w:lang w:val="ro-RO" w:eastAsia="ro-RO"/>
              </w:rPr>
              <w:t xml:space="preserve">Periculoase prin </w:t>
            </w:r>
            <w:r w:rsidR="00784448" w:rsidRPr="004C0446">
              <w:rPr>
                <w:rStyle w:val="FontStyle12"/>
                <w:rFonts w:cs="Calibri"/>
                <w:sz w:val="20"/>
                <w:lang w:val="ro-RO" w:eastAsia="ro-RO"/>
              </w:rPr>
              <w:t xml:space="preserve">crearea softului de evidenţă a </w:t>
            </w:r>
            <w:r w:rsidRPr="004C0446">
              <w:rPr>
                <w:rStyle w:val="FontStyle12"/>
                <w:rFonts w:cs="Calibri"/>
                <w:sz w:val="20"/>
                <w:lang w:val="ro-RO" w:eastAsia="ro-RO"/>
              </w:rPr>
              <w:t>obiectelor industriale periculoase.</w:t>
            </w:r>
          </w:p>
          <w:p w:rsidR="003B5354" w:rsidRPr="004C0446" w:rsidRDefault="003B5354" w:rsidP="000407C1">
            <w:pPr>
              <w:numPr>
                <w:ilvl w:val="0"/>
                <w:numId w:val="17"/>
              </w:numPr>
              <w:tabs>
                <w:tab w:val="left" w:pos="77"/>
                <w:tab w:val="left" w:pos="167"/>
              </w:tabs>
              <w:spacing w:after="40" w:line="240" w:lineRule="exact"/>
              <w:ind w:left="0" w:right="57" w:hanging="13"/>
              <w:contextualSpacing/>
              <w:rPr>
                <w:rStyle w:val="FontStyle12"/>
                <w:rFonts w:cs="Calibri"/>
                <w:sz w:val="20"/>
                <w:lang w:val="en-US" w:eastAsia="ro-RO"/>
              </w:rPr>
            </w:pPr>
            <w:r w:rsidRPr="004C0446">
              <w:rPr>
                <w:rStyle w:val="FontStyle12"/>
                <w:rFonts w:cs="Calibri"/>
                <w:sz w:val="20"/>
                <w:lang w:val="ro-RO" w:eastAsia="ro-RO"/>
              </w:rPr>
              <w:t>Efectuarea controalelor şi supravegherii tehni</w:t>
            </w:r>
            <w:r w:rsidR="00784448" w:rsidRPr="004C0446">
              <w:rPr>
                <w:rStyle w:val="FontStyle12"/>
                <w:rFonts w:cs="Calibri"/>
                <w:sz w:val="20"/>
                <w:lang w:val="ro-RO" w:eastAsia="ro-RO"/>
              </w:rPr>
              <w:t xml:space="preserve">ce de </w:t>
            </w:r>
            <w:r w:rsidR="00784448" w:rsidRPr="004C0446">
              <w:rPr>
                <w:rStyle w:val="FontStyle12"/>
                <w:rFonts w:cs="Calibri"/>
                <w:sz w:val="20"/>
                <w:lang w:val="ro-RO" w:eastAsia="ro-RO"/>
              </w:rPr>
              <w:lastRenderedPageBreak/>
              <w:t xml:space="preserve">stat privind neadmiterea </w:t>
            </w:r>
            <w:r w:rsidRPr="004C0446">
              <w:rPr>
                <w:rStyle w:val="FontStyle12"/>
                <w:rFonts w:cs="Calibri"/>
                <w:sz w:val="20"/>
                <w:lang w:val="ro-RO" w:eastAsia="ro-RO"/>
              </w:rPr>
              <w:t>plasării pe piaţă a produselor din domeniul</w:t>
            </w:r>
            <w:r w:rsidR="00784448" w:rsidRPr="004C0446">
              <w:rPr>
                <w:rStyle w:val="FontStyle12"/>
                <w:rFonts w:cs="Calibri"/>
                <w:sz w:val="20"/>
                <w:lang w:val="ro-RO" w:eastAsia="ro-RO"/>
              </w:rPr>
              <w:t xml:space="preserve"> reglementat cu scopul </w:t>
            </w:r>
            <w:r w:rsidRPr="004C0446">
              <w:rPr>
                <w:rStyle w:val="FontStyle12"/>
                <w:rFonts w:cs="Calibri"/>
                <w:sz w:val="20"/>
                <w:lang w:val="ro-RO" w:eastAsia="ro-RO"/>
              </w:rPr>
              <w:t>prevenirii avariilor p</w:t>
            </w:r>
            <w:r w:rsidR="00784448" w:rsidRPr="004C0446">
              <w:rPr>
                <w:rStyle w:val="FontStyle12"/>
                <w:rFonts w:cs="Calibri"/>
                <w:sz w:val="20"/>
                <w:lang w:val="ro-RO" w:eastAsia="ro-RO"/>
              </w:rPr>
              <w:t>rin neadmiterea comercializării</w:t>
            </w:r>
            <w:r w:rsidRPr="004C0446">
              <w:rPr>
                <w:rStyle w:val="FontStyle12"/>
                <w:rFonts w:cs="Calibri"/>
                <w:sz w:val="20"/>
                <w:lang w:val="ro-RO" w:eastAsia="ro-RO"/>
              </w:rPr>
              <w:t xml:space="preserve"> şi utilizării utilajului neconform;</w:t>
            </w:r>
          </w:p>
          <w:p w:rsidR="003B5354" w:rsidRPr="00CF1FBC" w:rsidRDefault="003B5354" w:rsidP="000407C1">
            <w:pPr>
              <w:numPr>
                <w:ilvl w:val="0"/>
                <w:numId w:val="17"/>
              </w:numPr>
              <w:tabs>
                <w:tab w:val="left" w:pos="77"/>
                <w:tab w:val="left" w:pos="167"/>
              </w:tabs>
              <w:spacing w:after="40" w:line="240" w:lineRule="exact"/>
              <w:ind w:left="0" w:right="57" w:hanging="13"/>
              <w:contextualSpacing/>
              <w:rPr>
                <w:rStyle w:val="FontStyle12"/>
                <w:rFonts w:cs="Calibri"/>
                <w:sz w:val="20"/>
                <w:lang w:val="en-US" w:eastAsia="ro-RO"/>
              </w:rPr>
            </w:pPr>
            <w:r w:rsidRPr="004C0446">
              <w:rPr>
                <w:rStyle w:val="FontStyle12"/>
                <w:rFonts w:cs="Calibri"/>
                <w:sz w:val="20"/>
                <w:lang w:val="ro-RO" w:eastAsia="ro-RO"/>
              </w:rPr>
              <w:t>R</w:t>
            </w:r>
            <w:r w:rsidRPr="00CF1FBC">
              <w:rPr>
                <w:rStyle w:val="FontStyle12"/>
                <w:rFonts w:cs="Calibri"/>
                <w:sz w:val="20"/>
                <w:lang w:val="en-US" w:eastAsia="ro-RO"/>
              </w:rPr>
              <w:t>eingineria serviciilor publice acordate de IPSSTOIP (Programului de re formare a serviciilor publice pentru anii 2014-2016, aprobat prin Hotărîrea Guvernului  nr.122 din 18.02.2014).</w:t>
            </w:r>
          </w:p>
        </w:tc>
        <w:tc>
          <w:tcPr>
            <w:tcW w:w="3627" w:type="dxa"/>
            <w:vMerge w:val="restart"/>
            <w:shd w:val="clear" w:color="auto" w:fill="auto"/>
          </w:tcPr>
          <w:p w:rsidR="003B5354" w:rsidRPr="004C0446" w:rsidRDefault="003B5354" w:rsidP="00784448">
            <w:pPr>
              <w:spacing w:after="40" w:line="240" w:lineRule="auto"/>
              <w:rPr>
                <w:rFonts w:ascii="Times New Roman" w:eastAsia="Calibri" w:hAnsi="Times New Roman" w:cs="Times New Roman"/>
                <w:color w:val="000000"/>
                <w:sz w:val="20"/>
                <w:szCs w:val="20"/>
                <w:lang w:val="ro-MD"/>
              </w:rPr>
            </w:pPr>
            <w:r w:rsidRPr="004C0446">
              <w:rPr>
                <w:rFonts w:ascii="Times New Roman" w:eastAsia="Calibri" w:hAnsi="Times New Roman" w:cs="Times New Roman"/>
                <w:color w:val="000000"/>
                <w:sz w:val="20"/>
                <w:szCs w:val="20"/>
                <w:lang w:val="ro-MD"/>
              </w:rPr>
              <w:lastRenderedPageBreak/>
              <w:t>Pe parcursul perioadei de raportare, în vederea asigurării respectării cerinţelor de securitate a obiectelor industriale periculoase au fost efectuate 520 de controale de profil.</w:t>
            </w:r>
          </w:p>
          <w:p w:rsidR="00784448" w:rsidRPr="004C0446" w:rsidRDefault="00784448" w:rsidP="00784448">
            <w:pPr>
              <w:spacing w:after="40" w:line="240" w:lineRule="auto"/>
              <w:rPr>
                <w:rFonts w:ascii="Times New Roman" w:eastAsia="Calibri" w:hAnsi="Times New Roman" w:cs="Times New Roman"/>
                <w:color w:val="000000"/>
                <w:sz w:val="20"/>
                <w:szCs w:val="20"/>
                <w:lang w:val="ro-MD"/>
              </w:rPr>
            </w:pPr>
          </w:p>
          <w:p w:rsidR="00784448" w:rsidRPr="004C0446" w:rsidRDefault="003B5354" w:rsidP="00784448">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Inspectorii IPSSTOIP, în perioada de raportare, au participat la 37 de seminare şi mese rotunde în cadrul</w:t>
            </w:r>
            <w:r w:rsidRPr="004C0446">
              <w:rPr>
                <w:rFonts w:ascii="Times New Roman" w:eastAsia="Times New Roman" w:hAnsi="Times New Roman" w:cs="Times New Roman"/>
                <w:color w:val="000000"/>
                <w:sz w:val="20"/>
                <w:szCs w:val="20"/>
                <w:lang w:val="ro-RO" w:eastAsia="ru-RU"/>
              </w:rPr>
              <w:t xml:space="preserve"> </w:t>
            </w:r>
            <w:r w:rsidRPr="004C0446">
              <w:rPr>
                <w:rFonts w:ascii="Times New Roman" w:eastAsia="Calibri" w:hAnsi="Times New Roman" w:cs="Times New Roman"/>
                <w:sz w:val="20"/>
                <w:szCs w:val="20"/>
                <w:lang w:val="ro-MD"/>
              </w:rPr>
              <w:t>IPSSTOIP şi în cadrul altor autorităţi</w:t>
            </w:r>
            <w:r w:rsidR="00784448" w:rsidRPr="004C0446">
              <w:rPr>
                <w:rFonts w:ascii="Times New Roman" w:eastAsia="Calibri" w:hAnsi="Times New Roman" w:cs="Times New Roman"/>
                <w:sz w:val="20"/>
                <w:szCs w:val="20"/>
                <w:lang w:val="ro-MD"/>
              </w:rPr>
              <w:t>.</w:t>
            </w:r>
          </w:p>
          <w:p w:rsidR="00784448" w:rsidRPr="004C0446" w:rsidRDefault="00784448" w:rsidP="00784448">
            <w:pPr>
              <w:spacing w:after="40" w:line="240" w:lineRule="auto"/>
              <w:rPr>
                <w:rFonts w:ascii="Times New Roman" w:eastAsia="Calibri" w:hAnsi="Times New Roman" w:cs="Times New Roman"/>
                <w:sz w:val="20"/>
                <w:szCs w:val="20"/>
                <w:lang w:val="ro-MD"/>
              </w:rPr>
            </w:pPr>
          </w:p>
          <w:p w:rsidR="003B5354" w:rsidRPr="004C0446" w:rsidRDefault="003B5354" w:rsidP="00784448">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Pentru îmbunătățirea capacităților tehnice instituționale în anul 2016 s-u procurat 15 calculatoare, 5 imprimante și rechizite de birou în valoare de 182 300 lei.</w:t>
            </w:r>
          </w:p>
          <w:p w:rsidR="00784448" w:rsidRPr="004C0446" w:rsidRDefault="00784448" w:rsidP="00784448">
            <w:pPr>
              <w:spacing w:after="0" w:line="240" w:lineRule="auto"/>
              <w:rPr>
                <w:rFonts w:ascii="Times New Roman" w:eastAsia="Calibri" w:hAnsi="Times New Roman" w:cs="Times New Roman"/>
                <w:sz w:val="20"/>
                <w:szCs w:val="20"/>
                <w:lang w:val="ro-MD"/>
              </w:rPr>
            </w:pPr>
          </w:p>
          <w:p w:rsidR="003B5354" w:rsidRPr="004C0446" w:rsidRDefault="003B5354" w:rsidP="00784448">
            <w:pPr>
              <w:spacing w:after="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Au fost efectuate 2000 vizite consultative pe probleme ce țin de securitatea</w:t>
            </w:r>
            <w:r w:rsidR="00784448" w:rsidRPr="004C0446">
              <w:rPr>
                <w:rFonts w:ascii="Times New Roman" w:eastAsia="Calibri" w:hAnsi="Times New Roman" w:cs="Times New Roman"/>
                <w:sz w:val="20"/>
                <w:szCs w:val="20"/>
                <w:lang w:val="ro-MD"/>
              </w:rPr>
              <w:t xml:space="preserve"> </w:t>
            </w:r>
            <w:r w:rsidRPr="004C0446">
              <w:rPr>
                <w:rFonts w:ascii="Times New Roman" w:eastAsia="Calibri" w:hAnsi="Times New Roman" w:cs="Times New Roman"/>
                <w:sz w:val="20"/>
                <w:szCs w:val="20"/>
                <w:lang w:val="ro-MD"/>
              </w:rPr>
              <w:t>industrială privind inofensivitatea obiectelor industriale periculoase.</w:t>
            </w:r>
          </w:p>
          <w:p w:rsidR="00784448" w:rsidRPr="004C0446" w:rsidRDefault="00784448" w:rsidP="003B5354">
            <w:pPr>
              <w:spacing w:after="0" w:line="240" w:lineRule="auto"/>
              <w:contextualSpacing/>
              <w:jc w:val="both"/>
              <w:rPr>
                <w:rFonts w:ascii="Times New Roman" w:eastAsia="Calibri" w:hAnsi="Times New Roman" w:cs="Times New Roman"/>
                <w:color w:val="000000"/>
                <w:sz w:val="20"/>
                <w:szCs w:val="20"/>
                <w:lang w:val="ro-RO"/>
              </w:rPr>
            </w:pPr>
          </w:p>
          <w:p w:rsidR="003B5354" w:rsidRPr="004C0446" w:rsidRDefault="003B5354" w:rsidP="00784448">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Pe parcursul anului 2016 au fost propuse lista serviciilor care urmează a fi eliminate/modificate:</w:t>
            </w:r>
          </w:p>
          <w:p w:rsidR="003B5354" w:rsidRPr="004C0446" w:rsidRDefault="003B5354" w:rsidP="00784448">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w:t>
            </w:r>
            <w:r w:rsidR="00784448" w:rsidRPr="004C0446">
              <w:rPr>
                <w:rFonts w:ascii="Times New Roman" w:eastAsia="Calibri" w:hAnsi="Times New Roman" w:cs="Times New Roman"/>
                <w:sz w:val="20"/>
                <w:szCs w:val="20"/>
                <w:lang w:val="ro-MD"/>
              </w:rPr>
              <w:t xml:space="preserve"> </w:t>
            </w:r>
            <w:r w:rsidRPr="004C0446">
              <w:rPr>
                <w:rFonts w:ascii="Times New Roman" w:eastAsia="Calibri" w:hAnsi="Times New Roman" w:cs="Times New Roman"/>
                <w:sz w:val="20"/>
                <w:szCs w:val="20"/>
                <w:lang w:val="ro-MD"/>
              </w:rPr>
              <w:t>Eliberarea demersului privind corectitudinea desfășurării activității în domeniul securității industriale.</w:t>
            </w:r>
          </w:p>
          <w:p w:rsidR="003B5354" w:rsidRPr="004C0446" w:rsidRDefault="003B5354" w:rsidP="00784448">
            <w:pPr>
              <w:spacing w:after="40" w:line="240" w:lineRule="auto"/>
              <w:rPr>
                <w:rFonts w:ascii="Times New Roman" w:eastAsia="Calibri" w:hAnsi="Times New Roman" w:cs="Times New Roman"/>
                <w:sz w:val="20"/>
                <w:szCs w:val="20"/>
                <w:lang w:val="ro-MD"/>
              </w:rPr>
            </w:pPr>
            <w:r w:rsidRPr="004C0446">
              <w:rPr>
                <w:rFonts w:ascii="Times New Roman" w:eastAsia="Calibri" w:hAnsi="Times New Roman" w:cs="Times New Roman"/>
                <w:sz w:val="20"/>
                <w:szCs w:val="20"/>
                <w:lang w:val="ro-MD"/>
              </w:rPr>
              <w:t>- Eliberarea certificatului de conformitate producătorilor agricoli, care solicită dreptul de efectuare a importurilor de motorină pentru consum propriu.</w:t>
            </w:r>
          </w:p>
          <w:p w:rsidR="003B5354" w:rsidRPr="004C0446" w:rsidRDefault="003B5354" w:rsidP="00784448">
            <w:pPr>
              <w:spacing w:after="40" w:line="240" w:lineRule="auto"/>
              <w:rPr>
                <w:rFonts w:ascii="Times New Roman" w:eastAsia="Calibri" w:hAnsi="Times New Roman" w:cs="Times New Roman"/>
                <w:color w:val="000000"/>
                <w:sz w:val="20"/>
                <w:szCs w:val="20"/>
                <w:lang w:val="ro-RO"/>
              </w:rPr>
            </w:pPr>
            <w:r w:rsidRPr="004C0446">
              <w:rPr>
                <w:rFonts w:ascii="Times New Roman" w:eastAsia="Calibri" w:hAnsi="Times New Roman" w:cs="Times New Roman"/>
                <w:sz w:val="20"/>
                <w:szCs w:val="20"/>
                <w:lang w:val="ro-MD"/>
              </w:rPr>
              <w:t>- Autorizații tehnice unice la obiectule industriale periculoase pentru lucrări de reglare a utilajului utilizat la obiectul concret și pentru examinarea.</w:t>
            </w:r>
          </w:p>
        </w:tc>
        <w:tc>
          <w:tcPr>
            <w:tcW w:w="1135" w:type="dxa"/>
            <w:vMerge w:val="restart"/>
            <w:shd w:val="clear" w:color="auto" w:fill="auto"/>
          </w:tcPr>
          <w:p w:rsidR="003B5354" w:rsidRPr="007806AD" w:rsidRDefault="007806AD"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r w:rsidRPr="007806AD">
              <w:rPr>
                <w:rFonts w:ascii="Times New Roman" w:eastAsia="Calibri" w:hAnsi="Times New Roman" w:cs="Times New Roman"/>
                <w:bCs/>
                <w:sz w:val="20"/>
                <w:szCs w:val="20"/>
                <w:lang w:val="ro-RO" w:eastAsia="nl-NL"/>
              </w:rPr>
              <w:t>5840,4</w:t>
            </w: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000000" w:themeColor="text1"/>
                <w:sz w:val="20"/>
                <w:szCs w:val="20"/>
                <w:lang w:val="en-US" w:eastAsia="nl-NL"/>
              </w:rPr>
            </w:pPr>
          </w:p>
          <w:p w:rsidR="003B5354" w:rsidRPr="005911BC" w:rsidRDefault="003B5354" w:rsidP="003B5354">
            <w:pPr>
              <w:spacing w:after="0" w:line="240" w:lineRule="auto"/>
              <w:ind w:right="27"/>
              <w:jc w:val="center"/>
              <w:rPr>
                <w:rFonts w:ascii="Times New Roman" w:eastAsia="Calibri" w:hAnsi="Times New Roman" w:cs="Times New Roman"/>
                <w:bCs/>
                <w:color w:val="FF0000"/>
                <w:sz w:val="20"/>
                <w:szCs w:val="20"/>
                <w:lang w:val="en-US" w:eastAsia="nl-NL"/>
              </w:rPr>
            </w:pPr>
          </w:p>
        </w:tc>
        <w:tc>
          <w:tcPr>
            <w:tcW w:w="993" w:type="dxa"/>
            <w:vMerge w:val="restart"/>
            <w:shd w:val="clear" w:color="auto" w:fill="auto"/>
          </w:tcPr>
          <w:p w:rsidR="003B5354" w:rsidRPr="005911BC" w:rsidRDefault="003B5354" w:rsidP="003B5354">
            <w:pPr>
              <w:spacing w:after="0" w:line="240" w:lineRule="auto"/>
              <w:rPr>
                <w:rFonts w:ascii="Times New Roman" w:eastAsia="Times New Roman" w:hAnsi="Times New Roman" w:cs="Times New Roman"/>
                <w:sz w:val="20"/>
                <w:szCs w:val="20"/>
                <w:lang w:val="ro-RO"/>
              </w:rPr>
            </w:pPr>
            <w:r w:rsidRPr="005911BC">
              <w:rPr>
                <w:rFonts w:ascii="Times New Roman" w:eastAsia="Times New Roman" w:hAnsi="Times New Roman" w:cs="Times New Roman"/>
                <w:sz w:val="20"/>
                <w:szCs w:val="20"/>
                <w:lang w:val="ro-RO"/>
              </w:rPr>
              <w:t>5484,27</w:t>
            </w: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p w:rsidR="003B5354" w:rsidRPr="005911BC" w:rsidRDefault="003B5354" w:rsidP="003B5354">
            <w:pPr>
              <w:spacing w:after="0" w:line="240" w:lineRule="auto"/>
              <w:rPr>
                <w:rFonts w:ascii="Times New Roman" w:eastAsia="Times New Roman" w:hAnsi="Times New Roman" w:cs="Times New Roman"/>
                <w:sz w:val="20"/>
                <w:szCs w:val="20"/>
                <w:lang w:val="ro-RO"/>
              </w:rPr>
            </w:pPr>
          </w:p>
        </w:tc>
        <w:tc>
          <w:tcPr>
            <w:tcW w:w="1561" w:type="dxa"/>
            <w:shd w:val="clear" w:color="auto" w:fill="auto"/>
          </w:tcPr>
          <w:p w:rsidR="003B5354" w:rsidRPr="004C0446" w:rsidRDefault="003B5354" w:rsidP="003B5354">
            <w:pPr>
              <w:spacing w:after="0" w:line="240" w:lineRule="auto"/>
              <w:ind w:right="-106"/>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Numărul controalelor efectuate la obiectele industrial periculoase- 4300</w:t>
            </w:r>
          </w:p>
        </w:tc>
        <w:tc>
          <w:tcPr>
            <w:tcW w:w="1560" w:type="dxa"/>
            <w:shd w:val="clear" w:color="auto" w:fill="auto"/>
          </w:tcPr>
          <w:p w:rsidR="003B5354" w:rsidRPr="004C0446" w:rsidRDefault="003B5354" w:rsidP="003B5354">
            <w:pPr>
              <w:spacing w:after="0" w:line="240" w:lineRule="auto"/>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ro-RO"/>
              </w:rPr>
              <w:t>520</w:t>
            </w:r>
          </w:p>
        </w:tc>
        <w:tc>
          <w:tcPr>
            <w:tcW w:w="1418" w:type="dxa"/>
            <w:shd w:val="clear" w:color="auto" w:fill="auto"/>
          </w:tcPr>
          <w:p w:rsidR="003B5354" w:rsidRPr="004C0446" w:rsidRDefault="003B5354" w:rsidP="003B5354">
            <w:pPr>
              <w:spacing w:after="0" w:line="240" w:lineRule="auto"/>
              <w:rPr>
                <w:rFonts w:ascii="Times New Roman" w:eastAsia="Calibri" w:hAnsi="Times New Roman" w:cs="Times New Roman"/>
                <w:sz w:val="20"/>
                <w:szCs w:val="20"/>
                <w:lang w:val="en-US"/>
              </w:rPr>
            </w:pPr>
            <w:r w:rsidRPr="004C0446">
              <w:rPr>
                <w:rFonts w:ascii="Times New Roman" w:eastAsia="Calibri" w:hAnsi="Times New Roman" w:cs="Times New Roman"/>
                <w:b/>
                <w:sz w:val="20"/>
                <w:szCs w:val="20"/>
                <w:lang w:val="en-US"/>
              </w:rPr>
              <w:t>-</w:t>
            </w:r>
            <w:r w:rsidR="00784448" w:rsidRPr="004C0446">
              <w:rPr>
                <w:rFonts w:ascii="Times New Roman" w:eastAsia="Calibri" w:hAnsi="Times New Roman" w:cs="Times New Roman"/>
                <w:b/>
                <w:sz w:val="20"/>
                <w:szCs w:val="20"/>
                <w:lang w:val="en-US"/>
              </w:rPr>
              <w:t xml:space="preserve"> </w:t>
            </w:r>
            <w:r w:rsidRPr="004C0446">
              <w:rPr>
                <w:rFonts w:ascii="Times New Roman" w:eastAsia="Calibri" w:hAnsi="Times New Roman" w:cs="Times New Roman"/>
                <w:sz w:val="20"/>
                <w:szCs w:val="20"/>
                <w:lang w:val="en-US"/>
              </w:rPr>
              <w:t>3780</w:t>
            </w:r>
          </w:p>
          <w:p w:rsidR="003B5354" w:rsidRPr="004C0446" w:rsidRDefault="003B5354" w:rsidP="00784448">
            <w:pPr>
              <w:spacing w:after="0" w:line="240" w:lineRule="auto"/>
              <w:ind w:right="-108"/>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ro-RO"/>
              </w:rPr>
              <w:t>Din cauza instituirii Moratoriul asupra controalelor de stat, nu au fost efectuate controale planificate</w:t>
            </w:r>
            <w:r w:rsidR="00D81990" w:rsidRPr="004C0446">
              <w:rPr>
                <w:rFonts w:ascii="Times New Roman" w:eastAsia="Calibri" w:hAnsi="Times New Roman" w:cs="Times New Roman"/>
                <w:sz w:val="20"/>
                <w:szCs w:val="20"/>
                <w:lang w:val="ro-RO"/>
              </w:rPr>
              <w:t>.</w:t>
            </w:r>
          </w:p>
        </w:tc>
        <w:tc>
          <w:tcPr>
            <w:tcW w:w="1231" w:type="dxa"/>
            <w:gridSpan w:val="2"/>
            <w:shd w:val="clear" w:color="auto" w:fill="auto"/>
          </w:tcPr>
          <w:p w:rsidR="003B5354" w:rsidRPr="004C0446" w:rsidRDefault="003B5354" w:rsidP="003B5354">
            <w:pPr>
              <w:spacing w:after="0" w:line="240" w:lineRule="auto"/>
              <w:rPr>
                <w:rFonts w:ascii="Times New Roman" w:eastAsia="Calibri" w:hAnsi="Times New Roman" w:cs="Times New Roman"/>
                <w:b/>
                <w:sz w:val="20"/>
                <w:szCs w:val="20"/>
                <w:lang w:val="ro-MD"/>
              </w:rPr>
            </w:pPr>
          </w:p>
        </w:tc>
      </w:tr>
      <w:tr w:rsidR="003B5354" w:rsidRPr="004C0446" w:rsidTr="00FB650E">
        <w:trPr>
          <w:trHeight w:val="1520"/>
        </w:trPr>
        <w:tc>
          <w:tcPr>
            <w:tcW w:w="1795" w:type="dxa"/>
            <w:vMerge/>
            <w:shd w:val="clear" w:color="auto" w:fill="auto"/>
          </w:tcPr>
          <w:p w:rsidR="003B5354" w:rsidRPr="004C0446" w:rsidRDefault="003B5354" w:rsidP="003B5354">
            <w:pPr>
              <w:pStyle w:val="ListParagraph"/>
              <w:spacing w:after="0" w:line="240" w:lineRule="auto"/>
              <w:ind w:left="157" w:right="57"/>
              <w:jc w:val="both"/>
              <w:rPr>
                <w:rFonts w:ascii="Times New Roman" w:eastAsia="Calibri" w:hAnsi="Times New Roman" w:cs="Times New Roman"/>
                <w:color w:val="000000"/>
                <w:sz w:val="20"/>
                <w:szCs w:val="20"/>
                <w:lang w:val="ro-RO"/>
              </w:rPr>
            </w:pPr>
          </w:p>
        </w:tc>
        <w:tc>
          <w:tcPr>
            <w:tcW w:w="2430" w:type="dxa"/>
            <w:gridSpan w:val="3"/>
            <w:vMerge/>
            <w:shd w:val="clear" w:color="auto" w:fill="auto"/>
          </w:tcPr>
          <w:p w:rsidR="003B5354" w:rsidRPr="004C0446" w:rsidRDefault="003B5354" w:rsidP="003B5354">
            <w:pPr>
              <w:tabs>
                <w:tab w:val="left" w:pos="169"/>
              </w:tabs>
              <w:spacing w:after="0" w:line="240" w:lineRule="auto"/>
              <w:ind w:right="57"/>
              <w:jc w:val="both"/>
              <w:rPr>
                <w:rFonts w:ascii="Times New Roman" w:eastAsia="Calibri" w:hAnsi="Times New Roman" w:cs="Times New Roman"/>
                <w:color w:val="000000"/>
                <w:sz w:val="20"/>
                <w:szCs w:val="20"/>
                <w:lang w:val="ro-RO"/>
              </w:rPr>
            </w:pPr>
          </w:p>
        </w:tc>
        <w:tc>
          <w:tcPr>
            <w:tcW w:w="3627" w:type="dxa"/>
            <w:vMerge/>
            <w:shd w:val="clear" w:color="auto" w:fill="auto"/>
          </w:tcPr>
          <w:p w:rsidR="003B5354" w:rsidRPr="004C0446" w:rsidRDefault="003B5354" w:rsidP="003B5354">
            <w:pPr>
              <w:spacing w:after="0" w:line="240" w:lineRule="auto"/>
              <w:contextualSpacing/>
              <w:jc w:val="both"/>
              <w:rPr>
                <w:rFonts w:ascii="Times New Roman" w:eastAsia="Calibri" w:hAnsi="Times New Roman" w:cs="Times New Roman"/>
                <w:color w:val="000000"/>
                <w:sz w:val="20"/>
                <w:szCs w:val="20"/>
                <w:lang w:val="ro-RO"/>
              </w:rPr>
            </w:pPr>
          </w:p>
        </w:tc>
        <w:tc>
          <w:tcPr>
            <w:tcW w:w="1135" w:type="dxa"/>
            <w:vMerge/>
            <w:shd w:val="clear" w:color="auto" w:fill="auto"/>
          </w:tcPr>
          <w:p w:rsidR="003B5354" w:rsidRPr="004C0446" w:rsidRDefault="003B5354" w:rsidP="003B5354">
            <w:pPr>
              <w:spacing w:after="0" w:line="240" w:lineRule="auto"/>
              <w:ind w:right="27"/>
              <w:jc w:val="center"/>
              <w:rPr>
                <w:rFonts w:ascii="Times New Roman" w:eastAsia="Calibri" w:hAnsi="Times New Roman" w:cs="Times New Roman"/>
                <w:b/>
                <w:bCs/>
                <w:color w:val="FF0000"/>
                <w:sz w:val="20"/>
                <w:szCs w:val="20"/>
                <w:lang w:val="ro-MD" w:eastAsia="nl-NL"/>
              </w:rPr>
            </w:pPr>
          </w:p>
        </w:tc>
        <w:tc>
          <w:tcPr>
            <w:tcW w:w="993" w:type="dxa"/>
            <w:vMerge/>
            <w:shd w:val="clear" w:color="auto" w:fill="auto"/>
          </w:tcPr>
          <w:p w:rsidR="003B5354" w:rsidRPr="004C0446" w:rsidRDefault="003B5354" w:rsidP="003B5354">
            <w:pPr>
              <w:spacing w:after="0" w:line="240" w:lineRule="auto"/>
              <w:jc w:val="center"/>
              <w:rPr>
                <w:rFonts w:ascii="Times New Roman" w:eastAsia="Calibri" w:hAnsi="Times New Roman" w:cs="Times New Roman"/>
                <w:b/>
                <w:bCs/>
                <w:sz w:val="20"/>
                <w:szCs w:val="20"/>
                <w:lang w:val="ro-MD" w:eastAsia="nl-NL"/>
              </w:rPr>
            </w:pPr>
          </w:p>
        </w:tc>
        <w:tc>
          <w:tcPr>
            <w:tcW w:w="1561" w:type="dxa"/>
            <w:shd w:val="clear" w:color="auto" w:fill="auto"/>
          </w:tcPr>
          <w:p w:rsidR="003B5354" w:rsidRPr="004C0446" w:rsidRDefault="003B5354" w:rsidP="00784448">
            <w:pPr>
              <w:spacing w:after="0" w:line="240" w:lineRule="auto"/>
              <w:ind w:left="33"/>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Controale efectuate de un inspector anual - 140</w:t>
            </w:r>
          </w:p>
        </w:tc>
        <w:tc>
          <w:tcPr>
            <w:tcW w:w="1560" w:type="dxa"/>
            <w:shd w:val="clear" w:color="auto" w:fill="auto"/>
          </w:tcPr>
          <w:p w:rsidR="003B5354" w:rsidRPr="004C0446" w:rsidRDefault="003B5354" w:rsidP="003B5354">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4</w:t>
            </w:r>
          </w:p>
          <w:p w:rsidR="003B5354" w:rsidRPr="004C0446" w:rsidRDefault="003B5354" w:rsidP="003B5354">
            <w:pPr>
              <w:spacing w:after="0" w:line="240" w:lineRule="auto"/>
              <w:rPr>
                <w:rFonts w:ascii="Times New Roman" w:eastAsia="Calibri" w:hAnsi="Times New Roman" w:cs="Times New Roman"/>
                <w:b/>
                <w:sz w:val="20"/>
                <w:szCs w:val="20"/>
                <w:lang w:val="ro-RO"/>
              </w:rPr>
            </w:pPr>
          </w:p>
        </w:tc>
        <w:tc>
          <w:tcPr>
            <w:tcW w:w="1418" w:type="dxa"/>
            <w:shd w:val="clear" w:color="auto" w:fill="auto"/>
          </w:tcPr>
          <w:p w:rsidR="003B5354" w:rsidRPr="004C0446" w:rsidRDefault="003B5354" w:rsidP="00784448">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w:t>
            </w:r>
            <w:r w:rsidR="00784448" w:rsidRPr="004C0446">
              <w:rPr>
                <w:rFonts w:ascii="Times New Roman" w:eastAsia="Calibri" w:hAnsi="Times New Roman" w:cs="Times New Roman"/>
                <w:sz w:val="20"/>
                <w:szCs w:val="20"/>
                <w:lang w:val="ro-RO"/>
              </w:rPr>
              <w:t xml:space="preserve"> </w:t>
            </w:r>
            <w:r w:rsidRPr="004C0446">
              <w:rPr>
                <w:rFonts w:ascii="Times New Roman" w:eastAsia="Calibri" w:hAnsi="Times New Roman" w:cs="Times New Roman"/>
                <w:sz w:val="20"/>
                <w:szCs w:val="20"/>
                <w:lang w:val="ro-RO"/>
              </w:rPr>
              <w:t>136</w:t>
            </w:r>
          </w:p>
          <w:p w:rsidR="003B5354" w:rsidRPr="004C0446" w:rsidRDefault="003B5354" w:rsidP="003B5354">
            <w:pPr>
              <w:spacing w:after="0" w:line="240" w:lineRule="auto"/>
              <w:ind w:right="-108"/>
              <w:rPr>
                <w:rFonts w:ascii="Times New Roman" w:eastAsia="Calibri" w:hAnsi="Times New Roman" w:cs="Times New Roman"/>
                <w:sz w:val="20"/>
                <w:szCs w:val="20"/>
                <w:lang w:val="en-US"/>
              </w:rPr>
            </w:pPr>
          </w:p>
        </w:tc>
        <w:tc>
          <w:tcPr>
            <w:tcW w:w="1231" w:type="dxa"/>
            <w:gridSpan w:val="2"/>
            <w:shd w:val="clear" w:color="auto" w:fill="auto"/>
          </w:tcPr>
          <w:p w:rsidR="003B5354" w:rsidRPr="004C0446" w:rsidRDefault="003B5354" w:rsidP="003B5354">
            <w:pPr>
              <w:spacing w:after="0" w:line="240" w:lineRule="auto"/>
              <w:rPr>
                <w:rFonts w:ascii="Times New Roman" w:eastAsia="Calibri" w:hAnsi="Times New Roman" w:cs="Times New Roman"/>
                <w:b/>
                <w:sz w:val="20"/>
                <w:szCs w:val="20"/>
                <w:lang w:val="ro-MD"/>
              </w:rPr>
            </w:pPr>
          </w:p>
        </w:tc>
      </w:tr>
      <w:tr w:rsidR="003B5354" w:rsidRPr="004C0446" w:rsidTr="00FB650E">
        <w:trPr>
          <w:trHeight w:val="1520"/>
        </w:trPr>
        <w:tc>
          <w:tcPr>
            <w:tcW w:w="1795" w:type="dxa"/>
            <w:vMerge/>
            <w:shd w:val="clear" w:color="auto" w:fill="auto"/>
          </w:tcPr>
          <w:p w:rsidR="003B5354" w:rsidRPr="004C0446" w:rsidRDefault="003B5354" w:rsidP="003B5354">
            <w:pPr>
              <w:pStyle w:val="ListParagraph"/>
              <w:spacing w:after="0" w:line="240" w:lineRule="auto"/>
              <w:ind w:left="157" w:right="57"/>
              <w:jc w:val="both"/>
              <w:rPr>
                <w:rFonts w:ascii="Times New Roman" w:eastAsia="Calibri" w:hAnsi="Times New Roman" w:cs="Times New Roman"/>
                <w:color w:val="000000"/>
                <w:sz w:val="20"/>
                <w:szCs w:val="20"/>
                <w:lang w:val="ro-RO"/>
              </w:rPr>
            </w:pPr>
          </w:p>
        </w:tc>
        <w:tc>
          <w:tcPr>
            <w:tcW w:w="2430" w:type="dxa"/>
            <w:gridSpan w:val="3"/>
            <w:vMerge/>
            <w:shd w:val="clear" w:color="auto" w:fill="auto"/>
          </w:tcPr>
          <w:p w:rsidR="003B5354" w:rsidRPr="004C0446" w:rsidRDefault="003B5354" w:rsidP="003B5354">
            <w:pPr>
              <w:tabs>
                <w:tab w:val="left" w:pos="169"/>
              </w:tabs>
              <w:spacing w:after="0" w:line="240" w:lineRule="auto"/>
              <w:ind w:right="57"/>
              <w:jc w:val="both"/>
              <w:rPr>
                <w:rFonts w:ascii="Times New Roman" w:eastAsia="Calibri" w:hAnsi="Times New Roman" w:cs="Times New Roman"/>
                <w:color w:val="000000"/>
                <w:sz w:val="20"/>
                <w:szCs w:val="20"/>
                <w:lang w:val="ro-RO"/>
              </w:rPr>
            </w:pPr>
          </w:p>
        </w:tc>
        <w:tc>
          <w:tcPr>
            <w:tcW w:w="3627" w:type="dxa"/>
            <w:vMerge/>
            <w:shd w:val="clear" w:color="auto" w:fill="auto"/>
          </w:tcPr>
          <w:p w:rsidR="003B5354" w:rsidRPr="004C0446" w:rsidRDefault="003B5354" w:rsidP="003B5354">
            <w:pPr>
              <w:spacing w:after="0" w:line="240" w:lineRule="auto"/>
              <w:contextualSpacing/>
              <w:jc w:val="both"/>
              <w:rPr>
                <w:rFonts w:ascii="Times New Roman" w:eastAsia="Calibri" w:hAnsi="Times New Roman" w:cs="Times New Roman"/>
                <w:color w:val="000000"/>
                <w:sz w:val="20"/>
                <w:szCs w:val="20"/>
                <w:lang w:val="ro-RO"/>
              </w:rPr>
            </w:pPr>
          </w:p>
        </w:tc>
        <w:tc>
          <w:tcPr>
            <w:tcW w:w="1135" w:type="dxa"/>
            <w:vMerge/>
            <w:shd w:val="clear" w:color="auto" w:fill="auto"/>
          </w:tcPr>
          <w:p w:rsidR="003B5354" w:rsidRPr="004C0446" w:rsidRDefault="003B5354" w:rsidP="003B5354">
            <w:pPr>
              <w:spacing w:after="0" w:line="240" w:lineRule="auto"/>
              <w:ind w:right="27"/>
              <w:jc w:val="center"/>
              <w:rPr>
                <w:rFonts w:ascii="Times New Roman" w:eastAsia="Calibri" w:hAnsi="Times New Roman" w:cs="Times New Roman"/>
                <w:b/>
                <w:bCs/>
                <w:color w:val="FF0000"/>
                <w:sz w:val="20"/>
                <w:szCs w:val="20"/>
                <w:lang w:val="ro-MD" w:eastAsia="nl-NL"/>
              </w:rPr>
            </w:pPr>
          </w:p>
        </w:tc>
        <w:tc>
          <w:tcPr>
            <w:tcW w:w="993" w:type="dxa"/>
            <w:vMerge/>
            <w:shd w:val="clear" w:color="auto" w:fill="auto"/>
          </w:tcPr>
          <w:p w:rsidR="003B5354" w:rsidRPr="004C0446" w:rsidRDefault="003B5354" w:rsidP="003B5354">
            <w:pPr>
              <w:spacing w:after="0" w:line="240" w:lineRule="auto"/>
              <w:jc w:val="center"/>
              <w:rPr>
                <w:rFonts w:ascii="Times New Roman" w:eastAsia="Calibri" w:hAnsi="Times New Roman" w:cs="Times New Roman"/>
                <w:b/>
                <w:bCs/>
                <w:sz w:val="20"/>
                <w:szCs w:val="20"/>
                <w:lang w:val="ro-MD" w:eastAsia="nl-NL"/>
              </w:rPr>
            </w:pPr>
          </w:p>
        </w:tc>
        <w:tc>
          <w:tcPr>
            <w:tcW w:w="1561" w:type="dxa"/>
            <w:shd w:val="clear" w:color="auto" w:fill="auto"/>
          </w:tcPr>
          <w:p w:rsidR="003B5354" w:rsidRPr="004C0446" w:rsidRDefault="003B5354" w:rsidP="003B5354">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Numărul vizitelor consultative -2000</w:t>
            </w:r>
          </w:p>
        </w:tc>
        <w:tc>
          <w:tcPr>
            <w:tcW w:w="1560" w:type="dxa"/>
            <w:shd w:val="clear" w:color="auto" w:fill="auto"/>
          </w:tcPr>
          <w:p w:rsidR="003B5354" w:rsidRPr="004C0446" w:rsidRDefault="003B5354" w:rsidP="003B5354">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2000</w:t>
            </w:r>
          </w:p>
        </w:tc>
        <w:tc>
          <w:tcPr>
            <w:tcW w:w="1418" w:type="dxa"/>
            <w:shd w:val="clear" w:color="auto" w:fill="auto"/>
          </w:tcPr>
          <w:p w:rsidR="003B5354" w:rsidRPr="004C0446" w:rsidRDefault="00784448" w:rsidP="003B5354">
            <w:pPr>
              <w:spacing w:after="0" w:line="240" w:lineRule="auto"/>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t>-</w:t>
            </w:r>
          </w:p>
        </w:tc>
        <w:tc>
          <w:tcPr>
            <w:tcW w:w="1231" w:type="dxa"/>
            <w:gridSpan w:val="2"/>
            <w:shd w:val="clear" w:color="auto" w:fill="auto"/>
          </w:tcPr>
          <w:p w:rsidR="003B5354" w:rsidRPr="004C0446" w:rsidRDefault="003B5354" w:rsidP="003B5354">
            <w:pPr>
              <w:spacing w:after="0" w:line="240" w:lineRule="auto"/>
              <w:rPr>
                <w:rFonts w:ascii="Times New Roman" w:eastAsia="Calibri" w:hAnsi="Times New Roman" w:cs="Times New Roman"/>
                <w:b/>
                <w:sz w:val="20"/>
                <w:szCs w:val="20"/>
                <w:lang w:val="ro-MD"/>
              </w:rPr>
            </w:pPr>
          </w:p>
        </w:tc>
      </w:tr>
      <w:tr w:rsidR="003B5354" w:rsidRPr="004C0446" w:rsidTr="00FB650E">
        <w:trPr>
          <w:trHeight w:val="1520"/>
        </w:trPr>
        <w:tc>
          <w:tcPr>
            <w:tcW w:w="1795" w:type="dxa"/>
            <w:vMerge/>
            <w:shd w:val="clear" w:color="auto" w:fill="auto"/>
          </w:tcPr>
          <w:p w:rsidR="003B5354" w:rsidRPr="004C0446" w:rsidRDefault="003B5354" w:rsidP="003B5354">
            <w:pPr>
              <w:pStyle w:val="ListParagraph"/>
              <w:spacing w:after="0" w:line="240" w:lineRule="auto"/>
              <w:ind w:left="157" w:right="57"/>
              <w:jc w:val="both"/>
              <w:rPr>
                <w:rFonts w:ascii="Times New Roman" w:eastAsia="Calibri" w:hAnsi="Times New Roman" w:cs="Times New Roman"/>
                <w:color w:val="000000"/>
                <w:sz w:val="20"/>
                <w:szCs w:val="20"/>
                <w:lang w:val="ro-RO"/>
              </w:rPr>
            </w:pPr>
          </w:p>
        </w:tc>
        <w:tc>
          <w:tcPr>
            <w:tcW w:w="2430" w:type="dxa"/>
            <w:gridSpan w:val="3"/>
            <w:vMerge/>
            <w:shd w:val="clear" w:color="auto" w:fill="auto"/>
            <w:vAlign w:val="center"/>
          </w:tcPr>
          <w:p w:rsidR="003B5354" w:rsidRPr="004C0446" w:rsidRDefault="003B5354" w:rsidP="003B5354">
            <w:pPr>
              <w:tabs>
                <w:tab w:val="left" w:pos="169"/>
              </w:tabs>
              <w:spacing w:after="0" w:line="240" w:lineRule="auto"/>
              <w:ind w:right="57"/>
              <w:jc w:val="both"/>
              <w:rPr>
                <w:rFonts w:ascii="Times New Roman" w:eastAsia="Calibri" w:hAnsi="Times New Roman" w:cs="Times New Roman"/>
                <w:color w:val="000000"/>
                <w:sz w:val="20"/>
                <w:szCs w:val="20"/>
                <w:lang w:val="ro-RO"/>
              </w:rPr>
            </w:pPr>
          </w:p>
        </w:tc>
        <w:tc>
          <w:tcPr>
            <w:tcW w:w="3627" w:type="dxa"/>
            <w:vMerge/>
            <w:shd w:val="clear" w:color="auto" w:fill="auto"/>
          </w:tcPr>
          <w:p w:rsidR="003B5354" w:rsidRPr="004C0446" w:rsidRDefault="003B5354" w:rsidP="003B5354">
            <w:pPr>
              <w:spacing w:after="0" w:line="240" w:lineRule="auto"/>
              <w:contextualSpacing/>
              <w:jc w:val="both"/>
              <w:rPr>
                <w:rFonts w:ascii="Times New Roman" w:eastAsia="Calibri" w:hAnsi="Times New Roman" w:cs="Times New Roman"/>
                <w:color w:val="000000"/>
                <w:sz w:val="20"/>
                <w:szCs w:val="20"/>
                <w:lang w:val="ro-RO"/>
              </w:rPr>
            </w:pPr>
          </w:p>
        </w:tc>
        <w:tc>
          <w:tcPr>
            <w:tcW w:w="1135" w:type="dxa"/>
            <w:vMerge/>
            <w:shd w:val="clear" w:color="auto" w:fill="auto"/>
          </w:tcPr>
          <w:p w:rsidR="003B5354" w:rsidRPr="004C0446" w:rsidRDefault="003B5354" w:rsidP="003B5354">
            <w:pPr>
              <w:spacing w:after="0" w:line="240" w:lineRule="auto"/>
              <w:ind w:right="27"/>
              <w:rPr>
                <w:rFonts w:ascii="Times New Roman" w:eastAsia="Calibri" w:hAnsi="Times New Roman" w:cs="Times New Roman"/>
                <w:b/>
                <w:bCs/>
                <w:color w:val="FF0000"/>
                <w:sz w:val="20"/>
                <w:szCs w:val="20"/>
                <w:lang w:val="en-US" w:eastAsia="nl-NL"/>
              </w:rPr>
            </w:pPr>
          </w:p>
        </w:tc>
        <w:tc>
          <w:tcPr>
            <w:tcW w:w="993" w:type="dxa"/>
            <w:vMerge/>
            <w:shd w:val="clear" w:color="auto" w:fill="auto"/>
          </w:tcPr>
          <w:p w:rsidR="003B5354" w:rsidRPr="004C0446" w:rsidRDefault="003B5354" w:rsidP="003B5354">
            <w:pPr>
              <w:spacing w:after="0" w:line="240" w:lineRule="auto"/>
              <w:rPr>
                <w:rFonts w:ascii="Times New Roman" w:eastAsia="Times New Roman" w:hAnsi="Times New Roman" w:cs="Times New Roman"/>
                <w:b/>
                <w:sz w:val="20"/>
                <w:szCs w:val="20"/>
                <w:lang w:val="ro-RO"/>
              </w:rPr>
            </w:pPr>
          </w:p>
        </w:tc>
        <w:tc>
          <w:tcPr>
            <w:tcW w:w="1561" w:type="dxa"/>
            <w:shd w:val="clear" w:color="auto" w:fill="auto"/>
          </w:tcPr>
          <w:p w:rsidR="003B5354" w:rsidRPr="004C0446" w:rsidRDefault="003B5354" w:rsidP="00784448">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Ponderea agenţilor economici şi persoanelor fizice care cunosc riscurile ce ţin de obiectele industriale periculoase -90%</w:t>
            </w:r>
          </w:p>
        </w:tc>
        <w:tc>
          <w:tcPr>
            <w:tcW w:w="1560" w:type="dxa"/>
            <w:shd w:val="clear" w:color="auto" w:fill="auto"/>
          </w:tcPr>
          <w:p w:rsidR="003B5354" w:rsidRPr="004C0446" w:rsidRDefault="003B5354" w:rsidP="003B5354">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90%</w:t>
            </w:r>
          </w:p>
          <w:p w:rsidR="003B5354" w:rsidRPr="004C0446" w:rsidRDefault="003B5354" w:rsidP="003B5354">
            <w:pPr>
              <w:spacing w:after="0" w:line="240" w:lineRule="auto"/>
              <w:rPr>
                <w:rFonts w:ascii="Times New Roman" w:eastAsia="Calibri" w:hAnsi="Times New Roman" w:cs="Times New Roman"/>
                <w:b/>
                <w:sz w:val="20"/>
                <w:szCs w:val="20"/>
                <w:lang w:val="ro-RO"/>
              </w:rPr>
            </w:pPr>
          </w:p>
        </w:tc>
        <w:tc>
          <w:tcPr>
            <w:tcW w:w="1418" w:type="dxa"/>
            <w:shd w:val="clear" w:color="auto" w:fill="auto"/>
          </w:tcPr>
          <w:p w:rsidR="003B5354" w:rsidRPr="004C0446" w:rsidRDefault="00784448" w:rsidP="003B5354">
            <w:pPr>
              <w:spacing w:after="0" w:line="240" w:lineRule="auto"/>
              <w:rPr>
                <w:rFonts w:ascii="Times New Roman" w:eastAsia="Calibri" w:hAnsi="Times New Roman" w:cs="Times New Roman"/>
                <w:sz w:val="20"/>
                <w:szCs w:val="20"/>
                <w:lang w:val="en-US"/>
              </w:rPr>
            </w:pPr>
            <w:r w:rsidRPr="004C0446">
              <w:rPr>
                <w:rFonts w:ascii="Times New Roman" w:eastAsia="Calibri" w:hAnsi="Times New Roman" w:cs="Times New Roman"/>
                <w:sz w:val="20"/>
                <w:szCs w:val="20"/>
                <w:lang w:val="en-US"/>
              </w:rPr>
              <w:t>-</w:t>
            </w:r>
          </w:p>
        </w:tc>
        <w:tc>
          <w:tcPr>
            <w:tcW w:w="1231" w:type="dxa"/>
            <w:gridSpan w:val="2"/>
            <w:shd w:val="clear" w:color="auto" w:fill="auto"/>
          </w:tcPr>
          <w:p w:rsidR="003B5354" w:rsidRPr="004C0446" w:rsidRDefault="003B5354" w:rsidP="003B5354">
            <w:pPr>
              <w:spacing w:after="0" w:line="240" w:lineRule="auto"/>
              <w:rPr>
                <w:rFonts w:ascii="Times New Roman" w:eastAsia="Calibri" w:hAnsi="Times New Roman" w:cs="Times New Roman"/>
                <w:b/>
                <w:sz w:val="20"/>
                <w:szCs w:val="20"/>
                <w:lang w:val="ro-MD"/>
              </w:rPr>
            </w:pPr>
          </w:p>
        </w:tc>
      </w:tr>
      <w:tr w:rsidR="003B5354" w:rsidRPr="00E943D3" w:rsidTr="00FB650E">
        <w:trPr>
          <w:trHeight w:val="1520"/>
        </w:trPr>
        <w:tc>
          <w:tcPr>
            <w:tcW w:w="1795" w:type="dxa"/>
            <w:vMerge/>
            <w:shd w:val="clear" w:color="auto" w:fill="auto"/>
          </w:tcPr>
          <w:p w:rsidR="003B5354" w:rsidRPr="004C0446" w:rsidRDefault="003B5354" w:rsidP="003B5354">
            <w:pPr>
              <w:pStyle w:val="ListParagraph"/>
              <w:spacing w:after="0" w:line="240" w:lineRule="auto"/>
              <w:ind w:left="157" w:right="57"/>
              <w:jc w:val="both"/>
              <w:rPr>
                <w:rFonts w:ascii="Times New Roman" w:eastAsia="Calibri" w:hAnsi="Times New Roman" w:cs="Times New Roman"/>
                <w:color w:val="000000"/>
                <w:sz w:val="20"/>
                <w:szCs w:val="20"/>
                <w:lang w:val="ro-RO"/>
              </w:rPr>
            </w:pPr>
          </w:p>
        </w:tc>
        <w:tc>
          <w:tcPr>
            <w:tcW w:w="2430" w:type="dxa"/>
            <w:gridSpan w:val="3"/>
            <w:vMerge/>
            <w:shd w:val="clear" w:color="auto" w:fill="auto"/>
            <w:vAlign w:val="center"/>
          </w:tcPr>
          <w:p w:rsidR="003B5354" w:rsidRPr="004C0446" w:rsidRDefault="003B5354" w:rsidP="003B5354">
            <w:pPr>
              <w:tabs>
                <w:tab w:val="left" w:pos="169"/>
              </w:tabs>
              <w:spacing w:after="0" w:line="240" w:lineRule="auto"/>
              <w:ind w:right="57"/>
              <w:jc w:val="both"/>
              <w:rPr>
                <w:rFonts w:ascii="Times New Roman" w:eastAsia="Calibri" w:hAnsi="Times New Roman" w:cs="Times New Roman"/>
                <w:color w:val="000000"/>
                <w:sz w:val="20"/>
                <w:szCs w:val="20"/>
                <w:lang w:val="ro-RO"/>
              </w:rPr>
            </w:pPr>
          </w:p>
        </w:tc>
        <w:tc>
          <w:tcPr>
            <w:tcW w:w="3627" w:type="dxa"/>
            <w:vMerge/>
            <w:shd w:val="clear" w:color="auto" w:fill="auto"/>
          </w:tcPr>
          <w:p w:rsidR="003B5354" w:rsidRPr="004C0446" w:rsidRDefault="003B5354" w:rsidP="003B5354">
            <w:pPr>
              <w:spacing w:after="0" w:line="240" w:lineRule="auto"/>
              <w:contextualSpacing/>
              <w:jc w:val="both"/>
              <w:rPr>
                <w:rFonts w:ascii="Times New Roman" w:eastAsia="Calibri" w:hAnsi="Times New Roman" w:cs="Times New Roman"/>
                <w:color w:val="000000"/>
                <w:sz w:val="20"/>
                <w:szCs w:val="20"/>
                <w:lang w:val="ro-RO"/>
              </w:rPr>
            </w:pPr>
          </w:p>
        </w:tc>
        <w:tc>
          <w:tcPr>
            <w:tcW w:w="1135" w:type="dxa"/>
            <w:vMerge/>
            <w:shd w:val="clear" w:color="auto" w:fill="auto"/>
          </w:tcPr>
          <w:p w:rsidR="003B5354" w:rsidRPr="004C0446" w:rsidRDefault="003B5354" w:rsidP="003B5354">
            <w:pPr>
              <w:spacing w:after="0" w:line="240" w:lineRule="auto"/>
              <w:ind w:right="27"/>
              <w:jc w:val="center"/>
              <w:rPr>
                <w:rFonts w:ascii="Times New Roman" w:eastAsia="Calibri" w:hAnsi="Times New Roman" w:cs="Times New Roman"/>
                <w:b/>
                <w:bCs/>
                <w:color w:val="FF0000"/>
                <w:sz w:val="20"/>
                <w:szCs w:val="20"/>
                <w:lang w:val="ro-MD" w:eastAsia="nl-NL"/>
              </w:rPr>
            </w:pPr>
          </w:p>
        </w:tc>
        <w:tc>
          <w:tcPr>
            <w:tcW w:w="993" w:type="dxa"/>
            <w:vMerge/>
            <w:shd w:val="clear" w:color="auto" w:fill="auto"/>
          </w:tcPr>
          <w:p w:rsidR="003B5354" w:rsidRPr="004C0446" w:rsidRDefault="003B5354" w:rsidP="003B5354">
            <w:pPr>
              <w:spacing w:after="0" w:line="240" w:lineRule="auto"/>
              <w:jc w:val="center"/>
              <w:rPr>
                <w:rFonts w:ascii="Times New Roman" w:eastAsia="Calibri" w:hAnsi="Times New Roman" w:cs="Times New Roman"/>
                <w:b/>
                <w:bCs/>
                <w:sz w:val="20"/>
                <w:szCs w:val="20"/>
                <w:lang w:val="ro-MD" w:eastAsia="nl-NL"/>
              </w:rPr>
            </w:pPr>
          </w:p>
        </w:tc>
        <w:tc>
          <w:tcPr>
            <w:tcW w:w="1561" w:type="dxa"/>
            <w:shd w:val="clear" w:color="auto" w:fill="auto"/>
          </w:tcPr>
          <w:p w:rsidR="003B5354" w:rsidRPr="004C0446" w:rsidRDefault="003B5354" w:rsidP="003B5354">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t xml:space="preserve">Numărul stivuitoarelor, instalaţiilor şi echipamentelor utilizate în cadrul parcurilor </w:t>
            </w:r>
            <w:r w:rsidRPr="004C0446">
              <w:rPr>
                <w:rFonts w:ascii="Times New Roman" w:eastAsia="Calibri" w:hAnsi="Times New Roman" w:cs="Times New Roman"/>
                <w:sz w:val="20"/>
                <w:szCs w:val="20"/>
                <w:lang w:val="ro-RO"/>
              </w:rPr>
              <w:lastRenderedPageBreak/>
              <w:t>de distracţii identificate şi supuse supravegherii tehnice - 200</w:t>
            </w:r>
          </w:p>
        </w:tc>
        <w:tc>
          <w:tcPr>
            <w:tcW w:w="1560" w:type="dxa"/>
            <w:shd w:val="clear" w:color="auto" w:fill="auto"/>
          </w:tcPr>
          <w:p w:rsidR="003B5354" w:rsidRPr="004C0446" w:rsidRDefault="003B5354" w:rsidP="003B5354">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sz w:val="20"/>
                <w:szCs w:val="20"/>
                <w:lang w:val="ro-RO"/>
              </w:rPr>
              <w:lastRenderedPageBreak/>
              <w:t>0</w:t>
            </w:r>
          </w:p>
          <w:p w:rsidR="003B5354" w:rsidRPr="004C0446" w:rsidRDefault="003B5354" w:rsidP="003B5354">
            <w:pPr>
              <w:spacing w:after="0" w:line="240" w:lineRule="auto"/>
              <w:rPr>
                <w:rFonts w:ascii="Times New Roman" w:eastAsia="Calibri" w:hAnsi="Times New Roman" w:cs="Times New Roman"/>
                <w:sz w:val="20"/>
                <w:szCs w:val="20"/>
                <w:lang w:val="ro-RO"/>
              </w:rPr>
            </w:pPr>
          </w:p>
        </w:tc>
        <w:tc>
          <w:tcPr>
            <w:tcW w:w="1418" w:type="dxa"/>
            <w:shd w:val="clear" w:color="auto" w:fill="auto"/>
          </w:tcPr>
          <w:p w:rsidR="003B5354" w:rsidRPr="004C0446" w:rsidRDefault="003B5354" w:rsidP="003B5354">
            <w:pPr>
              <w:spacing w:after="0" w:line="240" w:lineRule="auto"/>
              <w:rPr>
                <w:rFonts w:ascii="Times New Roman" w:eastAsia="Calibri" w:hAnsi="Times New Roman" w:cs="Times New Roman"/>
                <w:sz w:val="20"/>
                <w:szCs w:val="20"/>
                <w:lang w:val="ro-RO"/>
              </w:rPr>
            </w:pPr>
            <w:r w:rsidRPr="004C0446">
              <w:rPr>
                <w:rFonts w:ascii="Times New Roman" w:eastAsia="Calibri" w:hAnsi="Times New Roman" w:cs="Times New Roman"/>
                <w:b/>
                <w:sz w:val="20"/>
                <w:szCs w:val="20"/>
                <w:lang w:val="ro-RO"/>
              </w:rPr>
              <w:t>-</w:t>
            </w:r>
            <w:r w:rsidRPr="004C0446">
              <w:rPr>
                <w:rFonts w:ascii="Times New Roman" w:eastAsia="Calibri" w:hAnsi="Times New Roman" w:cs="Times New Roman"/>
                <w:sz w:val="20"/>
                <w:szCs w:val="20"/>
                <w:lang w:val="ro-RO"/>
              </w:rPr>
              <w:t>200</w:t>
            </w:r>
          </w:p>
          <w:p w:rsidR="003B5354" w:rsidRPr="004C0446" w:rsidRDefault="003B5354" w:rsidP="003B5354">
            <w:pPr>
              <w:spacing w:after="0" w:line="240" w:lineRule="auto"/>
              <w:rPr>
                <w:rFonts w:ascii="Times New Roman" w:eastAsia="Calibri" w:hAnsi="Times New Roman" w:cs="Times New Roman"/>
                <w:b/>
                <w:sz w:val="20"/>
                <w:szCs w:val="20"/>
                <w:lang w:val="ro-RO"/>
              </w:rPr>
            </w:pPr>
            <w:r w:rsidRPr="004C0446">
              <w:rPr>
                <w:rFonts w:ascii="Times New Roman" w:eastAsia="Calibri" w:hAnsi="Times New Roman" w:cs="Times New Roman"/>
                <w:sz w:val="20"/>
                <w:szCs w:val="20"/>
                <w:lang w:val="ro-RO"/>
              </w:rPr>
              <w:t xml:space="preserve">Activitatea dată urmează a fi efectuată începînd cu anul 2017, </w:t>
            </w:r>
            <w:r w:rsidRPr="004C0446">
              <w:rPr>
                <w:rFonts w:ascii="Times New Roman" w:eastAsia="Calibri" w:hAnsi="Times New Roman" w:cs="Times New Roman"/>
                <w:sz w:val="20"/>
                <w:szCs w:val="20"/>
                <w:lang w:val="ro-RO"/>
              </w:rPr>
              <w:lastRenderedPageBreak/>
              <w:t>odată cu intratea în vigoare (</w:t>
            </w:r>
            <w:r w:rsidRPr="004C0446">
              <w:rPr>
                <w:rFonts w:ascii="Times New Roman" w:eastAsia="Calibri" w:hAnsi="Times New Roman" w:cs="Times New Roman"/>
                <w:i/>
                <w:sz w:val="20"/>
                <w:szCs w:val="20"/>
                <w:lang w:val="ro-RO"/>
              </w:rPr>
              <w:t>la 28.01.2017</w:t>
            </w:r>
            <w:r w:rsidRPr="004C0446">
              <w:rPr>
                <w:rFonts w:ascii="Times New Roman" w:eastAsia="Calibri" w:hAnsi="Times New Roman" w:cs="Times New Roman"/>
                <w:sz w:val="20"/>
                <w:szCs w:val="20"/>
                <w:lang w:val="ro-RO"/>
              </w:rPr>
              <w:t xml:space="preserve">)  a modificăilor la Legea </w:t>
            </w:r>
            <w:r w:rsidRPr="004C0446">
              <w:rPr>
                <w:rFonts w:ascii="Times New Roman" w:hAnsi="Times New Roman"/>
                <w:sz w:val="20"/>
                <w:szCs w:val="20"/>
                <w:lang w:val="ro-RO"/>
              </w:rPr>
              <w:t xml:space="preserve">nr.116 din 18.05.2012 privind securitatea industrială a obiectelor industriale periculoase </w:t>
            </w:r>
          </w:p>
        </w:tc>
        <w:tc>
          <w:tcPr>
            <w:tcW w:w="1231" w:type="dxa"/>
            <w:gridSpan w:val="2"/>
            <w:shd w:val="clear" w:color="auto" w:fill="auto"/>
          </w:tcPr>
          <w:p w:rsidR="003B5354" w:rsidRPr="004C0446" w:rsidRDefault="003B5354" w:rsidP="003B5354">
            <w:pPr>
              <w:spacing w:after="0" w:line="240" w:lineRule="auto"/>
              <w:rPr>
                <w:rFonts w:ascii="Times New Roman" w:eastAsia="Calibri" w:hAnsi="Times New Roman" w:cs="Times New Roman"/>
                <w:b/>
                <w:sz w:val="20"/>
                <w:szCs w:val="20"/>
                <w:lang w:val="ro-MD"/>
              </w:rPr>
            </w:pPr>
          </w:p>
        </w:tc>
      </w:tr>
      <w:tr w:rsidR="003B5354" w:rsidRPr="004C0446" w:rsidTr="00FB650E">
        <w:trPr>
          <w:trHeight w:val="373"/>
        </w:trPr>
        <w:tc>
          <w:tcPr>
            <w:tcW w:w="7852" w:type="dxa"/>
            <w:gridSpan w:val="5"/>
            <w:shd w:val="clear" w:color="auto" w:fill="EAF1DD" w:themeFill="accent3" w:themeFillTint="33"/>
            <w:vAlign w:val="center"/>
          </w:tcPr>
          <w:p w:rsidR="003B5354" w:rsidRPr="004C0446" w:rsidRDefault="003B5354" w:rsidP="003B5354">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Total subprogram, mii lei</w:t>
            </w:r>
          </w:p>
        </w:tc>
        <w:tc>
          <w:tcPr>
            <w:tcW w:w="1135" w:type="dxa"/>
            <w:shd w:val="clear" w:color="auto" w:fill="EAF1DD" w:themeFill="accent3" w:themeFillTint="33"/>
            <w:vAlign w:val="center"/>
          </w:tcPr>
          <w:p w:rsidR="003B5354" w:rsidRPr="005911BC" w:rsidRDefault="001B00A7" w:rsidP="001B00A7">
            <w:pPr>
              <w:spacing w:after="0" w:line="240" w:lineRule="auto"/>
              <w:ind w:right="27"/>
              <w:jc w:val="center"/>
              <w:rPr>
                <w:rFonts w:ascii="Times New Roman" w:eastAsia="Calibri" w:hAnsi="Times New Roman" w:cs="Times New Roman"/>
                <w:b/>
                <w:bCs/>
                <w:color w:val="000000" w:themeColor="text1"/>
                <w:sz w:val="20"/>
                <w:szCs w:val="20"/>
                <w:lang w:val="en-US" w:eastAsia="nl-NL"/>
              </w:rPr>
            </w:pPr>
            <w:r>
              <w:rPr>
                <w:rFonts w:ascii="Times New Roman" w:eastAsia="Calibri" w:hAnsi="Times New Roman" w:cs="Times New Roman"/>
                <w:b/>
                <w:bCs/>
                <w:sz w:val="20"/>
                <w:szCs w:val="20"/>
                <w:lang w:val="ro-RO" w:eastAsia="nl-NL"/>
              </w:rPr>
              <w:t>5840,4</w:t>
            </w:r>
          </w:p>
        </w:tc>
        <w:tc>
          <w:tcPr>
            <w:tcW w:w="993" w:type="dxa"/>
            <w:shd w:val="clear" w:color="auto" w:fill="EAF1DD" w:themeFill="accent3" w:themeFillTint="33"/>
            <w:vAlign w:val="center"/>
          </w:tcPr>
          <w:p w:rsidR="003B5354" w:rsidRPr="005911BC" w:rsidRDefault="003B5354" w:rsidP="001B00A7">
            <w:pPr>
              <w:spacing w:after="0" w:line="240" w:lineRule="auto"/>
              <w:jc w:val="center"/>
              <w:rPr>
                <w:rFonts w:ascii="Times New Roman" w:eastAsia="Calibri" w:hAnsi="Times New Roman" w:cs="Times New Roman"/>
                <w:b/>
                <w:bCs/>
                <w:sz w:val="20"/>
                <w:szCs w:val="20"/>
                <w:lang w:eastAsia="nl-NL"/>
              </w:rPr>
            </w:pPr>
            <w:r w:rsidRPr="005911BC">
              <w:rPr>
                <w:rFonts w:ascii="Times New Roman" w:eastAsia="Calibri" w:hAnsi="Times New Roman" w:cs="Times New Roman"/>
                <w:b/>
                <w:bCs/>
                <w:sz w:val="20"/>
                <w:szCs w:val="20"/>
                <w:lang w:val="ro-RO" w:eastAsia="nl-NL"/>
              </w:rPr>
              <w:t>5484,</w:t>
            </w:r>
            <w:r w:rsidR="001B00A7">
              <w:rPr>
                <w:rFonts w:ascii="Times New Roman" w:eastAsia="Calibri" w:hAnsi="Times New Roman" w:cs="Times New Roman"/>
                <w:b/>
                <w:bCs/>
                <w:sz w:val="20"/>
                <w:szCs w:val="20"/>
                <w:lang w:val="ro-RO" w:eastAsia="nl-NL"/>
              </w:rPr>
              <w:t>3</w:t>
            </w:r>
          </w:p>
        </w:tc>
        <w:tc>
          <w:tcPr>
            <w:tcW w:w="1561" w:type="dxa"/>
            <w:shd w:val="clear" w:color="auto" w:fill="EAF1DD" w:themeFill="accent3" w:themeFillTint="33"/>
          </w:tcPr>
          <w:p w:rsidR="003B5354" w:rsidRPr="004C0446" w:rsidRDefault="003B5354" w:rsidP="003B5354">
            <w:pPr>
              <w:spacing w:after="0" w:line="240" w:lineRule="auto"/>
              <w:rPr>
                <w:rFonts w:ascii="Times New Roman" w:eastAsia="Calibri" w:hAnsi="Times New Roman" w:cs="Times New Roman"/>
                <w:b/>
                <w:sz w:val="20"/>
                <w:szCs w:val="20"/>
                <w:lang w:val="ro-MD"/>
              </w:rPr>
            </w:pPr>
          </w:p>
        </w:tc>
        <w:tc>
          <w:tcPr>
            <w:tcW w:w="1560" w:type="dxa"/>
            <w:shd w:val="clear" w:color="auto" w:fill="EAF1DD" w:themeFill="accent3" w:themeFillTint="33"/>
          </w:tcPr>
          <w:p w:rsidR="003B5354" w:rsidRPr="004C0446" w:rsidRDefault="003B5354" w:rsidP="003B5354">
            <w:pPr>
              <w:spacing w:after="0" w:line="240" w:lineRule="auto"/>
              <w:rPr>
                <w:rFonts w:ascii="Times New Roman" w:eastAsia="Calibri" w:hAnsi="Times New Roman" w:cs="Times New Roman"/>
                <w:b/>
                <w:sz w:val="20"/>
                <w:szCs w:val="20"/>
                <w:lang w:val="ro-MD"/>
              </w:rPr>
            </w:pPr>
          </w:p>
        </w:tc>
        <w:tc>
          <w:tcPr>
            <w:tcW w:w="1418" w:type="dxa"/>
            <w:shd w:val="clear" w:color="auto" w:fill="EAF1DD" w:themeFill="accent3" w:themeFillTint="33"/>
          </w:tcPr>
          <w:p w:rsidR="003B5354" w:rsidRPr="004C0446" w:rsidRDefault="003B5354" w:rsidP="003B5354">
            <w:pPr>
              <w:spacing w:after="0" w:line="240" w:lineRule="auto"/>
              <w:rPr>
                <w:rFonts w:ascii="Times New Roman" w:eastAsia="Calibri" w:hAnsi="Times New Roman" w:cs="Times New Roman"/>
                <w:b/>
                <w:sz w:val="20"/>
                <w:szCs w:val="20"/>
                <w:lang w:val="ro-MD"/>
              </w:rPr>
            </w:pPr>
          </w:p>
        </w:tc>
        <w:tc>
          <w:tcPr>
            <w:tcW w:w="1231" w:type="dxa"/>
            <w:gridSpan w:val="2"/>
            <w:shd w:val="clear" w:color="auto" w:fill="EAF1DD" w:themeFill="accent3" w:themeFillTint="33"/>
          </w:tcPr>
          <w:p w:rsidR="003B5354" w:rsidRPr="004C0446" w:rsidRDefault="003B5354" w:rsidP="003B5354">
            <w:pPr>
              <w:spacing w:after="0" w:line="240" w:lineRule="auto"/>
              <w:rPr>
                <w:rFonts w:ascii="Times New Roman" w:eastAsia="Calibri" w:hAnsi="Times New Roman" w:cs="Times New Roman"/>
                <w:b/>
                <w:sz w:val="20"/>
                <w:szCs w:val="20"/>
                <w:lang w:val="ro-MD"/>
              </w:rPr>
            </w:pPr>
          </w:p>
        </w:tc>
      </w:tr>
      <w:tr w:rsidR="003B5354" w:rsidRPr="004C0446" w:rsidTr="00FB650E">
        <w:trPr>
          <w:trHeight w:val="373"/>
        </w:trPr>
        <w:tc>
          <w:tcPr>
            <w:tcW w:w="7852" w:type="dxa"/>
            <w:gridSpan w:val="5"/>
            <w:shd w:val="clear" w:color="auto" w:fill="EAF1DD" w:themeFill="accent3" w:themeFillTint="33"/>
            <w:vAlign w:val="center"/>
          </w:tcPr>
          <w:p w:rsidR="003B5354" w:rsidRPr="004C0446" w:rsidRDefault="00090617" w:rsidP="003B5354">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TOTAL PROGRAM</w:t>
            </w:r>
            <w:r w:rsidR="003B5354" w:rsidRPr="004C0446">
              <w:rPr>
                <w:rFonts w:ascii="Times New Roman" w:eastAsia="Calibri" w:hAnsi="Times New Roman" w:cs="Times New Roman"/>
                <w:b/>
                <w:sz w:val="20"/>
                <w:szCs w:val="20"/>
                <w:lang w:val="ro-MD"/>
              </w:rPr>
              <w:t>, mii lei</w:t>
            </w:r>
          </w:p>
        </w:tc>
        <w:tc>
          <w:tcPr>
            <w:tcW w:w="1135" w:type="dxa"/>
            <w:shd w:val="clear" w:color="auto" w:fill="EAF1DD" w:themeFill="accent3" w:themeFillTint="33"/>
            <w:vAlign w:val="center"/>
          </w:tcPr>
          <w:p w:rsidR="003B5354" w:rsidRPr="000407C1" w:rsidRDefault="00131BB7" w:rsidP="003B5354">
            <w:pPr>
              <w:spacing w:after="0" w:line="240" w:lineRule="auto"/>
              <w:ind w:right="27"/>
              <w:jc w:val="center"/>
              <w:rPr>
                <w:rFonts w:ascii="Times New Roman" w:eastAsia="Calibri" w:hAnsi="Times New Roman" w:cs="Times New Roman"/>
                <w:b/>
                <w:bCs/>
                <w:sz w:val="20"/>
                <w:szCs w:val="20"/>
                <w:highlight w:val="green"/>
                <w:lang w:val="ro-RO" w:eastAsia="nl-NL"/>
              </w:rPr>
            </w:pPr>
            <w:r>
              <w:rPr>
                <w:rFonts w:ascii="Times New Roman" w:eastAsia="Calibri" w:hAnsi="Times New Roman" w:cs="Times New Roman"/>
                <w:b/>
                <w:bCs/>
                <w:sz w:val="20"/>
                <w:szCs w:val="20"/>
                <w:lang w:val="ro-RO" w:eastAsia="nl-NL"/>
              </w:rPr>
              <w:t>21584.3</w:t>
            </w:r>
          </w:p>
        </w:tc>
        <w:tc>
          <w:tcPr>
            <w:tcW w:w="993" w:type="dxa"/>
            <w:shd w:val="clear" w:color="auto" w:fill="EAF1DD" w:themeFill="accent3" w:themeFillTint="33"/>
            <w:vAlign w:val="center"/>
          </w:tcPr>
          <w:p w:rsidR="003B5354" w:rsidRPr="000407C1" w:rsidRDefault="003B5354" w:rsidP="001B00A7">
            <w:pPr>
              <w:spacing w:after="0" w:line="240" w:lineRule="auto"/>
              <w:jc w:val="center"/>
              <w:rPr>
                <w:rFonts w:ascii="Times New Roman" w:eastAsia="Calibri" w:hAnsi="Times New Roman" w:cs="Times New Roman"/>
                <w:b/>
                <w:bCs/>
                <w:sz w:val="20"/>
                <w:szCs w:val="20"/>
                <w:highlight w:val="green"/>
                <w:lang w:val="ro-RO" w:eastAsia="nl-NL"/>
              </w:rPr>
            </w:pPr>
            <w:r w:rsidRPr="005911BC">
              <w:rPr>
                <w:rFonts w:ascii="Times New Roman" w:eastAsia="Calibri" w:hAnsi="Times New Roman" w:cs="Times New Roman"/>
                <w:b/>
                <w:bCs/>
                <w:sz w:val="20"/>
                <w:szCs w:val="20"/>
                <w:lang w:val="ro-RO" w:eastAsia="nl-NL"/>
              </w:rPr>
              <w:t>192</w:t>
            </w:r>
            <w:r w:rsidR="001B00A7">
              <w:rPr>
                <w:rFonts w:ascii="Times New Roman" w:eastAsia="Calibri" w:hAnsi="Times New Roman" w:cs="Times New Roman"/>
                <w:b/>
                <w:bCs/>
                <w:sz w:val="20"/>
                <w:szCs w:val="20"/>
                <w:lang w:val="ro-RO" w:eastAsia="nl-NL"/>
              </w:rPr>
              <w:t>77,</w:t>
            </w:r>
            <w:r w:rsidRPr="005911BC">
              <w:rPr>
                <w:rFonts w:ascii="Times New Roman" w:eastAsia="Calibri" w:hAnsi="Times New Roman" w:cs="Times New Roman"/>
                <w:b/>
                <w:bCs/>
                <w:sz w:val="20"/>
                <w:szCs w:val="20"/>
                <w:lang w:val="ro-RO" w:eastAsia="nl-NL"/>
              </w:rPr>
              <w:t>7</w:t>
            </w:r>
          </w:p>
        </w:tc>
        <w:tc>
          <w:tcPr>
            <w:tcW w:w="1561" w:type="dxa"/>
            <w:shd w:val="clear" w:color="auto" w:fill="EAF1DD" w:themeFill="accent3" w:themeFillTint="33"/>
          </w:tcPr>
          <w:p w:rsidR="003B5354" w:rsidRPr="004C0446" w:rsidRDefault="003B5354" w:rsidP="003B5354">
            <w:pPr>
              <w:spacing w:after="0" w:line="240" w:lineRule="auto"/>
              <w:rPr>
                <w:rFonts w:ascii="Times New Roman" w:eastAsia="Calibri" w:hAnsi="Times New Roman" w:cs="Times New Roman"/>
                <w:b/>
                <w:sz w:val="20"/>
                <w:szCs w:val="20"/>
                <w:lang w:val="ro-MD"/>
              </w:rPr>
            </w:pPr>
          </w:p>
        </w:tc>
        <w:tc>
          <w:tcPr>
            <w:tcW w:w="1560" w:type="dxa"/>
            <w:shd w:val="clear" w:color="auto" w:fill="EAF1DD" w:themeFill="accent3" w:themeFillTint="33"/>
          </w:tcPr>
          <w:p w:rsidR="003B5354" w:rsidRPr="004C0446" w:rsidRDefault="003B5354" w:rsidP="003B5354">
            <w:pPr>
              <w:spacing w:after="0" w:line="240" w:lineRule="auto"/>
              <w:rPr>
                <w:rFonts w:ascii="Times New Roman" w:eastAsia="Calibri" w:hAnsi="Times New Roman" w:cs="Times New Roman"/>
                <w:b/>
                <w:sz w:val="20"/>
                <w:szCs w:val="20"/>
                <w:lang w:val="ro-MD"/>
              </w:rPr>
            </w:pPr>
          </w:p>
        </w:tc>
        <w:tc>
          <w:tcPr>
            <w:tcW w:w="1418" w:type="dxa"/>
            <w:shd w:val="clear" w:color="auto" w:fill="EAF1DD" w:themeFill="accent3" w:themeFillTint="33"/>
          </w:tcPr>
          <w:p w:rsidR="003B5354" w:rsidRPr="004C0446" w:rsidRDefault="003B5354" w:rsidP="003B5354">
            <w:pPr>
              <w:spacing w:after="0" w:line="240" w:lineRule="auto"/>
              <w:rPr>
                <w:rFonts w:ascii="Times New Roman" w:eastAsia="Calibri" w:hAnsi="Times New Roman" w:cs="Times New Roman"/>
                <w:b/>
                <w:sz w:val="20"/>
                <w:szCs w:val="20"/>
                <w:lang w:val="ro-MD"/>
              </w:rPr>
            </w:pPr>
          </w:p>
        </w:tc>
        <w:tc>
          <w:tcPr>
            <w:tcW w:w="1231" w:type="dxa"/>
            <w:gridSpan w:val="2"/>
            <w:shd w:val="clear" w:color="auto" w:fill="EAF1DD" w:themeFill="accent3" w:themeFillTint="33"/>
          </w:tcPr>
          <w:p w:rsidR="003B5354" w:rsidRPr="004C0446" w:rsidRDefault="003B5354" w:rsidP="003B5354">
            <w:pPr>
              <w:spacing w:after="0" w:line="240" w:lineRule="auto"/>
              <w:rPr>
                <w:rFonts w:ascii="Times New Roman" w:eastAsia="Calibri" w:hAnsi="Times New Roman" w:cs="Times New Roman"/>
                <w:b/>
                <w:sz w:val="20"/>
                <w:szCs w:val="20"/>
                <w:lang w:val="ro-MD"/>
              </w:rPr>
            </w:pPr>
          </w:p>
        </w:tc>
      </w:tr>
      <w:tr w:rsidR="003B5354" w:rsidRPr="00972BDB" w:rsidTr="00FB650E">
        <w:trPr>
          <w:trHeight w:val="373"/>
        </w:trPr>
        <w:tc>
          <w:tcPr>
            <w:tcW w:w="7852" w:type="dxa"/>
            <w:gridSpan w:val="5"/>
            <w:shd w:val="clear" w:color="auto" w:fill="EAF1DD" w:themeFill="accent3" w:themeFillTint="33"/>
            <w:vAlign w:val="center"/>
          </w:tcPr>
          <w:p w:rsidR="003B5354" w:rsidRPr="004C0446" w:rsidRDefault="003B5354" w:rsidP="003B5354">
            <w:pPr>
              <w:spacing w:after="0" w:line="240" w:lineRule="auto"/>
              <w:rPr>
                <w:rFonts w:ascii="Times New Roman" w:eastAsia="Calibri" w:hAnsi="Times New Roman" w:cs="Times New Roman"/>
                <w:b/>
                <w:sz w:val="20"/>
                <w:szCs w:val="20"/>
                <w:lang w:val="ro-MD"/>
              </w:rPr>
            </w:pPr>
            <w:r w:rsidRPr="004C0446">
              <w:rPr>
                <w:rFonts w:ascii="Times New Roman" w:eastAsia="Calibri" w:hAnsi="Times New Roman" w:cs="Times New Roman"/>
                <w:b/>
                <w:sz w:val="20"/>
                <w:szCs w:val="20"/>
                <w:lang w:val="ro-MD"/>
              </w:rPr>
              <w:t>Total Strategie sectorială de cheltuieli, mii lei</w:t>
            </w:r>
          </w:p>
        </w:tc>
        <w:tc>
          <w:tcPr>
            <w:tcW w:w="1135" w:type="dxa"/>
            <w:shd w:val="clear" w:color="auto" w:fill="EAF1DD" w:themeFill="accent3" w:themeFillTint="33"/>
            <w:vAlign w:val="center"/>
          </w:tcPr>
          <w:p w:rsidR="003B5354" w:rsidRPr="004C0446" w:rsidRDefault="00131BB7" w:rsidP="003B5354">
            <w:pPr>
              <w:spacing w:after="0" w:line="240" w:lineRule="auto"/>
              <w:ind w:right="27"/>
              <w:jc w:val="center"/>
              <w:rPr>
                <w:rFonts w:ascii="Times New Roman" w:eastAsia="Calibri" w:hAnsi="Times New Roman" w:cs="Times New Roman"/>
                <w:b/>
                <w:bCs/>
                <w:sz w:val="20"/>
                <w:szCs w:val="20"/>
                <w:lang w:val="ro-RO" w:eastAsia="nl-NL"/>
              </w:rPr>
            </w:pPr>
            <w:r>
              <w:rPr>
                <w:rFonts w:ascii="Times New Roman" w:eastAsia="Calibri" w:hAnsi="Times New Roman" w:cs="Times New Roman"/>
                <w:b/>
                <w:bCs/>
                <w:sz w:val="20"/>
                <w:szCs w:val="20"/>
                <w:lang w:val="ro-RO" w:eastAsia="nl-NL"/>
              </w:rPr>
              <w:t>60602.6</w:t>
            </w:r>
          </w:p>
        </w:tc>
        <w:tc>
          <w:tcPr>
            <w:tcW w:w="993" w:type="dxa"/>
            <w:shd w:val="clear" w:color="auto" w:fill="EAF1DD" w:themeFill="accent3" w:themeFillTint="33"/>
            <w:vAlign w:val="center"/>
          </w:tcPr>
          <w:p w:rsidR="003B5354" w:rsidRPr="007B1680" w:rsidRDefault="00131BB7" w:rsidP="00131BB7">
            <w:pPr>
              <w:spacing w:after="0" w:line="240" w:lineRule="auto"/>
              <w:jc w:val="center"/>
              <w:rPr>
                <w:rFonts w:ascii="Times New Roman" w:eastAsia="Calibri" w:hAnsi="Times New Roman" w:cs="Times New Roman"/>
                <w:b/>
                <w:bCs/>
                <w:sz w:val="20"/>
                <w:szCs w:val="20"/>
                <w:lang w:val="ro-RO" w:eastAsia="nl-NL"/>
              </w:rPr>
            </w:pPr>
            <w:r>
              <w:rPr>
                <w:rFonts w:ascii="Times New Roman" w:eastAsia="Calibri" w:hAnsi="Times New Roman" w:cs="Times New Roman"/>
                <w:b/>
                <w:bCs/>
                <w:sz w:val="20"/>
                <w:szCs w:val="20"/>
                <w:lang w:val="ro-RO" w:eastAsia="nl-NL"/>
              </w:rPr>
              <w:t>58296</w:t>
            </w:r>
            <w:r w:rsidR="003B5354" w:rsidRPr="004C0446">
              <w:rPr>
                <w:rFonts w:ascii="Times New Roman" w:eastAsia="Calibri" w:hAnsi="Times New Roman" w:cs="Times New Roman"/>
                <w:b/>
                <w:bCs/>
                <w:sz w:val="20"/>
                <w:szCs w:val="20"/>
                <w:lang w:val="ro-RO" w:eastAsia="nl-NL"/>
              </w:rPr>
              <w:t>,</w:t>
            </w:r>
            <w:r>
              <w:rPr>
                <w:rFonts w:ascii="Times New Roman" w:eastAsia="Calibri" w:hAnsi="Times New Roman" w:cs="Times New Roman"/>
                <w:b/>
                <w:bCs/>
                <w:sz w:val="20"/>
                <w:szCs w:val="20"/>
                <w:lang w:val="ro-RO" w:eastAsia="nl-NL"/>
              </w:rPr>
              <w:t>0</w:t>
            </w:r>
          </w:p>
        </w:tc>
        <w:tc>
          <w:tcPr>
            <w:tcW w:w="1561" w:type="dxa"/>
            <w:shd w:val="clear" w:color="auto" w:fill="EAF1DD" w:themeFill="accent3" w:themeFillTint="33"/>
          </w:tcPr>
          <w:p w:rsidR="003B5354" w:rsidRPr="00972BDB" w:rsidRDefault="003B5354" w:rsidP="003B5354">
            <w:pPr>
              <w:spacing w:after="0" w:line="240" w:lineRule="auto"/>
              <w:rPr>
                <w:rFonts w:ascii="Times New Roman" w:eastAsia="Calibri" w:hAnsi="Times New Roman" w:cs="Times New Roman"/>
                <w:b/>
                <w:sz w:val="20"/>
                <w:szCs w:val="20"/>
                <w:lang w:val="ro-MD"/>
              </w:rPr>
            </w:pPr>
          </w:p>
        </w:tc>
        <w:tc>
          <w:tcPr>
            <w:tcW w:w="1560" w:type="dxa"/>
            <w:shd w:val="clear" w:color="auto" w:fill="EAF1DD" w:themeFill="accent3" w:themeFillTint="33"/>
          </w:tcPr>
          <w:p w:rsidR="003B5354" w:rsidRPr="00972BDB" w:rsidRDefault="003B5354" w:rsidP="003B5354">
            <w:pPr>
              <w:spacing w:after="0" w:line="240" w:lineRule="auto"/>
              <w:rPr>
                <w:rFonts w:ascii="Times New Roman" w:eastAsia="Calibri" w:hAnsi="Times New Roman" w:cs="Times New Roman"/>
                <w:b/>
                <w:sz w:val="20"/>
                <w:szCs w:val="20"/>
                <w:lang w:val="ro-MD"/>
              </w:rPr>
            </w:pPr>
          </w:p>
        </w:tc>
        <w:tc>
          <w:tcPr>
            <w:tcW w:w="1418" w:type="dxa"/>
            <w:shd w:val="clear" w:color="auto" w:fill="EAF1DD" w:themeFill="accent3" w:themeFillTint="33"/>
          </w:tcPr>
          <w:p w:rsidR="003B5354" w:rsidRPr="00972BDB" w:rsidRDefault="003B5354" w:rsidP="003B5354">
            <w:pPr>
              <w:spacing w:after="0" w:line="240" w:lineRule="auto"/>
              <w:rPr>
                <w:rFonts w:ascii="Times New Roman" w:eastAsia="Calibri" w:hAnsi="Times New Roman" w:cs="Times New Roman"/>
                <w:b/>
                <w:sz w:val="20"/>
                <w:szCs w:val="20"/>
                <w:lang w:val="ro-MD"/>
              </w:rPr>
            </w:pPr>
          </w:p>
        </w:tc>
        <w:tc>
          <w:tcPr>
            <w:tcW w:w="1231" w:type="dxa"/>
            <w:gridSpan w:val="2"/>
            <w:shd w:val="clear" w:color="auto" w:fill="EAF1DD" w:themeFill="accent3" w:themeFillTint="33"/>
          </w:tcPr>
          <w:p w:rsidR="003B5354" w:rsidRPr="00972BDB" w:rsidRDefault="003B5354" w:rsidP="003B5354">
            <w:pPr>
              <w:spacing w:after="0" w:line="240" w:lineRule="auto"/>
              <w:rPr>
                <w:rFonts w:ascii="Times New Roman" w:eastAsia="Calibri" w:hAnsi="Times New Roman" w:cs="Times New Roman"/>
                <w:b/>
                <w:sz w:val="20"/>
                <w:szCs w:val="20"/>
                <w:lang w:val="ro-MD"/>
              </w:rPr>
            </w:pPr>
          </w:p>
        </w:tc>
      </w:tr>
    </w:tbl>
    <w:p w:rsidR="00403A0F" w:rsidRPr="00972BDB" w:rsidRDefault="00403A0F">
      <w:pPr>
        <w:rPr>
          <w:rFonts w:ascii="Times New Roman" w:hAnsi="Times New Roman" w:cs="Times New Roman"/>
          <w:lang w:val="ro-MD"/>
        </w:rPr>
      </w:pPr>
    </w:p>
    <w:sectPr w:rsidR="00403A0F" w:rsidRPr="00972BDB" w:rsidSect="006E4846">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A28" w:rsidRDefault="00C10A28" w:rsidP="00090617">
      <w:pPr>
        <w:spacing w:after="0" w:line="240" w:lineRule="auto"/>
      </w:pPr>
      <w:r>
        <w:separator/>
      </w:r>
    </w:p>
  </w:endnote>
  <w:endnote w:type="continuationSeparator" w:id="0">
    <w:p w:rsidR="00C10A28" w:rsidRDefault="00C10A28" w:rsidP="0009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A28" w:rsidRDefault="00C10A28" w:rsidP="00090617">
      <w:pPr>
        <w:spacing w:after="0" w:line="240" w:lineRule="auto"/>
      </w:pPr>
      <w:r>
        <w:separator/>
      </w:r>
    </w:p>
  </w:footnote>
  <w:footnote w:type="continuationSeparator" w:id="0">
    <w:p w:rsidR="00C10A28" w:rsidRDefault="00C10A28" w:rsidP="000906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03F"/>
    <w:multiLevelType w:val="hybridMultilevel"/>
    <w:tmpl w:val="00EE10FE"/>
    <w:lvl w:ilvl="0" w:tplc="321CA8D2">
      <w:start w:val="1"/>
      <w:numFmt w:val="bullet"/>
      <w:lvlText w:val=""/>
      <w:lvlJc w:val="left"/>
      <w:pPr>
        <w:ind w:left="384" w:hanging="360"/>
      </w:pPr>
      <w:rPr>
        <w:rFonts w:ascii="Symbol" w:hAnsi="Symbol" w:hint="default"/>
        <w:lang w:val="ro-RO"/>
      </w:rPr>
    </w:lvl>
    <w:lvl w:ilvl="1" w:tplc="04190003" w:tentative="1">
      <w:start w:val="1"/>
      <w:numFmt w:val="bullet"/>
      <w:lvlText w:val="o"/>
      <w:lvlJc w:val="left"/>
      <w:pPr>
        <w:ind w:left="1104" w:hanging="360"/>
      </w:pPr>
      <w:rPr>
        <w:rFonts w:ascii="Courier New" w:hAnsi="Courier New" w:cs="Courier New" w:hint="default"/>
      </w:rPr>
    </w:lvl>
    <w:lvl w:ilvl="2" w:tplc="04190005" w:tentative="1">
      <w:start w:val="1"/>
      <w:numFmt w:val="bullet"/>
      <w:lvlText w:val=""/>
      <w:lvlJc w:val="left"/>
      <w:pPr>
        <w:ind w:left="1824" w:hanging="360"/>
      </w:pPr>
      <w:rPr>
        <w:rFonts w:ascii="Wingdings" w:hAnsi="Wingdings" w:hint="default"/>
      </w:rPr>
    </w:lvl>
    <w:lvl w:ilvl="3" w:tplc="04190001" w:tentative="1">
      <w:start w:val="1"/>
      <w:numFmt w:val="bullet"/>
      <w:lvlText w:val=""/>
      <w:lvlJc w:val="left"/>
      <w:pPr>
        <w:ind w:left="2544" w:hanging="360"/>
      </w:pPr>
      <w:rPr>
        <w:rFonts w:ascii="Symbol" w:hAnsi="Symbol" w:hint="default"/>
      </w:rPr>
    </w:lvl>
    <w:lvl w:ilvl="4" w:tplc="04190003" w:tentative="1">
      <w:start w:val="1"/>
      <w:numFmt w:val="bullet"/>
      <w:lvlText w:val="o"/>
      <w:lvlJc w:val="left"/>
      <w:pPr>
        <w:ind w:left="3264" w:hanging="360"/>
      </w:pPr>
      <w:rPr>
        <w:rFonts w:ascii="Courier New" w:hAnsi="Courier New" w:cs="Courier New" w:hint="default"/>
      </w:rPr>
    </w:lvl>
    <w:lvl w:ilvl="5" w:tplc="04190005" w:tentative="1">
      <w:start w:val="1"/>
      <w:numFmt w:val="bullet"/>
      <w:lvlText w:val=""/>
      <w:lvlJc w:val="left"/>
      <w:pPr>
        <w:ind w:left="3984" w:hanging="360"/>
      </w:pPr>
      <w:rPr>
        <w:rFonts w:ascii="Wingdings" w:hAnsi="Wingdings" w:hint="default"/>
      </w:rPr>
    </w:lvl>
    <w:lvl w:ilvl="6" w:tplc="04190001" w:tentative="1">
      <w:start w:val="1"/>
      <w:numFmt w:val="bullet"/>
      <w:lvlText w:val=""/>
      <w:lvlJc w:val="left"/>
      <w:pPr>
        <w:ind w:left="4704" w:hanging="360"/>
      </w:pPr>
      <w:rPr>
        <w:rFonts w:ascii="Symbol" w:hAnsi="Symbol" w:hint="default"/>
      </w:rPr>
    </w:lvl>
    <w:lvl w:ilvl="7" w:tplc="04190003" w:tentative="1">
      <w:start w:val="1"/>
      <w:numFmt w:val="bullet"/>
      <w:lvlText w:val="o"/>
      <w:lvlJc w:val="left"/>
      <w:pPr>
        <w:ind w:left="5424" w:hanging="360"/>
      </w:pPr>
      <w:rPr>
        <w:rFonts w:ascii="Courier New" w:hAnsi="Courier New" w:cs="Courier New" w:hint="default"/>
      </w:rPr>
    </w:lvl>
    <w:lvl w:ilvl="8" w:tplc="04190005" w:tentative="1">
      <w:start w:val="1"/>
      <w:numFmt w:val="bullet"/>
      <w:lvlText w:val=""/>
      <w:lvlJc w:val="left"/>
      <w:pPr>
        <w:ind w:left="6144" w:hanging="360"/>
      </w:pPr>
      <w:rPr>
        <w:rFonts w:ascii="Wingdings" w:hAnsi="Wingdings" w:hint="default"/>
      </w:rPr>
    </w:lvl>
  </w:abstractNum>
  <w:abstractNum w:abstractNumId="1" w15:restartNumberingAfterBreak="0">
    <w:nsid w:val="0B142FE0"/>
    <w:multiLevelType w:val="hybridMultilevel"/>
    <w:tmpl w:val="9CDC354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15:restartNumberingAfterBreak="0">
    <w:nsid w:val="0F23518C"/>
    <w:multiLevelType w:val="hybridMultilevel"/>
    <w:tmpl w:val="389640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4E67661"/>
    <w:multiLevelType w:val="hybridMultilevel"/>
    <w:tmpl w:val="20E0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F75CB"/>
    <w:multiLevelType w:val="hybridMultilevel"/>
    <w:tmpl w:val="18CE1FA0"/>
    <w:lvl w:ilvl="0" w:tplc="1FA089A6">
      <w:start w:val="1"/>
      <w:numFmt w:val="upperLetter"/>
      <w:lvlText w:val="%1."/>
      <w:lvlJc w:val="left"/>
      <w:pPr>
        <w:tabs>
          <w:tab w:val="num" w:pos="720"/>
        </w:tabs>
        <w:ind w:left="720" w:hanging="360"/>
      </w:pPr>
      <w:rPr>
        <w:rFonts w:cs="Times New Roman" w:hint="default"/>
      </w:rPr>
    </w:lvl>
    <w:lvl w:ilvl="1" w:tplc="04090001">
      <w:start w:val="1"/>
      <w:numFmt w:val="bullet"/>
      <w:lvlText w:val=""/>
      <w:lvlJc w:val="left"/>
      <w:pPr>
        <w:ind w:left="36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E7D52B9"/>
    <w:multiLevelType w:val="hybridMultilevel"/>
    <w:tmpl w:val="0BBC6D6C"/>
    <w:lvl w:ilvl="0" w:tplc="04190001">
      <w:start w:val="1"/>
      <w:numFmt w:val="bullet"/>
      <w:lvlText w:val=""/>
      <w:lvlJc w:val="left"/>
      <w:pPr>
        <w:ind w:left="922" w:hanging="360"/>
      </w:pPr>
      <w:rPr>
        <w:rFonts w:ascii="Symbol" w:hAnsi="Symbol" w:hint="default"/>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6" w15:restartNumberingAfterBreak="0">
    <w:nsid w:val="1EAA246C"/>
    <w:multiLevelType w:val="hybridMultilevel"/>
    <w:tmpl w:val="00FABA08"/>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E25026"/>
    <w:multiLevelType w:val="hybridMultilevel"/>
    <w:tmpl w:val="F5183DD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750236"/>
    <w:multiLevelType w:val="hybridMultilevel"/>
    <w:tmpl w:val="B5C4AD4A"/>
    <w:lvl w:ilvl="0" w:tplc="FB82654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96318E"/>
    <w:multiLevelType w:val="hybridMultilevel"/>
    <w:tmpl w:val="AD342C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E520091"/>
    <w:multiLevelType w:val="hybridMultilevel"/>
    <w:tmpl w:val="E9AE72CC"/>
    <w:lvl w:ilvl="0" w:tplc="C516668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2B56D6"/>
    <w:multiLevelType w:val="hybridMultilevel"/>
    <w:tmpl w:val="34A64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945D9A"/>
    <w:multiLevelType w:val="hybridMultilevel"/>
    <w:tmpl w:val="049E917C"/>
    <w:lvl w:ilvl="0" w:tplc="041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15:restartNumberingAfterBreak="0">
    <w:nsid w:val="43DD3911"/>
    <w:multiLevelType w:val="hybridMultilevel"/>
    <w:tmpl w:val="1172849E"/>
    <w:lvl w:ilvl="0" w:tplc="F6C8F8C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62C479E"/>
    <w:multiLevelType w:val="hybridMultilevel"/>
    <w:tmpl w:val="75666520"/>
    <w:lvl w:ilvl="0" w:tplc="21BC9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D2219C"/>
    <w:multiLevelType w:val="hybridMultilevel"/>
    <w:tmpl w:val="45D4290C"/>
    <w:lvl w:ilvl="0" w:tplc="04190001">
      <w:start w:val="1"/>
      <w:numFmt w:val="bullet"/>
      <w:lvlText w:val=""/>
      <w:lvlJc w:val="left"/>
      <w:pPr>
        <w:ind w:left="417" w:hanging="360"/>
      </w:pPr>
      <w:rPr>
        <w:rFonts w:ascii="Symbol" w:hAnsi="Symbol" w:hint="default"/>
      </w:rPr>
    </w:lvl>
    <w:lvl w:ilvl="1" w:tplc="04190003">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6" w15:restartNumberingAfterBreak="0">
    <w:nsid w:val="4F675676"/>
    <w:multiLevelType w:val="hybridMultilevel"/>
    <w:tmpl w:val="696E00B6"/>
    <w:lvl w:ilvl="0" w:tplc="F6C8F8C0">
      <w:start w:val="1"/>
      <w:numFmt w:val="bullet"/>
      <w:lvlText w:val=""/>
      <w:lvlJc w:val="left"/>
      <w:pPr>
        <w:ind w:left="788" w:hanging="360"/>
      </w:pPr>
      <w:rPr>
        <w:rFonts w:ascii="Symbol" w:hAnsi="Symbol" w:hint="default"/>
      </w:rPr>
    </w:lvl>
    <w:lvl w:ilvl="1" w:tplc="04180003" w:tentative="1">
      <w:start w:val="1"/>
      <w:numFmt w:val="bullet"/>
      <w:lvlText w:val="o"/>
      <w:lvlJc w:val="left"/>
      <w:pPr>
        <w:ind w:left="1834" w:hanging="360"/>
      </w:pPr>
      <w:rPr>
        <w:rFonts w:ascii="Courier New" w:hAnsi="Courier New" w:cs="Courier New" w:hint="default"/>
      </w:rPr>
    </w:lvl>
    <w:lvl w:ilvl="2" w:tplc="04180005" w:tentative="1">
      <w:start w:val="1"/>
      <w:numFmt w:val="bullet"/>
      <w:lvlText w:val=""/>
      <w:lvlJc w:val="left"/>
      <w:pPr>
        <w:ind w:left="2554" w:hanging="360"/>
      </w:pPr>
      <w:rPr>
        <w:rFonts w:ascii="Wingdings" w:hAnsi="Wingdings" w:hint="default"/>
      </w:rPr>
    </w:lvl>
    <w:lvl w:ilvl="3" w:tplc="04180001" w:tentative="1">
      <w:start w:val="1"/>
      <w:numFmt w:val="bullet"/>
      <w:lvlText w:val=""/>
      <w:lvlJc w:val="left"/>
      <w:pPr>
        <w:ind w:left="3274" w:hanging="360"/>
      </w:pPr>
      <w:rPr>
        <w:rFonts w:ascii="Symbol" w:hAnsi="Symbol" w:hint="default"/>
      </w:rPr>
    </w:lvl>
    <w:lvl w:ilvl="4" w:tplc="04180003" w:tentative="1">
      <w:start w:val="1"/>
      <w:numFmt w:val="bullet"/>
      <w:lvlText w:val="o"/>
      <w:lvlJc w:val="left"/>
      <w:pPr>
        <w:ind w:left="3994" w:hanging="360"/>
      </w:pPr>
      <w:rPr>
        <w:rFonts w:ascii="Courier New" w:hAnsi="Courier New" w:cs="Courier New" w:hint="default"/>
      </w:rPr>
    </w:lvl>
    <w:lvl w:ilvl="5" w:tplc="04180005" w:tentative="1">
      <w:start w:val="1"/>
      <w:numFmt w:val="bullet"/>
      <w:lvlText w:val=""/>
      <w:lvlJc w:val="left"/>
      <w:pPr>
        <w:ind w:left="4714" w:hanging="360"/>
      </w:pPr>
      <w:rPr>
        <w:rFonts w:ascii="Wingdings" w:hAnsi="Wingdings" w:hint="default"/>
      </w:rPr>
    </w:lvl>
    <w:lvl w:ilvl="6" w:tplc="04180001" w:tentative="1">
      <w:start w:val="1"/>
      <w:numFmt w:val="bullet"/>
      <w:lvlText w:val=""/>
      <w:lvlJc w:val="left"/>
      <w:pPr>
        <w:ind w:left="5434" w:hanging="360"/>
      </w:pPr>
      <w:rPr>
        <w:rFonts w:ascii="Symbol" w:hAnsi="Symbol" w:hint="default"/>
      </w:rPr>
    </w:lvl>
    <w:lvl w:ilvl="7" w:tplc="04180003" w:tentative="1">
      <w:start w:val="1"/>
      <w:numFmt w:val="bullet"/>
      <w:lvlText w:val="o"/>
      <w:lvlJc w:val="left"/>
      <w:pPr>
        <w:ind w:left="6154" w:hanging="360"/>
      </w:pPr>
      <w:rPr>
        <w:rFonts w:ascii="Courier New" w:hAnsi="Courier New" w:cs="Courier New" w:hint="default"/>
      </w:rPr>
    </w:lvl>
    <w:lvl w:ilvl="8" w:tplc="04180005" w:tentative="1">
      <w:start w:val="1"/>
      <w:numFmt w:val="bullet"/>
      <w:lvlText w:val=""/>
      <w:lvlJc w:val="left"/>
      <w:pPr>
        <w:ind w:left="6874" w:hanging="360"/>
      </w:pPr>
      <w:rPr>
        <w:rFonts w:ascii="Wingdings" w:hAnsi="Wingdings" w:hint="default"/>
      </w:rPr>
    </w:lvl>
  </w:abstractNum>
  <w:abstractNum w:abstractNumId="17" w15:restartNumberingAfterBreak="0">
    <w:nsid w:val="52570768"/>
    <w:multiLevelType w:val="hybridMultilevel"/>
    <w:tmpl w:val="7C80E192"/>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8" w15:restartNumberingAfterBreak="0">
    <w:nsid w:val="679207FA"/>
    <w:multiLevelType w:val="hybridMultilevel"/>
    <w:tmpl w:val="DEF29286"/>
    <w:lvl w:ilvl="0" w:tplc="11EC01C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5410E7C"/>
    <w:multiLevelType w:val="hybridMultilevel"/>
    <w:tmpl w:val="4CEC4F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EF4CDD"/>
    <w:multiLevelType w:val="hybridMultilevel"/>
    <w:tmpl w:val="17928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19"/>
  </w:num>
  <w:num w:numId="5">
    <w:abstractNumId w:val="5"/>
  </w:num>
  <w:num w:numId="6">
    <w:abstractNumId w:val="14"/>
  </w:num>
  <w:num w:numId="7">
    <w:abstractNumId w:val="2"/>
  </w:num>
  <w:num w:numId="8">
    <w:abstractNumId w:val="13"/>
  </w:num>
  <w:num w:numId="9">
    <w:abstractNumId w:val="16"/>
  </w:num>
  <w:num w:numId="10">
    <w:abstractNumId w:val="10"/>
  </w:num>
  <w:num w:numId="11">
    <w:abstractNumId w:val="17"/>
  </w:num>
  <w:num w:numId="12">
    <w:abstractNumId w:val="8"/>
  </w:num>
  <w:num w:numId="13">
    <w:abstractNumId w:val="18"/>
  </w:num>
  <w:num w:numId="14">
    <w:abstractNumId w:val="7"/>
  </w:num>
  <w:num w:numId="15">
    <w:abstractNumId w:val="15"/>
  </w:num>
  <w:num w:numId="16">
    <w:abstractNumId w:val="9"/>
  </w:num>
  <w:num w:numId="17">
    <w:abstractNumId w:val="0"/>
  </w:num>
  <w:num w:numId="18">
    <w:abstractNumId w:val="20"/>
  </w:num>
  <w:num w:numId="19">
    <w:abstractNumId w:val="1"/>
  </w:num>
  <w:num w:numId="20">
    <w:abstractNumId w:val="3"/>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30"/>
    <w:rsid w:val="00000836"/>
    <w:rsid w:val="00003217"/>
    <w:rsid w:val="00003458"/>
    <w:rsid w:val="00010184"/>
    <w:rsid w:val="0001186B"/>
    <w:rsid w:val="000143EC"/>
    <w:rsid w:val="00015C3D"/>
    <w:rsid w:val="00021A6D"/>
    <w:rsid w:val="0002391C"/>
    <w:rsid w:val="00024093"/>
    <w:rsid w:val="00027092"/>
    <w:rsid w:val="00037631"/>
    <w:rsid w:val="000407C1"/>
    <w:rsid w:val="00043E62"/>
    <w:rsid w:val="00047969"/>
    <w:rsid w:val="00047D51"/>
    <w:rsid w:val="000511A1"/>
    <w:rsid w:val="00054FE2"/>
    <w:rsid w:val="0006272A"/>
    <w:rsid w:val="00065468"/>
    <w:rsid w:val="00077CB1"/>
    <w:rsid w:val="00085C71"/>
    <w:rsid w:val="00090271"/>
    <w:rsid w:val="00090617"/>
    <w:rsid w:val="000A622E"/>
    <w:rsid w:val="000A7686"/>
    <w:rsid w:val="000A76B6"/>
    <w:rsid w:val="000B72AC"/>
    <w:rsid w:val="000C00EC"/>
    <w:rsid w:val="000C32E1"/>
    <w:rsid w:val="000C5A56"/>
    <w:rsid w:val="000E0F86"/>
    <w:rsid w:val="000E35FE"/>
    <w:rsid w:val="000E5868"/>
    <w:rsid w:val="000F2CEC"/>
    <w:rsid w:val="000F34CB"/>
    <w:rsid w:val="000F7127"/>
    <w:rsid w:val="00103009"/>
    <w:rsid w:val="00104425"/>
    <w:rsid w:val="0010695C"/>
    <w:rsid w:val="00111EA7"/>
    <w:rsid w:val="00113B00"/>
    <w:rsid w:val="00114DB1"/>
    <w:rsid w:val="00131BB7"/>
    <w:rsid w:val="0013401D"/>
    <w:rsid w:val="00137D5F"/>
    <w:rsid w:val="00140975"/>
    <w:rsid w:val="001429B8"/>
    <w:rsid w:val="00154861"/>
    <w:rsid w:val="00165A55"/>
    <w:rsid w:val="001664AF"/>
    <w:rsid w:val="001722AF"/>
    <w:rsid w:val="0017761A"/>
    <w:rsid w:val="001802FE"/>
    <w:rsid w:val="00185EFA"/>
    <w:rsid w:val="00186E84"/>
    <w:rsid w:val="00186FF6"/>
    <w:rsid w:val="00187B8D"/>
    <w:rsid w:val="00187D31"/>
    <w:rsid w:val="001B00A7"/>
    <w:rsid w:val="001B23BB"/>
    <w:rsid w:val="001B6423"/>
    <w:rsid w:val="001B763B"/>
    <w:rsid w:val="001C12E1"/>
    <w:rsid w:val="001C40A0"/>
    <w:rsid w:val="001C5351"/>
    <w:rsid w:val="001C5CF4"/>
    <w:rsid w:val="001D16A4"/>
    <w:rsid w:val="001D285B"/>
    <w:rsid w:val="001D3EC8"/>
    <w:rsid w:val="001D53F2"/>
    <w:rsid w:val="001D6094"/>
    <w:rsid w:val="001D6F9D"/>
    <w:rsid w:val="001D7C5C"/>
    <w:rsid w:val="001E0F9E"/>
    <w:rsid w:val="001E4FE7"/>
    <w:rsid w:val="001E506D"/>
    <w:rsid w:val="001F592E"/>
    <w:rsid w:val="001F6455"/>
    <w:rsid w:val="001F710C"/>
    <w:rsid w:val="00203B0B"/>
    <w:rsid w:val="00222B9A"/>
    <w:rsid w:val="00230D7A"/>
    <w:rsid w:val="00232798"/>
    <w:rsid w:val="002378C9"/>
    <w:rsid w:val="00243C61"/>
    <w:rsid w:val="00244BEA"/>
    <w:rsid w:val="00244FCB"/>
    <w:rsid w:val="00246CB1"/>
    <w:rsid w:val="002510D9"/>
    <w:rsid w:val="00252A56"/>
    <w:rsid w:val="00252C1D"/>
    <w:rsid w:val="0025535A"/>
    <w:rsid w:val="002669CB"/>
    <w:rsid w:val="00271559"/>
    <w:rsid w:val="002730D4"/>
    <w:rsid w:val="00275AC4"/>
    <w:rsid w:val="002769D2"/>
    <w:rsid w:val="00280510"/>
    <w:rsid w:val="002847DE"/>
    <w:rsid w:val="00284E23"/>
    <w:rsid w:val="002852CC"/>
    <w:rsid w:val="0029249A"/>
    <w:rsid w:val="00293620"/>
    <w:rsid w:val="00296CC2"/>
    <w:rsid w:val="002A1BE8"/>
    <w:rsid w:val="002B3B7A"/>
    <w:rsid w:val="002C04CD"/>
    <w:rsid w:val="002C32DD"/>
    <w:rsid w:val="002C396A"/>
    <w:rsid w:val="002C40C8"/>
    <w:rsid w:val="002C5BFF"/>
    <w:rsid w:val="002C6CA7"/>
    <w:rsid w:val="002D0F1B"/>
    <w:rsid w:val="002E1EF3"/>
    <w:rsid w:val="002F2A13"/>
    <w:rsid w:val="002F332F"/>
    <w:rsid w:val="00302BB9"/>
    <w:rsid w:val="00303CD3"/>
    <w:rsid w:val="003055E0"/>
    <w:rsid w:val="003057B0"/>
    <w:rsid w:val="00306C1A"/>
    <w:rsid w:val="00311017"/>
    <w:rsid w:val="0031563D"/>
    <w:rsid w:val="003224AF"/>
    <w:rsid w:val="00322B71"/>
    <w:rsid w:val="00325C6C"/>
    <w:rsid w:val="00326A0E"/>
    <w:rsid w:val="0032709D"/>
    <w:rsid w:val="003275B7"/>
    <w:rsid w:val="00327C21"/>
    <w:rsid w:val="003322F9"/>
    <w:rsid w:val="00334505"/>
    <w:rsid w:val="003348D2"/>
    <w:rsid w:val="0033769B"/>
    <w:rsid w:val="00342199"/>
    <w:rsid w:val="00343C77"/>
    <w:rsid w:val="00346D1D"/>
    <w:rsid w:val="00347737"/>
    <w:rsid w:val="003478F7"/>
    <w:rsid w:val="00350EE4"/>
    <w:rsid w:val="00352416"/>
    <w:rsid w:val="0035368F"/>
    <w:rsid w:val="003545BC"/>
    <w:rsid w:val="00356A99"/>
    <w:rsid w:val="0036081C"/>
    <w:rsid w:val="0036139F"/>
    <w:rsid w:val="003614F6"/>
    <w:rsid w:val="00366F2E"/>
    <w:rsid w:val="00370289"/>
    <w:rsid w:val="00371EAB"/>
    <w:rsid w:val="0037401C"/>
    <w:rsid w:val="00376334"/>
    <w:rsid w:val="003803FC"/>
    <w:rsid w:val="00383935"/>
    <w:rsid w:val="0038396D"/>
    <w:rsid w:val="00383CA4"/>
    <w:rsid w:val="00384D74"/>
    <w:rsid w:val="00386C01"/>
    <w:rsid w:val="0039106E"/>
    <w:rsid w:val="003A3D23"/>
    <w:rsid w:val="003B1A29"/>
    <w:rsid w:val="003B2149"/>
    <w:rsid w:val="003B5354"/>
    <w:rsid w:val="003B592F"/>
    <w:rsid w:val="003B59B3"/>
    <w:rsid w:val="003C0E00"/>
    <w:rsid w:val="003C492F"/>
    <w:rsid w:val="003D3D83"/>
    <w:rsid w:val="003D6E8B"/>
    <w:rsid w:val="003F09BD"/>
    <w:rsid w:val="003F1069"/>
    <w:rsid w:val="003F1FEE"/>
    <w:rsid w:val="003F6C04"/>
    <w:rsid w:val="00402151"/>
    <w:rsid w:val="00403A0F"/>
    <w:rsid w:val="00410D91"/>
    <w:rsid w:val="00411EB7"/>
    <w:rsid w:val="00412932"/>
    <w:rsid w:val="00417C05"/>
    <w:rsid w:val="004239A7"/>
    <w:rsid w:val="004247E2"/>
    <w:rsid w:val="00425707"/>
    <w:rsid w:val="00426D21"/>
    <w:rsid w:val="0043032F"/>
    <w:rsid w:val="00430A47"/>
    <w:rsid w:val="00433FF3"/>
    <w:rsid w:val="00436A6D"/>
    <w:rsid w:val="00437AA8"/>
    <w:rsid w:val="00440EB9"/>
    <w:rsid w:val="004421BF"/>
    <w:rsid w:val="0045293E"/>
    <w:rsid w:val="00452E1E"/>
    <w:rsid w:val="00464814"/>
    <w:rsid w:val="0047560F"/>
    <w:rsid w:val="0048003A"/>
    <w:rsid w:val="004809B1"/>
    <w:rsid w:val="0048223A"/>
    <w:rsid w:val="00483667"/>
    <w:rsid w:val="00493A75"/>
    <w:rsid w:val="00497BC6"/>
    <w:rsid w:val="004A32F3"/>
    <w:rsid w:val="004A42F7"/>
    <w:rsid w:val="004A560F"/>
    <w:rsid w:val="004B2324"/>
    <w:rsid w:val="004B2895"/>
    <w:rsid w:val="004C0446"/>
    <w:rsid w:val="004D364E"/>
    <w:rsid w:val="004D4CB8"/>
    <w:rsid w:val="004F4E0E"/>
    <w:rsid w:val="00504EC9"/>
    <w:rsid w:val="00505C51"/>
    <w:rsid w:val="00511040"/>
    <w:rsid w:val="00512C8B"/>
    <w:rsid w:val="005256B0"/>
    <w:rsid w:val="00527637"/>
    <w:rsid w:val="00530FD4"/>
    <w:rsid w:val="005326E0"/>
    <w:rsid w:val="00535D1E"/>
    <w:rsid w:val="00547333"/>
    <w:rsid w:val="005538BC"/>
    <w:rsid w:val="0055522F"/>
    <w:rsid w:val="00560322"/>
    <w:rsid w:val="005610D7"/>
    <w:rsid w:val="00563E95"/>
    <w:rsid w:val="00570AC4"/>
    <w:rsid w:val="00583B69"/>
    <w:rsid w:val="005911BC"/>
    <w:rsid w:val="00597AE3"/>
    <w:rsid w:val="005A2FD2"/>
    <w:rsid w:val="005A3838"/>
    <w:rsid w:val="005A6423"/>
    <w:rsid w:val="005A65AD"/>
    <w:rsid w:val="005B1D4D"/>
    <w:rsid w:val="005B2BE8"/>
    <w:rsid w:val="005B5EB2"/>
    <w:rsid w:val="005B637B"/>
    <w:rsid w:val="005B7F0A"/>
    <w:rsid w:val="005C16D3"/>
    <w:rsid w:val="005C3109"/>
    <w:rsid w:val="005C4513"/>
    <w:rsid w:val="005D14F3"/>
    <w:rsid w:val="005D33E9"/>
    <w:rsid w:val="005E283E"/>
    <w:rsid w:val="005E3458"/>
    <w:rsid w:val="005F4A43"/>
    <w:rsid w:val="006008C0"/>
    <w:rsid w:val="00602589"/>
    <w:rsid w:val="00610711"/>
    <w:rsid w:val="0061101A"/>
    <w:rsid w:val="0061319C"/>
    <w:rsid w:val="00613724"/>
    <w:rsid w:val="006144BF"/>
    <w:rsid w:val="00614A62"/>
    <w:rsid w:val="006157FB"/>
    <w:rsid w:val="006222BE"/>
    <w:rsid w:val="00623E2E"/>
    <w:rsid w:val="00626FA8"/>
    <w:rsid w:val="00627099"/>
    <w:rsid w:val="006365AC"/>
    <w:rsid w:val="006408F5"/>
    <w:rsid w:val="00643786"/>
    <w:rsid w:val="00647930"/>
    <w:rsid w:val="006505DF"/>
    <w:rsid w:val="0065505E"/>
    <w:rsid w:val="006551B1"/>
    <w:rsid w:val="006562BA"/>
    <w:rsid w:val="00661DA8"/>
    <w:rsid w:val="00663C1A"/>
    <w:rsid w:val="006644B5"/>
    <w:rsid w:val="00665614"/>
    <w:rsid w:val="006726C2"/>
    <w:rsid w:val="006727D1"/>
    <w:rsid w:val="00673E2B"/>
    <w:rsid w:val="00676B87"/>
    <w:rsid w:val="006856BF"/>
    <w:rsid w:val="00692EFD"/>
    <w:rsid w:val="00693F58"/>
    <w:rsid w:val="006975B0"/>
    <w:rsid w:val="0069780A"/>
    <w:rsid w:val="006A450D"/>
    <w:rsid w:val="006B033C"/>
    <w:rsid w:val="006B0ADE"/>
    <w:rsid w:val="006B4EA8"/>
    <w:rsid w:val="006B7BA5"/>
    <w:rsid w:val="006C39D0"/>
    <w:rsid w:val="006C7451"/>
    <w:rsid w:val="006C76B7"/>
    <w:rsid w:val="006D2711"/>
    <w:rsid w:val="006E05EB"/>
    <w:rsid w:val="006E451C"/>
    <w:rsid w:val="006E4846"/>
    <w:rsid w:val="00712155"/>
    <w:rsid w:val="007175D6"/>
    <w:rsid w:val="0072030E"/>
    <w:rsid w:val="00720D7A"/>
    <w:rsid w:val="007210ED"/>
    <w:rsid w:val="007223D6"/>
    <w:rsid w:val="007257C3"/>
    <w:rsid w:val="00726057"/>
    <w:rsid w:val="00734F16"/>
    <w:rsid w:val="00735583"/>
    <w:rsid w:val="00737606"/>
    <w:rsid w:val="00740BE0"/>
    <w:rsid w:val="007470F1"/>
    <w:rsid w:val="0075157F"/>
    <w:rsid w:val="007526B2"/>
    <w:rsid w:val="007643FC"/>
    <w:rsid w:val="00775844"/>
    <w:rsid w:val="0077674B"/>
    <w:rsid w:val="00776DC4"/>
    <w:rsid w:val="007806AD"/>
    <w:rsid w:val="00784448"/>
    <w:rsid w:val="007863B7"/>
    <w:rsid w:val="0078782E"/>
    <w:rsid w:val="00791CDD"/>
    <w:rsid w:val="00795B81"/>
    <w:rsid w:val="007961E5"/>
    <w:rsid w:val="00797CD4"/>
    <w:rsid w:val="007A48EF"/>
    <w:rsid w:val="007B1680"/>
    <w:rsid w:val="007B2A50"/>
    <w:rsid w:val="007B5675"/>
    <w:rsid w:val="007B61E9"/>
    <w:rsid w:val="007D70CB"/>
    <w:rsid w:val="007E1483"/>
    <w:rsid w:val="007E2019"/>
    <w:rsid w:val="007E2745"/>
    <w:rsid w:val="007E73CD"/>
    <w:rsid w:val="007F0094"/>
    <w:rsid w:val="007F5FD1"/>
    <w:rsid w:val="00805B61"/>
    <w:rsid w:val="008073B5"/>
    <w:rsid w:val="008133DD"/>
    <w:rsid w:val="008143A4"/>
    <w:rsid w:val="008218A4"/>
    <w:rsid w:val="00835C41"/>
    <w:rsid w:val="00841056"/>
    <w:rsid w:val="00844259"/>
    <w:rsid w:val="008466E2"/>
    <w:rsid w:val="00850E88"/>
    <w:rsid w:val="00853B34"/>
    <w:rsid w:val="00853E04"/>
    <w:rsid w:val="0086113A"/>
    <w:rsid w:val="00861B2A"/>
    <w:rsid w:val="008643F8"/>
    <w:rsid w:val="00867070"/>
    <w:rsid w:val="00867B24"/>
    <w:rsid w:val="00870171"/>
    <w:rsid w:val="00871839"/>
    <w:rsid w:val="00872B21"/>
    <w:rsid w:val="00876BC5"/>
    <w:rsid w:val="008816BF"/>
    <w:rsid w:val="00884B28"/>
    <w:rsid w:val="00885861"/>
    <w:rsid w:val="00892E14"/>
    <w:rsid w:val="00894EB6"/>
    <w:rsid w:val="008978D6"/>
    <w:rsid w:val="008A447A"/>
    <w:rsid w:val="008A4BCB"/>
    <w:rsid w:val="008A7CE8"/>
    <w:rsid w:val="008B0489"/>
    <w:rsid w:val="008B15CB"/>
    <w:rsid w:val="008B259A"/>
    <w:rsid w:val="008B4B29"/>
    <w:rsid w:val="008B5D5E"/>
    <w:rsid w:val="008C1F4C"/>
    <w:rsid w:val="008C29D7"/>
    <w:rsid w:val="008C2CF4"/>
    <w:rsid w:val="008C3FE4"/>
    <w:rsid w:val="008C47C0"/>
    <w:rsid w:val="008C5A55"/>
    <w:rsid w:val="008C5B65"/>
    <w:rsid w:val="008D2ADA"/>
    <w:rsid w:val="008D4824"/>
    <w:rsid w:val="008E113F"/>
    <w:rsid w:val="008E27AC"/>
    <w:rsid w:val="008E356A"/>
    <w:rsid w:val="008E6497"/>
    <w:rsid w:val="008E6BAF"/>
    <w:rsid w:val="00910DED"/>
    <w:rsid w:val="00911D4B"/>
    <w:rsid w:val="00913F94"/>
    <w:rsid w:val="00914BCA"/>
    <w:rsid w:val="009166F1"/>
    <w:rsid w:val="00925A0B"/>
    <w:rsid w:val="00926B24"/>
    <w:rsid w:val="0092703F"/>
    <w:rsid w:val="00927DCF"/>
    <w:rsid w:val="0093632E"/>
    <w:rsid w:val="0093634C"/>
    <w:rsid w:val="00940C4F"/>
    <w:rsid w:val="00942A3B"/>
    <w:rsid w:val="00944F18"/>
    <w:rsid w:val="009528DF"/>
    <w:rsid w:val="00955ACB"/>
    <w:rsid w:val="00955C7F"/>
    <w:rsid w:val="00966276"/>
    <w:rsid w:val="00972BDB"/>
    <w:rsid w:val="00974EE3"/>
    <w:rsid w:val="009764BE"/>
    <w:rsid w:val="00981F5C"/>
    <w:rsid w:val="009924EA"/>
    <w:rsid w:val="00992586"/>
    <w:rsid w:val="00996430"/>
    <w:rsid w:val="009A1608"/>
    <w:rsid w:val="009A420C"/>
    <w:rsid w:val="009A69E6"/>
    <w:rsid w:val="009B44F4"/>
    <w:rsid w:val="009B4E6B"/>
    <w:rsid w:val="009B6497"/>
    <w:rsid w:val="009C27A8"/>
    <w:rsid w:val="009C353B"/>
    <w:rsid w:val="009D17FC"/>
    <w:rsid w:val="009D29FB"/>
    <w:rsid w:val="009D519B"/>
    <w:rsid w:val="009D728C"/>
    <w:rsid w:val="009E5BD0"/>
    <w:rsid w:val="00A00746"/>
    <w:rsid w:val="00A0094F"/>
    <w:rsid w:val="00A111FB"/>
    <w:rsid w:val="00A1590D"/>
    <w:rsid w:val="00A15F46"/>
    <w:rsid w:val="00A251D0"/>
    <w:rsid w:val="00A30A28"/>
    <w:rsid w:val="00A347E3"/>
    <w:rsid w:val="00A4464A"/>
    <w:rsid w:val="00A51027"/>
    <w:rsid w:val="00A55AAB"/>
    <w:rsid w:val="00A56910"/>
    <w:rsid w:val="00A60563"/>
    <w:rsid w:val="00A605D0"/>
    <w:rsid w:val="00A66160"/>
    <w:rsid w:val="00A676C8"/>
    <w:rsid w:val="00A679A9"/>
    <w:rsid w:val="00A71102"/>
    <w:rsid w:val="00A72157"/>
    <w:rsid w:val="00A77742"/>
    <w:rsid w:val="00A815E4"/>
    <w:rsid w:val="00A83754"/>
    <w:rsid w:val="00A91FCF"/>
    <w:rsid w:val="00A956BA"/>
    <w:rsid w:val="00A95A3C"/>
    <w:rsid w:val="00AA22FC"/>
    <w:rsid w:val="00AA5A7C"/>
    <w:rsid w:val="00AB3AD5"/>
    <w:rsid w:val="00AC7CAB"/>
    <w:rsid w:val="00AE2BE9"/>
    <w:rsid w:val="00AE2F25"/>
    <w:rsid w:val="00AE5C00"/>
    <w:rsid w:val="00AE720B"/>
    <w:rsid w:val="00AE7479"/>
    <w:rsid w:val="00AF7597"/>
    <w:rsid w:val="00B02C88"/>
    <w:rsid w:val="00B02FD4"/>
    <w:rsid w:val="00B07DBF"/>
    <w:rsid w:val="00B13FD7"/>
    <w:rsid w:val="00B141C1"/>
    <w:rsid w:val="00B16F77"/>
    <w:rsid w:val="00B1720C"/>
    <w:rsid w:val="00B22ABA"/>
    <w:rsid w:val="00B23AEF"/>
    <w:rsid w:val="00B32806"/>
    <w:rsid w:val="00B329D4"/>
    <w:rsid w:val="00B333D6"/>
    <w:rsid w:val="00B353B2"/>
    <w:rsid w:val="00B4251E"/>
    <w:rsid w:val="00B438E6"/>
    <w:rsid w:val="00B43FE3"/>
    <w:rsid w:val="00B46CD0"/>
    <w:rsid w:val="00B46D35"/>
    <w:rsid w:val="00B54B6B"/>
    <w:rsid w:val="00B56BD1"/>
    <w:rsid w:val="00B573A2"/>
    <w:rsid w:val="00B63538"/>
    <w:rsid w:val="00B64D1F"/>
    <w:rsid w:val="00B733C4"/>
    <w:rsid w:val="00B760C9"/>
    <w:rsid w:val="00B80F17"/>
    <w:rsid w:val="00B83021"/>
    <w:rsid w:val="00BA2320"/>
    <w:rsid w:val="00BA4109"/>
    <w:rsid w:val="00BA7EE5"/>
    <w:rsid w:val="00BB0E59"/>
    <w:rsid w:val="00BC40B5"/>
    <w:rsid w:val="00BC6852"/>
    <w:rsid w:val="00BE1237"/>
    <w:rsid w:val="00BE4412"/>
    <w:rsid w:val="00BE5EFB"/>
    <w:rsid w:val="00BF5DB1"/>
    <w:rsid w:val="00C0565A"/>
    <w:rsid w:val="00C10A28"/>
    <w:rsid w:val="00C11812"/>
    <w:rsid w:val="00C1206F"/>
    <w:rsid w:val="00C124AF"/>
    <w:rsid w:val="00C13C22"/>
    <w:rsid w:val="00C13E8D"/>
    <w:rsid w:val="00C20978"/>
    <w:rsid w:val="00C22F30"/>
    <w:rsid w:val="00C23CE5"/>
    <w:rsid w:val="00C26D08"/>
    <w:rsid w:val="00C26E3F"/>
    <w:rsid w:val="00C27A68"/>
    <w:rsid w:val="00C350EC"/>
    <w:rsid w:val="00C43D63"/>
    <w:rsid w:val="00C445FF"/>
    <w:rsid w:val="00C44837"/>
    <w:rsid w:val="00C47B43"/>
    <w:rsid w:val="00C51D9A"/>
    <w:rsid w:val="00C53A94"/>
    <w:rsid w:val="00C61D54"/>
    <w:rsid w:val="00C649A0"/>
    <w:rsid w:val="00C67AF7"/>
    <w:rsid w:val="00C71183"/>
    <w:rsid w:val="00C77B6E"/>
    <w:rsid w:val="00C81BE9"/>
    <w:rsid w:val="00C81FCB"/>
    <w:rsid w:val="00C934E3"/>
    <w:rsid w:val="00C97351"/>
    <w:rsid w:val="00C97818"/>
    <w:rsid w:val="00CA4A71"/>
    <w:rsid w:val="00CA5D61"/>
    <w:rsid w:val="00CA62EA"/>
    <w:rsid w:val="00CA75E1"/>
    <w:rsid w:val="00CB2F55"/>
    <w:rsid w:val="00CB41C9"/>
    <w:rsid w:val="00CB6EC5"/>
    <w:rsid w:val="00CC269D"/>
    <w:rsid w:val="00CC2C6D"/>
    <w:rsid w:val="00CC6768"/>
    <w:rsid w:val="00CC7E18"/>
    <w:rsid w:val="00CD1C56"/>
    <w:rsid w:val="00CD7F7C"/>
    <w:rsid w:val="00CE1F16"/>
    <w:rsid w:val="00CE30EF"/>
    <w:rsid w:val="00CE6407"/>
    <w:rsid w:val="00CE7871"/>
    <w:rsid w:val="00CE794D"/>
    <w:rsid w:val="00CF01C8"/>
    <w:rsid w:val="00CF1FBC"/>
    <w:rsid w:val="00CF2567"/>
    <w:rsid w:val="00CF62AC"/>
    <w:rsid w:val="00D01CA5"/>
    <w:rsid w:val="00D06EDC"/>
    <w:rsid w:val="00D14EF6"/>
    <w:rsid w:val="00D16D3C"/>
    <w:rsid w:val="00D25889"/>
    <w:rsid w:val="00D2668A"/>
    <w:rsid w:val="00D35052"/>
    <w:rsid w:val="00D4136D"/>
    <w:rsid w:val="00D51851"/>
    <w:rsid w:val="00D5577B"/>
    <w:rsid w:val="00D66BEA"/>
    <w:rsid w:val="00D81990"/>
    <w:rsid w:val="00D820F5"/>
    <w:rsid w:val="00D82E8B"/>
    <w:rsid w:val="00D84A28"/>
    <w:rsid w:val="00D879D6"/>
    <w:rsid w:val="00D90C41"/>
    <w:rsid w:val="00D96106"/>
    <w:rsid w:val="00DA1E57"/>
    <w:rsid w:val="00DA4257"/>
    <w:rsid w:val="00DA51D9"/>
    <w:rsid w:val="00DB2619"/>
    <w:rsid w:val="00DC67A1"/>
    <w:rsid w:val="00DD1F6C"/>
    <w:rsid w:val="00DD37C0"/>
    <w:rsid w:val="00DD6CCC"/>
    <w:rsid w:val="00DE2428"/>
    <w:rsid w:val="00DE50BE"/>
    <w:rsid w:val="00DE5C8D"/>
    <w:rsid w:val="00DF0E78"/>
    <w:rsid w:val="00DF2016"/>
    <w:rsid w:val="00DF2214"/>
    <w:rsid w:val="00E0169E"/>
    <w:rsid w:val="00E03A31"/>
    <w:rsid w:val="00E055F8"/>
    <w:rsid w:val="00E060AB"/>
    <w:rsid w:val="00E06221"/>
    <w:rsid w:val="00E07B26"/>
    <w:rsid w:val="00E10954"/>
    <w:rsid w:val="00E128A2"/>
    <w:rsid w:val="00E229CF"/>
    <w:rsid w:val="00E2454E"/>
    <w:rsid w:val="00E30EBB"/>
    <w:rsid w:val="00E311E4"/>
    <w:rsid w:val="00E36908"/>
    <w:rsid w:val="00E435BA"/>
    <w:rsid w:val="00E46572"/>
    <w:rsid w:val="00E46C4F"/>
    <w:rsid w:val="00E534FC"/>
    <w:rsid w:val="00E56D00"/>
    <w:rsid w:val="00E63789"/>
    <w:rsid w:val="00E661FF"/>
    <w:rsid w:val="00E745EF"/>
    <w:rsid w:val="00E779BB"/>
    <w:rsid w:val="00E81EB2"/>
    <w:rsid w:val="00E8305A"/>
    <w:rsid w:val="00E85831"/>
    <w:rsid w:val="00E87B79"/>
    <w:rsid w:val="00E9187B"/>
    <w:rsid w:val="00E943D3"/>
    <w:rsid w:val="00EA4B34"/>
    <w:rsid w:val="00EB21F2"/>
    <w:rsid w:val="00EB3708"/>
    <w:rsid w:val="00EB4D14"/>
    <w:rsid w:val="00EB66FA"/>
    <w:rsid w:val="00EB6FB1"/>
    <w:rsid w:val="00EC0527"/>
    <w:rsid w:val="00EC3F48"/>
    <w:rsid w:val="00ED1677"/>
    <w:rsid w:val="00ED5BFE"/>
    <w:rsid w:val="00EE3280"/>
    <w:rsid w:val="00EF2D52"/>
    <w:rsid w:val="00F00BF6"/>
    <w:rsid w:val="00F03EEE"/>
    <w:rsid w:val="00F0499A"/>
    <w:rsid w:val="00F108B8"/>
    <w:rsid w:val="00F10E4B"/>
    <w:rsid w:val="00F10EDB"/>
    <w:rsid w:val="00F12827"/>
    <w:rsid w:val="00F136AA"/>
    <w:rsid w:val="00F13F47"/>
    <w:rsid w:val="00F17DA5"/>
    <w:rsid w:val="00F224BD"/>
    <w:rsid w:val="00F2790F"/>
    <w:rsid w:val="00F363EE"/>
    <w:rsid w:val="00F45B02"/>
    <w:rsid w:val="00F52195"/>
    <w:rsid w:val="00F56057"/>
    <w:rsid w:val="00F5709C"/>
    <w:rsid w:val="00F61DE8"/>
    <w:rsid w:val="00F712D8"/>
    <w:rsid w:val="00F715AD"/>
    <w:rsid w:val="00F719BB"/>
    <w:rsid w:val="00F73528"/>
    <w:rsid w:val="00F75D54"/>
    <w:rsid w:val="00F8349B"/>
    <w:rsid w:val="00F86443"/>
    <w:rsid w:val="00F87645"/>
    <w:rsid w:val="00F92FFC"/>
    <w:rsid w:val="00F934E3"/>
    <w:rsid w:val="00F93653"/>
    <w:rsid w:val="00F9401A"/>
    <w:rsid w:val="00F95E29"/>
    <w:rsid w:val="00FA0A9A"/>
    <w:rsid w:val="00FA1361"/>
    <w:rsid w:val="00FB650E"/>
    <w:rsid w:val="00FB7A92"/>
    <w:rsid w:val="00FC10F6"/>
    <w:rsid w:val="00FC2A00"/>
    <w:rsid w:val="00FD3F25"/>
    <w:rsid w:val="00FE0AE6"/>
    <w:rsid w:val="00FE1F23"/>
    <w:rsid w:val="00FE30DA"/>
    <w:rsid w:val="00FE37B2"/>
    <w:rsid w:val="00FE6F2F"/>
    <w:rsid w:val="00FE7FD5"/>
    <w:rsid w:val="00FF6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FB67C-E1A9-44AE-8D04-D64D5D75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
    <w:name w:val="Абзац списка4"/>
    <w:basedOn w:val="Normal"/>
    <w:qFormat/>
    <w:rsid w:val="00403A0F"/>
    <w:pPr>
      <w:ind w:left="720"/>
      <w:contextualSpacing/>
    </w:pPr>
    <w:rPr>
      <w:rFonts w:ascii="Calibri" w:eastAsia="Times New Roman" w:hAnsi="Calibri" w:cs="Times New Roman"/>
      <w:lang w:val="en-GB"/>
    </w:rPr>
  </w:style>
  <w:style w:type="paragraph" w:styleId="ListParagraph">
    <w:name w:val="List Paragraph"/>
    <w:aliases w:val="Scriptoria bullet points"/>
    <w:basedOn w:val="Normal"/>
    <w:link w:val="ListParagraphChar1"/>
    <w:uiPriority w:val="34"/>
    <w:qFormat/>
    <w:rsid w:val="00CE6407"/>
    <w:pPr>
      <w:ind w:left="720"/>
      <w:contextualSpacing/>
    </w:pPr>
  </w:style>
  <w:style w:type="paragraph" w:customStyle="1" w:styleId="1">
    <w:name w:val="Абзац списка1"/>
    <w:basedOn w:val="Normal"/>
    <w:link w:val="ListParagraphChar"/>
    <w:qFormat/>
    <w:rsid w:val="00ED5BFE"/>
    <w:pPr>
      <w:ind w:left="720"/>
    </w:pPr>
    <w:rPr>
      <w:rFonts w:ascii="Calibri" w:eastAsia="Calibri" w:hAnsi="Calibri" w:cs="Calibri"/>
      <w:lang w:val="en-GB"/>
    </w:rPr>
  </w:style>
  <w:style w:type="character" w:customStyle="1" w:styleId="FontStyle12">
    <w:name w:val="Font Style12"/>
    <w:rsid w:val="00ED5BFE"/>
    <w:rPr>
      <w:rFonts w:ascii="Times New Roman" w:hAnsi="Times New Roman"/>
      <w:color w:val="000000"/>
      <w:sz w:val="22"/>
    </w:rPr>
  </w:style>
  <w:style w:type="character" w:customStyle="1" w:styleId="ListParagraphChar">
    <w:name w:val="List Paragraph Char"/>
    <w:link w:val="1"/>
    <w:locked/>
    <w:rsid w:val="00C23CE5"/>
    <w:rPr>
      <w:rFonts w:ascii="Calibri" w:eastAsia="Calibri" w:hAnsi="Calibri" w:cs="Calibri"/>
      <w:lang w:val="en-GB"/>
    </w:rPr>
  </w:style>
  <w:style w:type="character" w:customStyle="1" w:styleId="ListParagraphChar1">
    <w:name w:val="List Paragraph Char1"/>
    <w:aliases w:val="Scriptoria bullet points Char"/>
    <w:link w:val="ListParagraph"/>
    <w:uiPriority w:val="34"/>
    <w:locked/>
    <w:rsid w:val="00BC6852"/>
  </w:style>
  <w:style w:type="character" w:styleId="CommentReference">
    <w:name w:val="annotation reference"/>
    <w:basedOn w:val="DefaultParagraphFont"/>
    <w:uiPriority w:val="99"/>
    <w:semiHidden/>
    <w:unhideWhenUsed/>
    <w:rsid w:val="002D0F1B"/>
    <w:rPr>
      <w:sz w:val="16"/>
      <w:szCs w:val="16"/>
    </w:rPr>
  </w:style>
  <w:style w:type="paragraph" w:styleId="CommentText">
    <w:name w:val="annotation text"/>
    <w:basedOn w:val="Normal"/>
    <w:link w:val="CommentTextChar"/>
    <w:uiPriority w:val="99"/>
    <w:semiHidden/>
    <w:unhideWhenUsed/>
    <w:rsid w:val="002D0F1B"/>
    <w:pPr>
      <w:spacing w:line="240" w:lineRule="auto"/>
    </w:pPr>
    <w:rPr>
      <w:sz w:val="20"/>
      <w:szCs w:val="20"/>
    </w:rPr>
  </w:style>
  <w:style w:type="character" w:customStyle="1" w:styleId="CommentTextChar">
    <w:name w:val="Comment Text Char"/>
    <w:basedOn w:val="DefaultParagraphFont"/>
    <w:link w:val="CommentText"/>
    <w:uiPriority w:val="99"/>
    <w:semiHidden/>
    <w:rsid w:val="002D0F1B"/>
    <w:rPr>
      <w:sz w:val="20"/>
      <w:szCs w:val="20"/>
    </w:rPr>
  </w:style>
  <w:style w:type="paragraph" w:styleId="CommentSubject">
    <w:name w:val="annotation subject"/>
    <w:basedOn w:val="CommentText"/>
    <w:next w:val="CommentText"/>
    <w:link w:val="CommentSubjectChar"/>
    <w:uiPriority w:val="99"/>
    <w:semiHidden/>
    <w:unhideWhenUsed/>
    <w:rsid w:val="002D0F1B"/>
    <w:rPr>
      <w:b/>
      <w:bCs/>
    </w:rPr>
  </w:style>
  <w:style w:type="character" w:customStyle="1" w:styleId="CommentSubjectChar">
    <w:name w:val="Comment Subject Char"/>
    <w:basedOn w:val="CommentTextChar"/>
    <w:link w:val="CommentSubject"/>
    <w:uiPriority w:val="99"/>
    <w:semiHidden/>
    <w:rsid w:val="002D0F1B"/>
    <w:rPr>
      <w:b/>
      <w:bCs/>
      <w:sz w:val="20"/>
      <w:szCs w:val="20"/>
    </w:rPr>
  </w:style>
  <w:style w:type="paragraph" w:styleId="BalloonText">
    <w:name w:val="Balloon Text"/>
    <w:basedOn w:val="Normal"/>
    <w:link w:val="BalloonTextChar"/>
    <w:uiPriority w:val="99"/>
    <w:semiHidden/>
    <w:unhideWhenUsed/>
    <w:rsid w:val="002D0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1B"/>
    <w:rPr>
      <w:rFonts w:ascii="Tahoma" w:hAnsi="Tahoma" w:cs="Tahoma"/>
      <w:sz w:val="16"/>
      <w:szCs w:val="16"/>
    </w:rPr>
  </w:style>
  <w:style w:type="paragraph" w:styleId="NoSpacing">
    <w:name w:val="No Spacing"/>
    <w:uiPriority w:val="1"/>
    <w:qFormat/>
    <w:rsid w:val="003B1A29"/>
    <w:pPr>
      <w:spacing w:after="0" w:line="240" w:lineRule="auto"/>
    </w:pPr>
    <w:rPr>
      <w:lang w:val="en-US"/>
    </w:rPr>
  </w:style>
  <w:style w:type="paragraph" w:customStyle="1" w:styleId="ListParagraph1">
    <w:name w:val="List Paragraph1"/>
    <w:basedOn w:val="Normal"/>
    <w:rsid w:val="005326E0"/>
    <w:pPr>
      <w:ind w:left="720"/>
    </w:pPr>
    <w:rPr>
      <w:rFonts w:ascii="Calibri" w:eastAsia="Calibri" w:hAnsi="Calibri" w:cs="Calibri"/>
      <w:lang w:val="en-GB"/>
    </w:rPr>
  </w:style>
  <w:style w:type="character" w:styleId="Hyperlink">
    <w:name w:val="Hyperlink"/>
    <w:basedOn w:val="DefaultParagraphFont"/>
    <w:uiPriority w:val="99"/>
    <w:unhideWhenUsed/>
    <w:rsid w:val="003348D2"/>
    <w:rPr>
      <w:color w:val="0000FF" w:themeColor="hyperlink"/>
      <w:u w:val="single"/>
    </w:rPr>
  </w:style>
  <w:style w:type="character" w:styleId="FollowedHyperlink">
    <w:name w:val="FollowedHyperlink"/>
    <w:basedOn w:val="DefaultParagraphFont"/>
    <w:uiPriority w:val="99"/>
    <w:semiHidden/>
    <w:unhideWhenUsed/>
    <w:rsid w:val="003348D2"/>
    <w:rPr>
      <w:color w:val="800080" w:themeColor="followedHyperlink"/>
      <w:u w:val="single"/>
    </w:rPr>
  </w:style>
  <w:style w:type="paragraph" w:customStyle="1" w:styleId="cn">
    <w:name w:val="cn"/>
    <w:basedOn w:val="Normal"/>
    <w:rsid w:val="00DA4257"/>
    <w:pPr>
      <w:spacing w:after="0" w:line="240" w:lineRule="auto"/>
      <w:jc w:val="center"/>
    </w:pPr>
    <w:rPr>
      <w:rFonts w:ascii="Times New Roman" w:eastAsiaTheme="minorEastAsia" w:hAnsi="Times New Roman" w:cs="Times New Roman"/>
      <w:sz w:val="24"/>
      <w:szCs w:val="24"/>
      <w:lang w:val="ro-RO"/>
    </w:rPr>
  </w:style>
  <w:style w:type="paragraph" w:styleId="Header">
    <w:name w:val="header"/>
    <w:basedOn w:val="Normal"/>
    <w:link w:val="HeaderChar"/>
    <w:uiPriority w:val="99"/>
    <w:unhideWhenUsed/>
    <w:rsid w:val="0009061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90617"/>
  </w:style>
  <w:style w:type="paragraph" w:styleId="Footer">
    <w:name w:val="footer"/>
    <w:basedOn w:val="Normal"/>
    <w:link w:val="FooterChar"/>
    <w:uiPriority w:val="99"/>
    <w:unhideWhenUsed/>
    <w:rsid w:val="0009061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90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96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mator.gov.md/doc.php?l=ro&amp;idc=136&amp;id=1579&amp;t=/Transparenta/Rapoarte/Raport-privind-efectuarea-sondajului-despre-AP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514B1-1C45-46CF-998B-75D5DB44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7670</Words>
  <Characters>43723</Characters>
  <Application>Microsoft Office Word</Application>
  <DocSecurity>0</DocSecurity>
  <Lines>364</Lines>
  <Paragraphs>102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Zinaida Cernica</dc:creator>
  <cp:lastModifiedBy>Angela</cp:lastModifiedBy>
  <cp:revision>3</cp:revision>
  <cp:lastPrinted>2017-02-14T09:39:00Z</cp:lastPrinted>
  <dcterms:created xsi:type="dcterms:W3CDTF">2017-03-02T06:47:00Z</dcterms:created>
  <dcterms:modified xsi:type="dcterms:W3CDTF">2017-03-02T06:48:00Z</dcterms:modified>
</cp:coreProperties>
</file>