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F7D31" w:rsidRPr="00306F32" w:rsidTr="00864E43">
        <w:tc>
          <w:tcPr>
            <w:tcW w:w="9776" w:type="dxa"/>
            <w:shd w:val="clear" w:color="auto" w:fill="D9D9D9"/>
            <w:vAlign w:val="center"/>
          </w:tcPr>
          <w:p w:rsidR="00DF7D31" w:rsidRPr="00306F32" w:rsidRDefault="00DF7D31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6F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NOTA INFORMATIVĂ </w:t>
            </w:r>
          </w:p>
          <w:p w:rsidR="00DF7D31" w:rsidRPr="00306F32" w:rsidRDefault="00DF7D31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6F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privind starea actuală a relațiilor comercial-economice</w:t>
            </w:r>
          </w:p>
          <w:p w:rsidR="00DF7D31" w:rsidRPr="00306F32" w:rsidRDefault="00DF7D31" w:rsidP="000A6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între Republica Moldova şi Republica </w:t>
            </w:r>
            <w:r w:rsidR="00751B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Serbia</w:t>
            </w:r>
          </w:p>
        </w:tc>
      </w:tr>
    </w:tbl>
    <w:p w:rsidR="00DF7D31" w:rsidRDefault="00DF7D31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F7D31" w:rsidRPr="00306F32" w:rsidTr="00864E43">
        <w:tc>
          <w:tcPr>
            <w:tcW w:w="9776" w:type="dxa"/>
            <w:shd w:val="clear" w:color="auto" w:fill="D9D9D9"/>
          </w:tcPr>
          <w:p w:rsidR="00DF7D31" w:rsidRPr="00306F32" w:rsidRDefault="00DF7D31" w:rsidP="00864E43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F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Cadrul juridic.</w:t>
            </w:r>
          </w:p>
        </w:tc>
      </w:tr>
      <w:tr w:rsidR="00DF7D31" w:rsidRPr="00306F32" w:rsidTr="00864E43">
        <w:tc>
          <w:tcPr>
            <w:tcW w:w="9776" w:type="dxa"/>
          </w:tcPr>
          <w:p w:rsidR="008E5316" w:rsidRDefault="00B02EE3" w:rsidP="00AC6221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0C85">
              <w:rPr>
                <w:rFonts w:ascii="Times New Roman" w:hAnsi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EE0C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prezent, între Republica Moldova şi 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publica Serbia </w:t>
            </w:r>
            <w:r w:rsidRPr="00EE0C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au fost semnate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14 </w:t>
            </w:r>
            <w:r w:rsidRPr="00EE0C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documente bilaterale</w:t>
            </w:r>
            <w:r w:rsidRPr="00EE0C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E52AC">
              <w:rPr>
                <w:rFonts w:ascii="Times New Roman" w:hAnsi="Times New Roman"/>
                <w:sz w:val="24"/>
                <w:szCs w:val="24"/>
                <w:lang w:eastAsia="ru-RU"/>
              </w:rPr>
              <w:t>dintre care</w:t>
            </w:r>
            <w:r w:rsidR="00DB19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193F" w:rsidRPr="00D239A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cu caracter economic</w:t>
            </w:r>
            <w:r w:rsidR="00DE52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AC6221" w:rsidRDefault="00AC6221" w:rsidP="00DB193F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Acord de </w:t>
            </w:r>
            <w:r w:rsidR="0063609A" w:rsidRPr="0063609A">
              <w:rPr>
                <w:rFonts w:ascii="Times New Roman" w:hAnsi="Times New Roman"/>
                <w:sz w:val="24"/>
                <w:szCs w:val="24"/>
                <w:lang w:eastAsia="ru-RU"/>
              </w:rPr>
              <w:t>comerț</w:t>
            </w:r>
            <w:r w:rsidRPr="00636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liber între Guvernul Republicii Moldova şi Consiliul de </w:t>
            </w:r>
            <w:r w:rsidR="0081092D" w:rsidRPr="0063609A">
              <w:rPr>
                <w:rFonts w:ascii="Times New Roman" w:hAnsi="Times New Roman"/>
                <w:sz w:val="24"/>
                <w:szCs w:val="24"/>
                <w:lang w:eastAsia="ru-RU"/>
              </w:rPr>
              <w:t>Miniștri</w:t>
            </w:r>
            <w:r w:rsidRPr="00636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al Serbiei şi Muntenegrului </w:t>
            </w:r>
            <w:r w:rsidR="00DB193F">
              <w:rPr>
                <w:rFonts w:ascii="Times New Roman" w:hAnsi="Times New Roman"/>
                <w:sz w:val="24"/>
                <w:szCs w:val="24"/>
                <w:lang w:eastAsia="ru-RU"/>
              </w:rPr>
              <w:t>(î</w:t>
            </w:r>
            <w:r w:rsidRPr="0063609A">
              <w:rPr>
                <w:rFonts w:ascii="Times New Roman" w:hAnsi="Times New Roman"/>
                <w:sz w:val="24"/>
                <w:szCs w:val="24"/>
                <w:lang w:eastAsia="ru-RU"/>
              </w:rPr>
              <w:t>n vigoar</w:t>
            </w:r>
            <w:bookmarkStart w:id="0" w:name="_GoBack"/>
            <w:bookmarkEnd w:id="0"/>
            <w:r w:rsidRPr="0063609A">
              <w:rPr>
                <w:rFonts w:ascii="Times New Roman" w:hAnsi="Times New Roman"/>
                <w:sz w:val="24"/>
                <w:szCs w:val="24"/>
                <w:lang w:eastAsia="ru-RU"/>
              </w:rPr>
              <w:t>e din 01.09.2004</w:t>
            </w:r>
            <w:r w:rsidR="00DB193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F3361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E5316" w:rsidRPr="00306F32" w:rsidRDefault="00520441" w:rsidP="008E5316">
            <w:pPr>
              <w:spacing w:before="120" w:line="240" w:lineRule="auto"/>
              <w:jc w:val="both"/>
              <w:rPr>
                <w:rFonts w:ascii="Times New Roman" w:hAnsi="Times New Roman"/>
                <w:bCs/>
                <w:noProof/>
                <w:kern w:val="32"/>
                <w:sz w:val="24"/>
                <w:szCs w:val="24"/>
                <w:lang w:eastAsia="ru-RU"/>
              </w:rPr>
            </w:pPr>
            <w:r w:rsidRPr="008E5316">
              <w:rPr>
                <w:rFonts w:ascii="Times New Roman" w:hAnsi="Times New Roman"/>
                <w:sz w:val="24"/>
                <w:szCs w:val="24"/>
                <w:lang w:eastAsia="ru-RU"/>
              </w:rPr>
              <w:t>Convenție</w:t>
            </w:r>
            <w:r w:rsidR="008E5316" w:rsidRPr="008E53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între Guvernul Republicii Moldova şi Consiliul de </w:t>
            </w:r>
            <w:r w:rsidRPr="008E5316">
              <w:rPr>
                <w:rFonts w:ascii="Times New Roman" w:hAnsi="Times New Roman"/>
                <w:sz w:val="24"/>
                <w:szCs w:val="24"/>
                <w:lang w:eastAsia="ru-RU"/>
              </w:rPr>
              <w:t>Miniștri</w:t>
            </w:r>
            <w:r w:rsidR="008E5316" w:rsidRPr="008E53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al Serbiei şi Muntenegru pentru evitarea dublei impuneri cu privire la impozitele pe venit şi pe proprietate (în vigoare din 23.05.2006)</w:t>
            </w:r>
            <w:r w:rsidR="005E5FD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F7D31" w:rsidRPr="00306F32" w:rsidRDefault="00DF7D31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F7D31" w:rsidRPr="00306F32" w:rsidTr="00864E43">
        <w:tc>
          <w:tcPr>
            <w:tcW w:w="9776" w:type="dxa"/>
            <w:shd w:val="clear" w:color="auto" w:fill="D9D9D9"/>
          </w:tcPr>
          <w:p w:rsidR="00DF7D31" w:rsidRPr="00306F32" w:rsidRDefault="00DF7D31" w:rsidP="00864E43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6F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Comisia interguvernamentală.</w:t>
            </w:r>
          </w:p>
        </w:tc>
      </w:tr>
      <w:tr w:rsidR="00DF7D31" w:rsidRPr="00306F32" w:rsidTr="00864E43">
        <w:tc>
          <w:tcPr>
            <w:tcW w:w="9776" w:type="dxa"/>
          </w:tcPr>
          <w:p w:rsidR="00DF7D31" w:rsidRPr="00306F32" w:rsidRDefault="00DF7D31" w:rsidP="006A27FD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06F32">
              <w:rPr>
                <w:rFonts w:ascii="Times New Roman" w:hAnsi="Times New Roman"/>
                <w:color w:val="000000"/>
                <w:sz w:val="24"/>
                <w:szCs w:val="24"/>
              </w:rPr>
              <w:t>Comisia mixtă nu este formată.</w:t>
            </w:r>
          </w:p>
        </w:tc>
      </w:tr>
    </w:tbl>
    <w:p w:rsidR="00DF7D31" w:rsidRPr="00306F32" w:rsidRDefault="00DF7D31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F7D31" w:rsidRPr="00306F32" w:rsidTr="00864E43">
        <w:tc>
          <w:tcPr>
            <w:tcW w:w="9776" w:type="dxa"/>
            <w:shd w:val="clear" w:color="auto" w:fill="D9D9D9"/>
          </w:tcPr>
          <w:p w:rsidR="00DF7D31" w:rsidRPr="0081092D" w:rsidRDefault="00DF7D31" w:rsidP="00864E43">
            <w:pPr>
              <w:spacing w:before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92D">
              <w:rPr>
                <w:rFonts w:ascii="Times New Roman" w:hAnsi="Times New Roman"/>
                <w:b/>
                <w:bCs/>
                <w:sz w:val="24"/>
                <w:szCs w:val="24"/>
              </w:rPr>
              <w:t>Relațiile investiționale.</w:t>
            </w:r>
          </w:p>
        </w:tc>
      </w:tr>
      <w:tr w:rsidR="00DF7D31" w:rsidRPr="00306F32" w:rsidTr="00864E43">
        <w:tc>
          <w:tcPr>
            <w:tcW w:w="9776" w:type="dxa"/>
          </w:tcPr>
          <w:p w:rsidR="00EB5A1F" w:rsidRPr="0081092D" w:rsidRDefault="00EB5A1F" w:rsidP="0081092D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092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Conform informației prezentate de Camera Înregistrării de Stat, în Republica Moldova activează </w:t>
            </w:r>
            <w:r w:rsidR="002D643A" w:rsidRPr="0081092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                    </w:t>
            </w:r>
            <w:r w:rsidR="00B164E6" w:rsidRPr="005A4E7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1 </w:t>
            </w:r>
            <w:r w:rsidR="00751B73" w:rsidRPr="005A4E7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întreprinder</w:t>
            </w:r>
            <w:r w:rsidR="0081092D" w:rsidRPr="005A4E7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e</w:t>
            </w:r>
            <w:r w:rsidR="00751B73" w:rsidRPr="0081092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cu capitalul </w:t>
            </w:r>
            <w:proofErr w:type="spellStart"/>
            <w:r w:rsidR="0081092D" w:rsidRPr="0081092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sîrb</w:t>
            </w:r>
            <w:proofErr w:type="spellEnd"/>
            <w:r w:rsidRPr="0081092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cu investiții în valoare de </w:t>
            </w:r>
            <w:r w:rsidR="0081092D" w:rsidRPr="005A4E7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2 700</w:t>
            </w:r>
            <w:r w:rsidRPr="005A4E7C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lei.</w:t>
            </w:r>
          </w:p>
        </w:tc>
      </w:tr>
    </w:tbl>
    <w:p w:rsidR="00DF7D31" w:rsidRPr="00306F32" w:rsidRDefault="00DF7D31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F7D31" w:rsidRPr="00D65E63" w:rsidTr="00864E43">
        <w:tc>
          <w:tcPr>
            <w:tcW w:w="9776" w:type="dxa"/>
            <w:shd w:val="clear" w:color="auto" w:fill="D9D9D9"/>
          </w:tcPr>
          <w:p w:rsidR="00DF7D31" w:rsidRPr="00D65E63" w:rsidRDefault="00DF7D31" w:rsidP="00864E43">
            <w:pPr>
              <w:spacing w:before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5E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Comerțul bilateral </w:t>
            </w:r>
          </w:p>
        </w:tc>
      </w:tr>
      <w:tr w:rsidR="00DF7D31" w:rsidRPr="00D65E63" w:rsidTr="00864E43">
        <w:tc>
          <w:tcPr>
            <w:tcW w:w="9776" w:type="dxa"/>
          </w:tcPr>
          <w:p w:rsidR="00D65E63" w:rsidRDefault="00D65E63" w:rsidP="00D65E63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65E63">
              <w:rPr>
                <w:rFonts w:ascii="Times New Roman" w:hAnsi="Times New Roman"/>
                <w:b/>
                <w:sz w:val="24"/>
                <w:szCs w:val="24"/>
              </w:rPr>
              <w:t>Volumul comerțului exterior</w:t>
            </w:r>
            <w:r w:rsidRPr="00D65E63">
              <w:rPr>
                <w:rFonts w:ascii="Times New Roman" w:hAnsi="Times New Roman"/>
                <w:sz w:val="24"/>
                <w:szCs w:val="24"/>
              </w:rPr>
              <w:t xml:space="preserve"> (fără a se ţine cont de activitatea comercială a agenţilor economici din raioanele de est) al Republicii Moldova cu Serbia a înregistrat, în anul 2016, suma 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D65E63">
              <w:rPr>
                <w:rFonts w:ascii="Times New Roman" w:hAnsi="Times New Roman"/>
                <w:sz w:val="24"/>
                <w:szCs w:val="24"/>
              </w:rPr>
              <w:t xml:space="preserve">21,19 mil. dolari SUA, deținând astfel o pondere de 0,35% în comerțul total al Republicii Moldova. </w:t>
            </w:r>
          </w:p>
          <w:p w:rsidR="00D65E63" w:rsidRDefault="00D65E63" w:rsidP="00D65E63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65E63">
              <w:rPr>
                <w:rFonts w:ascii="Times New Roman" w:hAnsi="Times New Roman"/>
                <w:sz w:val="24"/>
                <w:szCs w:val="24"/>
              </w:rPr>
              <w:t>Comparativ cu anul 2015, volumul comerțului exterior s-a majorat cu 15,2%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sau cu 2,79 mil. dolari SUA</w:t>
            </w:r>
            <w:r w:rsidRPr="00D65E63">
              <w:rPr>
                <w:rFonts w:ascii="Times New Roman" w:hAnsi="Times New Roman"/>
                <w:sz w:val="24"/>
                <w:szCs w:val="24"/>
              </w:rPr>
              <w:t xml:space="preserve">, urmare creșterii </w:t>
            </w:r>
            <w:proofErr w:type="spellStart"/>
            <w:r w:rsidRPr="00D65E63">
              <w:rPr>
                <w:rFonts w:ascii="Times New Roman" w:hAnsi="Times New Roman"/>
                <w:sz w:val="24"/>
                <w:szCs w:val="24"/>
              </w:rPr>
              <w:t>atît</w:t>
            </w:r>
            <w:proofErr w:type="spellEnd"/>
            <w:r w:rsidRPr="00D65E63">
              <w:rPr>
                <w:rFonts w:ascii="Times New Roman" w:hAnsi="Times New Roman"/>
                <w:sz w:val="24"/>
                <w:szCs w:val="24"/>
              </w:rPr>
              <w:t xml:space="preserve"> a exportului </w:t>
            </w:r>
            <w:proofErr w:type="spellStart"/>
            <w:r w:rsidRPr="00D65E63">
              <w:rPr>
                <w:rFonts w:ascii="Times New Roman" w:hAnsi="Times New Roman"/>
                <w:sz w:val="24"/>
                <w:szCs w:val="24"/>
              </w:rPr>
              <w:t>cît</w:t>
            </w:r>
            <w:proofErr w:type="spellEnd"/>
            <w:r w:rsidRPr="00D65E63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D65E63">
              <w:rPr>
                <w:rFonts w:ascii="Times New Roman" w:hAnsi="Times New Roman"/>
                <w:sz w:val="24"/>
                <w:szCs w:val="24"/>
              </w:rPr>
              <w:t xml:space="preserve">importului de mărfuri din/în Republica Moldova. </w:t>
            </w:r>
          </w:p>
          <w:p w:rsidR="00D65E63" w:rsidRPr="00D65E63" w:rsidRDefault="00D65E63" w:rsidP="00D65E63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65E63">
              <w:rPr>
                <w:rFonts w:ascii="Times New Roman" w:hAnsi="Times New Roman"/>
                <w:sz w:val="24"/>
                <w:szCs w:val="24"/>
              </w:rPr>
              <w:t>După valoarea volumului schimburilor comerciale înregistrat în anul 2016, Republica Serbia se situează pe locul 28 între partenerii cu care Republica Moldova întreține relaţii comerciale.</w:t>
            </w:r>
          </w:p>
          <w:p w:rsidR="00D65E63" w:rsidRPr="00D65E63" w:rsidRDefault="00D65E63" w:rsidP="00D65E63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65E63">
              <w:rPr>
                <w:rFonts w:ascii="Times New Roman" w:hAnsi="Times New Roman"/>
                <w:b/>
                <w:sz w:val="24"/>
                <w:szCs w:val="24"/>
              </w:rPr>
              <w:t>Soldul balanței comerciale</w:t>
            </w:r>
            <w:r w:rsidRPr="00D65E63">
              <w:rPr>
                <w:rFonts w:ascii="Times New Roman" w:hAnsi="Times New Roman"/>
                <w:sz w:val="24"/>
                <w:szCs w:val="24"/>
              </w:rPr>
              <w:t xml:space="preserve"> înregistrat în anul 2016 este unul negativ pentru Republica Moldova și a constituit – 13,77 mil. dolari SUA.</w:t>
            </w:r>
          </w:p>
          <w:p w:rsidR="00D65E63" w:rsidRPr="00D65E63" w:rsidRDefault="00D65E63" w:rsidP="00D65E63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65E63">
              <w:rPr>
                <w:rFonts w:ascii="Times New Roman" w:hAnsi="Times New Roman"/>
                <w:b/>
                <w:sz w:val="24"/>
                <w:szCs w:val="24"/>
              </w:rPr>
              <w:t>Exportul de mărfuri</w:t>
            </w:r>
            <w:r w:rsidRPr="00D65E63">
              <w:rPr>
                <w:rFonts w:ascii="Times New Roman" w:hAnsi="Times New Roman"/>
                <w:sz w:val="24"/>
                <w:szCs w:val="24"/>
              </w:rPr>
              <w:t xml:space="preserve"> realizat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D65E63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D65E63">
              <w:rPr>
                <w:rFonts w:ascii="Times New Roman" w:hAnsi="Times New Roman"/>
                <w:sz w:val="24"/>
                <w:szCs w:val="24"/>
              </w:rPr>
              <w:t xml:space="preserve"> înregistrat suma de 3,71 mil. dolari SUA. Comparativ cu anul 2015, volumul exportului a crescut cu 1,15 mil. dolari SUA sau cu 45%. </w:t>
            </w:r>
          </w:p>
          <w:p w:rsidR="00D65E63" w:rsidRPr="00D65E63" w:rsidRDefault="00D65E63" w:rsidP="00D65E63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65E63">
              <w:rPr>
                <w:rFonts w:ascii="Times New Roman" w:hAnsi="Times New Roman"/>
                <w:b/>
                <w:sz w:val="24"/>
                <w:szCs w:val="24"/>
              </w:rPr>
              <w:t>Principale mărfuri exportate</w:t>
            </w:r>
            <w:r w:rsidRPr="00D65E63">
              <w:rPr>
                <w:rFonts w:ascii="Times New Roman" w:hAnsi="Times New Roman"/>
                <w:sz w:val="24"/>
                <w:szCs w:val="24"/>
              </w:rPr>
              <w:t>: alcool etilic nedenaturat, damigene, sticle, baloane, borcane, căni, uleiuri din petrol sau uleiuri din minerale bituminoase, covoare si alte acoperitoare de podea din materiale textile, piei brute de bovine, etc.</w:t>
            </w:r>
          </w:p>
          <w:p w:rsidR="00D65E63" w:rsidRPr="00D65E63" w:rsidRDefault="00D65E63" w:rsidP="00D65E63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65E63">
              <w:rPr>
                <w:rFonts w:ascii="Times New Roman" w:hAnsi="Times New Roman"/>
                <w:b/>
                <w:sz w:val="24"/>
                <w:szCs w:val="24"/>
              </w:rPr>
              <w:t>Importul de mărfuri</w:t>
            </w:r>
            <w:r w:rsidRPr="00D65E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65E63">
              <w:rPr>
                <w:rFonts w:ascii="Times New Roman" w:hAnsi="Times New Roman"/>
                <w:sz w:val="24"/>
                <w:szCs w:val="24"/>
              </w:rPr>
              <w:t xml:space="preserve">efectuat în anul 2016 din Serbia în Republica Moldova a însumat </w:t>
            </w:r>
            <w:r w:rsidR="00AC1D82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D65E63">
              <w:rPr>
                <w:rFonts w:ascii="Times New Roman" w:hAnsi="Times New Roman"/>
                <w:sz w:val="24"/>
                <w:szCs w:val="24"/>
              </w:rPr>
              <w:t xml:space="preserve">17,48 mil. dolari SUA, înregistrând astfel o majorare cu 10,3% sau 1,63 mil. dolari SUA. </w:t>
            </w:r>
          </w:p>
          <w:p w:rsidR="00DF7D31" w:rsidRPr="00D65E63" w:rsidRDefault="00D65E63" w:rsidP="00D65E6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E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Principale mărfuri importate</w:t>
            </w:r>
            <w:r w:rsidRPr="00D65E63">
              <w:rPr>
                <w:rFonts w:ascii="Times New Roman" w:hAnsi="Times New Roman"/>
                <w:sz w:val="24"/>
                <w:szCs w:val="24"/>
              </w:rPr>
              <w:t xml:space="preserve">: articole nețesute, chiar impregnate, cocs de petrol, bitum de petrol, hârtii, cartoane, vata de celuloza si straturi subțiri din fibre celulozice, </w:t>
            </w:r>
            <w:proofErr w:type="spellStart"/>
            <w:r w:rsidRPr="00D65E63">
              <w:rPr>
                <w:rFonts w:ascii="Times New Roman" w:hAnsi="Times New Roman"/>
                <w:sz w:val="24"/>
                <w:szCs w:val="24"/>
              </w:rPr>
              <w:t>invelitori</w:t>
            </w:r>
            <w:proofErr w:type="spellEnd"/>
            <w:r w:rsidRPr="00D65E63">
              <w:rPr>
                <w:rFonts w:ascii="Times New Roman" w:hAnsi="Times New Roman"/>
                <w:sz w:val="24"/>
                <w:szCs w:val="24"/>
              </w:rPr>
              <w:t xml:space="preserve"> din materiale plastice pentru podele, medicamente, etc.</w:t>
            </w:r>
          </w:p>
        </w:tc>
      </w:tr>
    </w:tbl>
    <w:p w:rsidR="00EB5A1F" w:rsidRPr="00306F32" w:rsidRDefault="00EB5A1F" w:rsidP="004D0F19">
      <w:pPr>
        <w:rPr>
          <w:rFonts w:ascii="Times New Roman" w:hAnsi="Times New Roman"/>
          <w:sz w:val="24"/>
          <w:szCs w:val="24"/>
        </w:rPr>
      </w:pPr>
    </w:p>
    <w:p w:rsidR="00DF7D31" w:rsidRPr="00306F32" w:rsidRDefault="00DF7D31" w:rsidP="0024561D">
      <w:pPr>
        <w:jc w:val="right"/>
        <w:rPr>
          <w:rFonts w:ascii="Times New Roman" w:hAnsi="Times New Roman"/>
        </w:rPr>
      </w:pPr>
      <w:r w:rsidRPr="00306F32">
        <w:rPr>
          <w:rFonts w:ascii="Times New Roman" w:hAnsi="Times New Roman"/>
          <w:sz w:val="24"/>
          <w:szCs w:val="24"/>
        </w:rPr>
        <w:br w:type="page"/>
      </w:r>
      <w:r w:rsidRPr="00306F32">
        <w:rPr>
          <w:rFonts w:ascii="Times New Roman" w:hAnsi="Times New Roman"/>
        </w:rPr>
        <w:lastRenderedPageBreak/>
        <w:t>Anexa</w:t>
      </w:r>
    </w:p>
    <w:p w:rsidR="000A3718" w:rsidRPr="001044E7" w:rsidRDefault="000A3718" w:rsidP="00AC1D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AC1D82" w:rsidRPr="001044E7" w:rsidRDefault="00AC1D82" w:rsidP="00AC1D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044E7">
        <w:rPr>
          <w:rFonts w:ascii="Times New Roman" w:hAnsi="Times New Roman"/>
          <w:b/>
          <w:color w:val="000000"/>
          <w:sz w:val="26"/>
          <w:szCs w:val="26"/>
        </w:rPr>
        <w:t xml:space="preserve">NOTA INFORMATIVĂ </w:t>
      </w:r>
    </w:p>
    <w:p w:rsidR="00AC1D82" w:rsidRPr="001044E7" w:rsidRDefault="00AC1D82" w:rsidP="00AC1D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044E7">
        <w:rPr>
          <w:rFonts w:ascii="Times New Roman" w:hAnsi="Times New Roman"/>
          <w:b/>
          <w:color w:val="000000"/>
          <w:sz w:val="26"/>
          <w:szCs w:val="26"/>
        </w:rPr>
        <w:t xml:space="preserve">privind starea actuală a relaţiilor comercial-economice </w:t>
      </w:r>
    </w:p>
    <w:p w:rsidR="00AC1D82" w:rsidRPr="001044E7" w:rsidRDefault="00AC1D82" w:rsidP="00AC1D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044E7">
        <w:rPr>
          <w:rFonts w:ascii="Times New Roman" w:hAnsi="Times New Roman"/>
          <w:b/>
          <w:color w:val="000000"/>
          <w:sz w:val="26"/>
          <w:szCs w:val="26"/>
        </w:rPr>
        <w:t xml:space="preserve">între Republica Moldova şi </w:t>
      </w:r>
      <w:r w:rsidRPr="001044E7">
        <w:rPr>
          <w:rFonts w:ascii="Times New Roman" w:hAnsi="Times New Roman"/>
          <w:b/>
          <w:sz w:val="26"/>
          <w:szCs w:val="26"/>
        </w:rPr>
        <w:t xml:space="preserve">Republica Serbia </w:t>
      </w:r>
    </w:p>
    <w:p w:rsidR="00AC1D82" w:rsidRPr="001044E7" w:rsidRDefault="00AC1D82" w:rsidP="00AC1D82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044E7">
        <w:rPr>
          <w:rFonts w:ascii="Times New Roman" w:hAnsi="Times New Roman"/>
          <w:b/>
          <w:sz w:val="26"/>
          <w:szCs w:val="26"/>
          <w:lang w:eastAsia="ru-RU"/>
        </w:rPr>
        <w:t>în anul 2016</w:t>
      </w:r>
    </w:p>
    <w:p w:rsidR="00AC1D82" w:rsidRPr="001044E7" w:rsidRDefault="00AC1D82" w:rsidP="000A63D2">
      <w:pPr>
        <w:jc w:val="center"/>
        <w:rPr>
          <w:rFonts w:ascii="Times New Roman" w:hAnsi="Times New Roman"/>
          <w:sz w:val="26"/>
          <w:szCs w:val="26"/>
        </w:rPr>
      </w:pPr>
    </w:p>
    <w:p w:rsidR="00AC1D82" w:rsidRPr="001044E7" w:rsidRDefault="00AC1D82" w:rsidP="00AC1D82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1044E7">
        <w:rPr>
          <w:rFonts w:ascii="Times New Roman" w:hAnsi="Times New Roman"/>
          <w:b/>
          <w:sz w:val="26"/>
          <w:szCs w:val="26"/>
        </w:rPr>
        <w:t>Volumul comerțului exterior</w:t>
      </w:r>
      <w:r w:rsidRPr="001044E7">
        <w:rPr>
          <w:rFonts w:ascii="Times New Roman" w:hAnsi="Times New Roman"/>
          <w:sz w:val="26"/>
          <w:szCs w:val="26"/>
        </w:rPr>
        <w:t xml:space="preserve"> (fără a se ţine cont de activitatea comercială a agenţilor economici din raioanele de est) al Republicii Moldova cu Serbia a înregistrat, în anul 2016, suma de 21,19 mil. dolari SUA, deținând astfel o pondere de 0,35% în comerțul total al Republicii Moldova. </w:t>
      </w:r>
    </w:p>
    <w:p w:rsidR="00AC1D82" w:rsidRPr="001044E7" w:rsidRDefault="00AC1D82" w:rsidP="00AC1D82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1044E7">
        <w:rPr>
          <w:rFonts w:ascii="Times New Roman" w:hAnsi="Times New Roman"/>
          <w:sz w:val="26"/>
          <w:szCs w:val="26"/>
        </w:rPr>
        <w:t xml:space="preserve">Comparativ cu anul 2015, volumul comerțului exterior s-a majorat cu 15,2% sau cu </w:t>
      </w:r>
      <w:r w:rsidR="001044E7" w:rsidRPr="001044E7">
        <w:rPr>
          <w:rFonts w:ascii="Times New Roman" w:hAnsi="Times New Roman"/>
          <w:sz w:val="26"/>
          <w:szCs w:val="26"/>
        </w:rPr>
        <w:t xml:space="preserve">                 </w:t>
      </w:r>
      <w:r w:rsidRPr="001044E7">
        <w:rPr>
          <w:rFonts w:ascii="Times New Roman" w:hAnsi="Times New Roman"/>
          <w:sz w:val="26"/>
          <w:szCs w:val="26"/>
        </w:rPr>
        <w:t xml:space="preserve">2,79 mil. dolari SUA, urmare creșterii </w:t>
      </w:r>
      <w:proofErr w:type="spellStart"/>
      <w:r w:rsidRPr="001044E7">
        <w:rPr>
          <w:rFonts w:ascii="Times New Roman" w:hAnsi="Times New Roman"/>
          <w:sz w:val="26"/>
          <w:szCs w:val="26"/>
        </w:rPr>
        <w:t>atît</w:t>
      </w:r>
      <w:proofErr w:type="spellEnd"/>
      <w:r w:rsidRPr="001044E7">
        <w:rPr>
          <w:rFonts w:ascii="Times New Roman" w:hAnsi="Times New Roman"/>
          <w:sz w:val="26"/>
          <w:szCs w:val="26"/>
        </w:rPr>
        <w:t xml:space="preserve"> a exportului </w:t>
      </w:r>
      <w:proofErr w:type="spellStart"/>
      <w:r w:rsidRPr="001044E7">
        <w:rPr>
          <w:rFonts w:ascii="Times New Roman" w:hAnsi="Times New Roman"/>
          <w:sz w:val="26"/>
          <w:szCs w:val="26"/>
        </w:rPr>
        <w:t>cît</w:t>
      </w:r>
      <w:proofErr w:type="spellEnd"/>
      <w:r w:rsidRPr="001044E7">
        <w:rPr>
          <w:rFonts w:ascii="Times New Roman" w:hAnsi="Times New Roman"/>
          <w:sz w:val="26"/>
          <w:szCs w:val="26"/>
        </w:rPr>
        <w:t xml:space="preserve"> și a importului de mărfuri din/în Republica Moldova. </w:t>
      </w:r>
    </w:p>
    <w:p w:rsidR="00AC1D82" w:rsidRPr="001044E7" w:rsidRDefault="00AC1D82" w:rsidP="00AC1D82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1044E7">
        <w:rPr>
          <w:rFonts w:ascii="Times New Roman" w:hAnsi="Times New Roman"/>
          <w:sz w:val="26"/>
          <w:szCs w:val="26"/>
        </w:rPr>
        <w:t>După valoarea volumului schimburilor comerciale înregistrat în anul 2016, Republica Serbia se situează pe locul 28 între partenerii cu care Republica Moldova întreține relaţii comerciale.</w:t>
      </w:r>
    </w:p>
    <w:p w:rsidR="00AC1D82" w:rsidRPr="001044E7" w:rsidRDefault="00AC1D82" w:rsidP="00AC1D82">
      <w:pPr>
        <w:spacing w:before="120" w:line="240" w:lineRule="auto"/>
        <w:jc w:val="both"/>
        <w:outlineLvl w:val="2"/>
        <w:rPr>
          <w:rFonts w:ascii="Times New Roman" w:hAnsi="Times New Roman"/>
          <w:b/>
          <w:sz w:val="26"/>
          <w:szCs w:val="26"/>
        </w:rPr>
      </w:pPr>
      <w:r w:rsidRPr="001044E7">
        <w:rPr>
          <w:rFonts w:ascii="Times New Roman" w:hAnsi="Times New Roman"/>
          <w:b/>
          <w:sz w:val="26"/>
          <w:szCs w:val="26"/>
        </w:rPr>
        <w:t>Soldul balanței comerciale</w:t>
      </w:r>
      <w:r w:rsidRPr="001044E7">
        <w:rPr>
          <w:rFonts w:ascii="Times New Roman" w:hAnsi="Times New Roman"/>
          <w:sz w:val="26"/>
          <w:szCs w:val="26"/>
        </w:rPr>
        <w:t xml:space="preserve"> înregistrat în anul 2016 este unul negativ pentru Republica Moldova și a constituit – 13,77 mil. dolari SUA.</w:t>
      </w:r>
    </w:p>
    <w:p w:rsidR="00AC1D82" w:rsidRPr="001044E7" w:rsidRDefault="00AC1D82" w:rsidP="00AC1D82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1044E7">
        <w:rPr>
          <w:rFonts w:ascii="Times New Roman" w:hAnsi="Times New Roman"/>
          <w:b/>
          <w:sz w:val="26"/>
          <w:szCs w:val="26"/>
        </w:rPr>
        <w:t>Exportul de mărfuri</w:t>
      </w:r>
      <w:r w:rsidRPr="001044E7">
        <w:rPr>
          <w:rFonts w:ascii="Times New Roman" w:hAnsi="Times New Roman"/>
          <w:sz w:val="26"/>
          <w:szCs w:val="26"/>
        </w:rPr>
        <w:t xml:space="preserve"> realizat în anul </w:t>
      </w:r>
      <w:smartTag w:uri="urn:schemas-microsoft-com:office:smarttags" w:element="metricconverter">
        <w:smartTagPr>
          <w:attr w:name="ProductID" w:val="2016 a"/>
        </w:smartTagPr>
        <w:r w:rsidRPr="001044E7">
          <w:rPr>
            <w:rFonts w:ascii="Times New Roman" w:hAnsi="Times New Roman"/>
            <w:sz w:val="26"/>
            <w:szCs w:val="26"/>
          </w:rPr>
          <w:t>2016 a</w:t>
        </w:r>
      </w:smartTag>
      <w:r w:rsidRPr="001044E7">
        <w:rPr>
          <w:rFonts w:ascii="Times New Roman" w:hAnsi="Times New Roman"/>
          <w:sz w:val="26"/>
          <w:szCs w:val="26"/>
        </w:rPr>
        <w:t xml:space="preserve"> înregistrat suma de 3,71 mil. dolari SUA. Comparativ cu anul 2015, volumul exportului a crescut cu 1,15 mil. dolari SUA sau cu 45%. </w:t>
      </w:r>
    </w:p>
    <w:p w:rsidR="00AC1D82" w:rsidRPr="001044E7" w:rsidRDefault="00AC1D82" w:rsidP="00AC1D82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1044E7">
        <w:rPr>
          <w:rFonts w:ascii="Times New Roman" w:hAnsi="Times New Roman"/>
          <w:b/>
          <w:sz w:val="26"/>
          <w:szCs w:val="26"/>
        </w:rPr>
        <w:t>Principale mărfuri exportate</w:t>
      </w:r>
      <w:r w:rsidRPr="001044E7">
        <w:rPr>
          <w:rFonts w:ascii="Times New Roman" w:hAnsi="Times New Roman"/>
          <w:sz w:val="26"/>
          <w:szCs w:val="26"/>
        </w:rPr>
        <w:t>: alcool etilic nedenaturat, damigene, sticle, baloane, borcane, căni, uleiuri din petrol sau uleiuri din minerale bituminoase, covoare si alte acoperitoare de podea din materiale textile, piei brute de bovine, etc.</w:t>
      </w:r>
    </w:p>
    <w:p w:rsidR="00AC1D82" w:rsidRPr="001044E7" w:rsidRDefault="00AC1D82" w:rsidP="00AC1D82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1044E7">
        <w:rPr>
          <w:rFonts w:ascii="Times New Roman" w:hAnsi="Times New Roman"/>
          <w:b/>
          <w:sz w:val="26"/>
          <w:szCs w:val="26"/>
        </w:rPr>
        <w:t>Importul de mărfuri</w:t>
      </w:r>
      <w:r w:rsidRPr="001044E7">
        <w:rPr>
          <w:rFonts w:ascii="Times New Roman" w:hAnsi="Times New Roman"/>
          <w:i/>
          <w:sz w:val="26"/>
          <w:szCs w:val="26"/>
        </w:rPr>
        <w:t xml:space="preserve"> </w:t>
      </w:r>
      <w:r w:rsidRPr="001044E7">
        <w:rPr>
          <w:rFonts w:ascii="Times New Roman" w:hAnsi="Times New Roman"/>
          <w:sz w:val="26"/>
          <w:szCs w:val="26"/>
        </w:rPr>
        <w:t xml:space="preserve">efectuat în anul 2016 din Serbia în Republica Moldova a însumat                              17,48 mil. dolari SUA, înregistrând astfel o majorare cu 10,3% sau 1,63 mil. dolari SUA. </w:t>
      </w:r>
    </w:p>
    <w:p w:rsidR="00EB5A1F" w:rsidRPr="001044E7" w:rsidRDefault="00AC1D82" w:rsidP="00AC1D82">
      <w:pPr>
        <w:spacing w:before="120" w:after="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1044E7">
        <w:rPr>
          <w:rFonts w:ascii="Times New Roman" w:hAnsi="Times New Roman"/>
          <w:b/>
          <w:sz w:val="26"/>
          <w:szCs w:val="26"/>
        </w:rPr>
        <w:t>Principale mărfuri importate</w:t>
      </w:r>
      <w:r w:rsidRPr="001044E7">
        <w:rPr>
          <w:rFonts w:ascii="Times New Roman" w:hAnsi="Times New Roman"/>
          <w:sz w:val="26"/>
          <w:szCs w:val="26"/>
        </w:rPr>
        <w:t xml:space="preserve">: articole nețesute, chiar impregnate, cocs de petrol, bitum de petrol, hârtii, cartoane, vata de celuloza si straturi subțiri din fibre celulozice, </w:t>
      </w:r>
      <w:proofErr w:type="spellStart"/>
      <w:r w:rsidRPr="001044E7">
        <w:rPr>
          <w:rFonts w:ascii="Times New Roman" w:hAnsi="Times New Roman"/>
          <w:sz w:val="26"/>
          <w:szCs w:val="26"/>
        </w:rPr>
        <w:t>invelitori</w:t>
      </w:r>
      <w:proofErr w:type="spellEnd"/>
      <w:r w:rsidRPr="001044E7">
        <w:rPr>
          <w:rFonts w:ascii="Times New Roman" w:hAnsi="Times New Roman"/>
          <w:sz w:val="26"/>
          <w:szCs w:val="26"/>
        </w:rPr>
        <w:t xml:space="preserve"> din materiale plastice pentru podele, medicamente, etc.</w:t>
      </w:r>
    </w:p>
    <w:p w:rsidR="00AC1D82" w:rsidRPr="001044E7" w:rsidRDefault="00AC1D82" w:rsidP="00AC1D82">
      <w:pPr>
        <w:spacing w:before="120" w:after="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EB5A1F" w:rsidRPr="001044E7" w:rsidRDefault="0083478B" w:rsidP="0083478B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044E7">
        <w:rPr>
          <w:rFonts w:ascii="Times New Roman" w:hAnsi="Times New Roman"/>
          <w:b/>
          <w:bCs/>
          <w:sz w:val="26"/>
          <w:szCs w:val="26"/>
        </w:rPr>
        <w:t>Evoluția</w:t>
      </w:r>
      <w:r w:rsidR="00EB5A1F" w:rsidRPr="001044E7">
        <w:rPr>
          <w:rFonts w:ascii="Times New Roman" w:hAnsi="Times New Roman"/>
          <w:b/>
          <w:bCs/>
          <w:sz w:val="26"/>
          <w:szCs w:val="26"/>
        </w:rPr>
        <w:t xml:space="preserve"> schimburilor comerciale </w:t>
      </w:r>
    </w:p>
    <w:p w:rsidR="0063609A" w:rsidRPr="001044E7" w:rsidRDefault="0063609A" w:rsidP="0083478B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044E7">
        <w:rPr>
          <w:rFonts w:ascii="Times New Roman" w:hAnsi="Times New Roman"/>
          <w:b/>
          <w:sz w:val="26"/>
          <w:szCs w:val="26"/>
          <w:lang w:eastAsia="ru-RU"/>
        </w:rPr>
        <w:t>între Republica Moldova şi Republica Serbia</w:t>
      </w:r>
    </w:p>
    <w:p w:rsidR="00EB5A1F" w:rsidRPr="00306F32" w:rsidRDefault="0083478B" w:rsidP="00146A98">
      <w:pPr>
        <w:spacing w:after="0"/>
        <w:ind w:left="7655"/>
        <w:rPr>
          <w:rFonts w:ascii="Times New Roman" w:hAnsi="Times New Roman"/>
          <w:b/>
          <w:bCs/>
        </w:rPr>
      </w:pPr>
      <w:r w:rsidRPr="0083478B">
        <w:rPr>
          <w:rFonts w:ascii="Times New Roman" w:hAnsi="Times New Roman"/>
          <w:i/>
        </w:rPr>
        <w:t xml:space="preserve">       </w:t>
      </w:r>
      <w:r w:rsidR="00EB5A1F" w:rsidRPr="00306F32">
        <w:rPr>
          <w:rFonts w:ascii="Times New Roman" w:hAnsi="Times New Roman"/>
          <w:i/>
          <w:u w:val="single"/>
        </w:rPr>
        <w:t xml:space="preserve">mil. USD </w:t>
      </w:r>
    </w:p>
    <w:tbl>
      <w:tblPr>
        <w:tblW w:w="84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77"/>
        <w:gridCol w:w="1701"/>
        <w:gridCol w:w="1843"/>
        <w:gridCol w:w="1741"/>
        <w:gridCol w:w="1761"/>
      </w:tblGrid>
      <w:tr w:rsidR="00EB5A1F" w:rsidRPr="00306F32" w:rsidTr="00EC5D39">
        <w:trPr>
          <w:jc w:val="center"/>
        </w:trPr>
        <w:tc>
          <w:tcPr>
            <w:tcW w:w="1377" w:type="dxa"/>
            <w:vAlign w:val="center"/>
          </w:tcPr>
          <w:p w:rsidR="00EB5A1F" w:rsidRPr="00306F32" w:rsidRDefault="00EB5A1F" w:rsidP="00146A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5A1F" w:rsidRPr="00306F32" w:rsidRDefault="00EB5A1F" w:rsidP="00146A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F32">
              <w:rPr>
                <w:rFonts w:ascii="Times New Roman" w:hAnsi="Times New Roman"/>
                <w:b/>
                <w:i/>
                <w:sz w:val="24"/>
                <w:szCs w:val="24"/>
              </w:rPr>
              <w:t>Anul 201</w:t>
            </w:r>
            <w:r w:rsidR="0083478B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EB5A1F" w:rsidRPr="00306F32" w:rsidRDefault="00EB5A1F" w:rsidP="00146A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F32">
              <w:rPr>
                <w:rFonts w:ascii="Times New Roman" w:hAnsi="Times New Roman"/>
                <w:b/>
                <w:i/>
                <w:sz w:val="24"/>
                <w:szCs w:val="24"/>
              </w:rPr>
              <w:t>Anul 201</w:t>
            </w:r>
            <w:r w:rsidR="0083478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41" w:type="dxa"/>
            <w:shd w:val="clear" w:color="auto" w:fill="E0E0E0"/>
            <w:vAlign w:val="center"/>
          </w:tcPr>
          <w:p w:rsidR="00EB5A1F" w:rsidRPr="00306F32" w:rsidRDefault="00EB5A1F" w:rsidP="00146A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F32">
              <w:rPr>
                <w:rFonts w:ascii="Times New Roman" w:hAnsi="Times New Roman"/>
                <w:b/>
                <w:i/>
                <w:sz w:val="24"/>
                <w:szCs w:val="24"/>
              </w:rPr>
              <w:t>Anul 201</w:t>
            </w:r>
            <w:r w:rsidR="0083478B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761" w:type="dxa"/>
            <w:vAlign w:val="center"/>
          </w:tcPr>
          <w:p w:rsidR="00EB5A1F" w:rsidRPr="00306F32" w:rsidRDefault="00EB5A1F" w:rsidP="00146A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F32">
              <w:rPr>
                <w:rFonts w:ascii="Times New Roman" w:hAnsi="Times New Roman"/>
                <w:b/>
                <w:i/>
                <w:sz w:val="24"/>
                <w:szCs w:val="24"/>
              </w:rPr>
              <w:t>Dinamica</w:t>
            </w:r>
            <w:r w:rsidR="00146A98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:rsidR="00EB5A1F" w:rsidRPr="00306F32" w:rsidRDefault="00EB5A1F" w:rsidP="00146A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F32">
              <w:rPr>
                <w:rFonts w:ascii="Times New Roman" w:hAnsi="Times New Roman"/>
                <w:b/>
                <w:i/>
                <w:sz w:val="24"/>
                <w:szCs w:val="24"/>
              </w:rPr>
              <w:t>201</w:t>
            </w:r>
            <w:r w:rsidR="0083478B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Pr="00306F32">
              <w:rPr>
                <w:rFonts w:ascii="Times New Roman" w:hAnsi="Times New Roman"/>
                <w:b/>
                <w:i/>
                <w:sz w:val="24"/>
                <w:szCs w:val="24"/>
              </w:rPr>
              <w:t>/201</w:t>
            </w:r>
            <w:r w:rsidR="0083478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83478B" w:rsidRPr="00306F32" w:rsidTr="00EC5D39">
        <w:trPr>
          <w:jc w:val="center"/>
        </w:trPr>
        <w:tc>
          <w:tcPr>
            <w:tcW w:w="1377" w:type="dxa"/>
          </w:tcPr>
          <w:p w:rsidR="0083478B" w:rsidRPr="00306F32" w:rsidRDefault="0083478B" w:rsidP="00146A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F32">
              <w:rPr>
                <w:rFonts w:ascii="Times New Roman" w:hAnsi="Times New Roman"/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701" w:type="dxa"/>
            <w:vAlign w:val="bottom"/>
          </w:tcPr>
          <w:p w:rsidR="0083478B" w:rsidRPr="00306F32" w:rsidRDefault="0063609A" w:rsidP="00146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23,38</w:t>
            </w:r>
          </w:p>
        </w:tc>
        <w:tc>
          <w:tcPr>
            <w:tcW w:w="1843" w:type="dxa"/>
            <w:vAlign w:val="bottom"/>
          </w:tcPr>
          <w:p w:rsidR="0083478B" w:rsidRPr="006164A2" w:rsidRDefault="006164A2" w:rsidP="00616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4A2">
              <w:rPr>
                <w:rFonts w:ascii="Times New Roman" w:hAnsi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  <w:shd w:val="clear" w:color="auto" w:fill="E0E0E0"/>
            <w:vAlign w:val="bottom"/>
          </w:tcPr>
          <w:p w:rsidR="0083478B" w:rsidRPr="006164A2" w:rsidRDefault="006164A2" w:rsidP="00146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21,19</w:t>
            </w:r>
          </w:p>
        </w:tc>
        <w:tc>
          <w:tcPr>
            <w:tcW w:w="1761" w:type="dxa"/>
            <w:vAlign w:val="bottom"/>
          </w:tcPr>
          <w:p w:rsidR="0083478B" w:rsidRPr="006164A2" w:rsidRDefault="006164A2" w:rsidP="00616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115,2</w:t>
            </w:r>
          </w:p>
        </w:tc>
      </w:tr>
      <w:tr w:rsidR="0083478B" w:rsidRPr="00306F32" w:rsidTr="00EC5D39">
        <w:trPr>
          <w:trHeight w:val="338"/>
          <w:jc w:val="center"/>
        </w:trPr>
        <w:tc>
          <w:tcPr>
            <w:tcW w:w="1377" w:type="dxa"/>
          </w:tcPr>
          <w:p w:rsidR="0083478B" w:rsidRPr="00306F32" w:rsidRDefault="0083478B" w:rsidP="00146A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F32">
              <w:rPr>
                <w:rFonts w:ascii="Times New Roman" w:hAnsi="Times New Roman"/>
                <w:b/>
                <w:i/>
                <w:sz w:val="24"/>
                <w:szCs w:val="24"/>
              </w:rPr>
              <w:t>Export</w:t>
            </w:r>
          </w:p>
        </w:tc>
        <w:tc>
          <w:tcPr>
            <w:tcW w:w="1701" w:type="dxa"/>
            <w:vAlign w:val="center"/>
          </w:tcPr>
          <w:p w:rsidR="0083478B" w:rsidRPr="00306F32" w:rsidRDefault="0063609A" w:rsidP="00146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2,34</w:t>
            </w:r>
          </w:p>
        </w:tc>
        <w:tc>
          <w:tcPr>
            <w:tcW w:w="1843" w:type="dxa"/>
            <w:vAlign w:val="center"/>
          </w:tcPr>
          <w:p w:rsidR="0083478B" w:rsidRPr="006164A2" w:rsidRDefault="006164A2" w:rsidP="00146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4A2">
              <w:rPr>
                <w:rFonts w:ascii="Times New Roman" w:hAnsi="Times New Roman"/>
                <w:bCs/>
                <w:sz w:val="24"/>
                <w:szCs w:val="24"/>
              </w:rPr>
              <w:t>2,56</w:t>
            </w:r>
          </w:p>
        </w:tc>
        <w:tc>
          <w:tcPr>
            <w:tcW w:w="1741" w:type="dxa"/>
            <w:shd w:val="clear" w:color="auto" w:fill="E0E0E0"/>
            <w:vAlign w:val="center"/>
          </w:tcPr>
          <w:p w:rsidR="0083478B" w:rsidRPr="006164A2" w:rsidRDefault="006164A2" w:rsidP="00146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3,71</w:t>
            </w:r>
          </w:p>
        </w:tc>
        <w:tc>
          <w:tcPr>
            <w:tcW w:w="1761" w:type="dxa"/>
            <w:vAlign w:val="bottom"/>
          </w:tcPr>
          <w:p w:rsidR="0083478B" w:rsidRPr="006164A2" w:rsidRDefault="006164A2" w:rsidP="00146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</w:tr>
      <w:tr w:rsidR="0083478B" w:rsidRPr="00306F32" w:rsidTr="00EC5D39">
        <w:trPr>
          <w:trHeight w:val="338"/>
          <w:jc w:val="center"/>
        </w:trPr>
        <w:tc>
          <w:tcPr>
            <w:tcW w:w="1377" w:type="dxa"/>
          </w:tcPr>
          <w:p w:rsidR="0083478B" w:rsidRPr="00306F32" w:rsidRDefault="0083478B" w:rsidP="00146A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F3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Import </w:t>
            </w:r>
          </w:p>
        </w:tc>
        <w:tc>
          <w:tcPr>
            <w:tcW w:w="1701" w:type="dxa"/>
            <w:vAlign w:val="center"/>
          </w:tcPr>
          <w:p w:rsidR="0083478B" w:rsidRPr="00306F32" w:rsidRDefault="0063609A" w:rsidP="00146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21,04</w:t>
            </w:r>
          </w:p>
        </w:tc>
        <w:tc>
          <w:tcPr>
            <w:tcW w:w="1843" w:type="dxa"/>
            <w:vAlign w:val="center"/>
          </w:tcPr>
          <w:p w:rsidR="0083478B" w:rsidRPr="006164A2" w:rsidRDefault="006164A2" w:rsidP="00146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4A2">
              <w:rPr>
                <w:rFonts w:ascii="Times New Roman" w:hAnsi="Times New Roman"/>
                <w:bCs/>
                <w:sz w:val="24"/>
                <w:szCs w:val="24"/>
              </w:rPr>
              <w:t>15,84</w:t>
            </w:r>
          </w:p>
        </w:tc>
        <w:tc>
          <w:tcPr>
            <w:tcW w:w="1741" w:type="dxa"/>
            <w:shd w:val="clear" w:color="auto" w:fill="E0E0E0"/>
            <w:vAlign w:val="center"/>
          </w:tcPr>
          <w:p w:rsidR="0083478B" w:rsidRPr="006164A2" w:rsidRDefault="006164A2" w:rsidP="00146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17,48</w:t>
            </w:r>
          </w:p>
        </w:tc>
        <w:tc>
          <w:tcPr>
            <w:tcW w:w="1761" w:type="dxa"/>
            <w:vAlign w:val="bottom"/>
          </w:tcPr>
          <w:p w:rsidR="0083478B" w:rsidRPr="006164A2" w:rsidRDefault="006164A2" w:rsidP="00146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</w:tr>
      <w:tr w:rsidR="0083478B" w:rsidRPr="00306F32" w:rsidTr="00EC5D39">
        <w:trPr>
          <w:trHeight w:val="193"/>
          <w:jc w:val="center"/>
        </w:trPr>
        <w:tc>
          <w:tcPr>
            <w:tcW w:w="1377" w:type="dxa"/>
          </w:tcPr>
          <w:p w:rsidR="0083478B" w:rsidRPr="00306F32" w:rsidRDefault="0083478B" w:rsidP="00146A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6F3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Sold </w:t>
            </w:r>
          </w:p>
        </w:tc>
        <w:tc>
          <w:tcPr>
            <w:tcW w:w="1701" w:type="dxa"/>
            <w:vAlign w:val="bottom"/>
          </w:tcPr>
          <w:p w:rsidR="0083478B" w:rsidRPr="00306F32" w:rsidRDefault="0063609A" w:rsidP="00146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-18,7</w:t>
            </w:r>
          </w:p>
        </w:tc>
        <w:tc>
          <w:tcPr>
            <w:tcW w:w="1843" w:type="dxa"/>
            <w:vAlign w:val="bottom"/>
          </w:tcPr>
          <w:p w:rsidR="0083478B" w:rsidRPr="006164A2" w:rsidRDefault="006164A2" w:rsidP="00616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4A2">
              <w:rPr>
                <w:rFonts w:ascii="Times New Roman" w:hAnsi="Times New Roman"/>
                <w:sz w:val="24"/>
                <w:szCs w:val="24"/>
              </w:rPr>
              <w:t>-13,2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  <w:shd w:val="clear" w:color="auto" w:fill="E0E0E0"/>
            <w:vAlign w:val="bottom"/>
          </w:tcPr>
          <w:p w:rsidR="0083478B" w:rsidRPr="006164A2" w:rsidRDefault="006164A2" w:rsidP="002D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-13,77</w:t>
            </w:r>
          </w:p>
        </w:tc>
        <w:tc>
          <w:tcPr>
            <w:tcW w:w="1761" w:type="dxa"/>
            <w:vAlign w:val="bottom"/>
          </w:tcPr>
          <w:p w:rsidR="0083478B" w:rsidRPr="006164A2" w:rsidRDefault="0083478B" w:rsidP="00146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5A1F" w:rsidRDefault="00EB5A1F" w:rsidP="002D643A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AC1D82" w:rsidRDefault="00AC1D82" w:rsidP="002D643A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B84B3F" w:rsidRDefault="00B84B3F" w:rsidP="00EB5A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5A1F" w:rsidRPr="001044E7" w:rsidRDefault="00EB5A1F" w:rsidP="00EB5A1F">
      <w:pPr>
        <w:jc w:val="center"/>
        <w:rPr>
          <w:rFonts w:ascii="Times New Roman" w:hAnsi="Times New Roman"/>
          <w:b/>
          <w:sz w:val="26"/>
          <w:szCs w:val="26"/>
        </w:rPr>
      </w:pPr>
      <w:r w:rsidRPr="001044E7">
        <w:rPr>
          <w:rFonts w:ascii="Times New Roman" w:hAnsi="Times New Roman"/>
          <w:b/>
          <w:sz w:val="26"/>
          <w:szCs w:val="26"/>
        </w:rPr>
        <w:t>Principalele mărfuri exportate în anul 201</w:t>
      </w:r>
      <w:r w:rsidR="002D643A" w:rsidRPr="001044E7">
        <w:rPr>
          <w:rFonts w:ascii="Times New Roman" w:hAnsi="Times New Roman"/>
          <w:b/>
          <w:sz w:val="26"/>
          <w:szCs w:val="26"/>
        </w:rPr>
        <w:t>6</w:t>
      </w:r>
      <w:r w:rsidRPr="001044E7">
        <w:rPr>
          <w:rFonts w:ascii="Times New Roman" w:hAnsi="Times New Roman"/>
          <w:b/>
          <w:sz w:val="26"/>
          <w:szCs w:val="26"/>
        </w:rPr>
        <w:t xml:space="preserve"> </w:t>
      </w:r>
      <w:r w:rsidRPr="001044E7">
        <w:rPr>
          <w:rFonts w:ascii="Times New Roman" w:hAnsi="Times New Roman"/>
          <w:sz w:val="26"/>
          <w:szCs w:val="26"/>
        </w:rPr>
        <w:t>(mii</w:t>
      </w:r>
      <w:r w:rsidRPr="001044E7">
        <w:rPr>
          <w:rFonts w:ascii="Times New Roman" w:hAnsi="Times New Roman"/>
          <w:b/>
          <w:sz w:val="26"/>
          <w:szCs w:val="26"/>
        </w:rPr>
        <w:t xml:space="preserve"> </w:t>
      </w:r>
      <w:r w:rsidR="002D643A" w:rsidRPr="001044E7">
        <w:rPr>
          <w:rFonts w:ascii="Times New Roman" w:hAnsi="Times New Roman"/>
          <w:sz w:val="26"/>
          <w:szCs w:val="26"/>
        </w:rPr>
        <w:t>dolari SUA</w:t>
      </w:r>
      <w:r w:rsidRPr="001044E7">
        <w:rPr>
          <w:rFonts w:ascii="Times New Roman" w:hAnsi="Times New Roman"/>
          <w:b/>
          <w:sz w:val="26"/>
          <w:szCs w:val="26"/>
        </w:rPr>
        <w:t>)</w:t>
      </w: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86"/>
        <w:gridCol w:w="993"/>
        <w:gridCol w:w="850"/>
        <w:gridCol w:w="851"/>
        <w:gridCol w:w="1134"/>
        <w:gridCol w:w="992"/>
      </w:tblGrid>
      <w:tr w:rsidR="00D07837" w:rsidRPr="00306F32" w:rsidTr="00D5061C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8D2127" w:rsidRPr="008D2127" w:rsidRDefault="008D2127" w:rsidP="00EC5D39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4386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8D2127" w:rsidRPr="008D2127" w:rsidRDefault="008D2127" w:rsidP="008D212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D2127" w:rsidRPr="00306F32" w:rsidRDefault="008D2127" w:rsidP="008D21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06F32">
              <w:rPr>
                <w:rFonts w:ascii="Times New Roman" w:hAnsi="Times New Roman"/>
                <w:b/>
                <w:i/>
              </w:rPr>
              <w:t>2014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D2127" w:rsidRPr="00306F32" w:rsidRDefault="008D2127" w:rsidP="008D21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06F32">
              <w:rPr>
                <w:rFonts w:ascii="Times New Roman" w:hAnsi="Times New Roman"/>
                <w:b/>
                <w:i/>
              </w:rPr>
              <w:t>2015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D2127" w:rsidRPr="00306F32" w:rsidRDefault="008D2127" w:rsidP="008D21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2016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D2127" w:rsidRPr="00306F32" w:rsidRDefault="008D2127" w:rsidP="008D21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06F32">
              <w:rPr>
                <w:rFonts w:ascii="Times New Roman" w:hAnsi="Times New Roman"/>
                <w:b/>
                <w:i/>
              </w:rPr>
              <w:t>Dinamica</w:t>
            </w:r>
          </w:p>
          <w:p w:rsidR="008D2127" w:rsidRDefault="008D2127" w:rsidP="008D21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06F32">
              <w:rPr>
                <w:rFonts w:ascii="Times New Roman" w:hAnsi="Times New Roman"/>
                <w:b/>
                <w:i/>
              </w:rPr>
              <w:t>201</w:t>
            </w:r>
            <w:r>
              <w:rPr>
                <w:rFonts w:ascii="Times New Roman" w:hAnsi="Times New Roman"/>
                <w:b/>
                <w:i/>
              </w:rPr>
              <w:t>6</w:t>
            </w:r>
            <w:r w:rsidRPr="00306F32">
              <w:rPr>
                <w:rFonts w:ascii="Times New Roman" w:hAnsi="Times New Roman"/>
                <w:b/>
                <w:i/>
              </w:rPr>
              <w:t>/201</w:t>
            </w:r>
            <w:r>
              <w:rPr>
                <w:rFonts w:ascii="Times New Roman" w:hAnsi="Times New Roman"/>
                <w:b/>
                <w:i/>
              </w:rPr>
              <w:t>5,</w:t>
            </w:r>
          </w:p>
          <w:p w:rsidR="008D2127" w:rsidRPr="00306F32" w:rsidRDefault="008D2127" w:rsidP="008D21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06F32">
              <w:rPr>
                <w:rFonts w:ascii="Times New Roman" w:hAnsi="Times New Roman"/>
                <w:b/>
                <w:i/>
              </w:rPr>
              <w:t>%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D2127" w:rsidRPr="00306F32" w:rsidRDefault="008D2127" w:rsidP="008D21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06F32">
              <w:rPr>
                <w:rFonts w:ascii="Times New Roman" w:hAnsi="Times New Roman"/>
                <w:b/>
                <w:i/>
              </w:rPr>
              <w:t>Ponderea în total export</w:t>
            </w:r>
          </w:p>
        </w:tc>
      </w:tr>
      <w:tr w:rsidR="008D2127" w:rsidRPr="00306F32" w:rsidTr="00D5061C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8D2127" w:rsidRPr="008D2127" w:rsidRDefault="008D2127" w:rsidP="00F43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86" w:type="dxa"/>
          </w:tcPr>
          <w:p w:rsidR="008D2127" w:rsidRPr="008D2127" w:rsidRDefault="008D2127" w:rsidP="00F436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D2127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2127" w:rsidRPr="008D2127" w:rsidRDefault="00426E4D" w:rsidP="00F436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823D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339,53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D2127" w:rsidRPr="008D2127" w:rsidRDefault="00426E4D" w:rsidP="00F436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823D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555,66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D2127" w:rsidRPr="008D2127" w:rsidRDefault="00426E4D" w:rsidP="00F436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A823D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706,95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2127" w:rsidRPr="008D2127" w:rsidRDefault="00426E4D" w:rsidP="00F436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127" w:rsidRPr="008D2127" w:rsidRDefault="008D2127" w:rsidP="00F436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</w:tr>
      <w:tr w:rsidR="00426E4D" w:rsidRPr="00A823D1" w:rsidTr="00D5061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2207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 xml:space="preserve">Alcool etilic nedenaturat cu </w:t>
            </w:r>
            <w:r w:rsidR="00A823D1" w:rsidRPr="00426E4D">
              <w:rPr>
                <w:rFonts w:ascii="Times New Roman" w:hAnsi="Times New Roman"/>
                <w:bCs/>
              </w:rPr>
              <w:t>tărie</w:t>
            </w:r>
            <w:r w:rsidRPr="00426E4D">
              <w:rPr>
                <w:rFonts w:ascii="Times New Roman" w:hAnsi="Times New Roman"/>
                <w:bCs/>
              </w:rPr>
              <w:t xml:space="preserve"> alcoolica de minimum 80% vol</w:t>
            </w:r>
            <w:r w:rsidR="00A823D1">
              <w:rPr>
                <w:rFonts w:ascii="Times New Roman" w:hAnsi="Times New Roman"/>
                <w:bCs/>
              </w:rPr>
              <w:t>.</w:t>
            </w:r>
            <w:r w:rsidRPr="00426E4D">
              <w:rPr>
                <w:rFonts w:ascii="Times New Roman" w:hAnsi="Times New Roman"/>
                <w:bCs/>
              </w:rPr>
              <w:t xml:space="preserve">; alcool etilic si alte distilate denaturate, cu orice </w:t>
            </w:r>
            <w:r w:rsidR="00A823D1" w:rsidRPr="00426E4D">
              <w:rPr>
                <w:rFonts w:ascii="Times New Roman" w:hAnsi="Times New Roman"/>
                <w:bCs/>
              </w:rPr>
              <w:t>tărie</w:t>
            </w:r>
            <w:r w:rsidRPr="00426E4D">
              <w:rPr>
                <w:rFonts w:ascii="Times New Roman" w:hAnsi="Times New Roman"/>
                <w:bCs/>
              </w:rPr>
              <w:t xml:space="preserve"> alcoolica: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A823D1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26E4D" w:rsidRPr="00426E4D" w:rsidRDefault="00A823D1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1 320,38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A823D1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35,6</w:t>
            </w:r>
          </w:p>
        </w:tc>
      </w:tr>
      <w:tr w:rsidR="00426E4D" w:rsidRPr="00426E4D" w:rsidTr="00D5061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7010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 xml:space="preserve">Damigene, sticle, baloane, borcane, </w:t>
            </w:r>
            <w:r w:rsidR="00A823D1" w:rsidRPr="00426E4D">
              <w:rPr>
                <w:rFonts w:ascii="Times New Roman" w:hAnsi="Times New Roman"/>
                <w:bCs/>
              </w:rPr>
              <w:t>căni</w:t>
            </w:r>
            <w:r w:rsidRPr="00426E4D">
              <w:rPr>
                <w:rFonts w:ascii="Times New Roman" w:hAnsi="Times New Roman"/>
                <w:bCs/>
              </w:rPr>
              <w:t xml:space="preserve">, ambalaje tubulare, fiole si alte recipiente, din sticla, folosite pentru transport sau ambalare; recipiente din sticla pentru conserve; dopuri, capace si alte dispozitive de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inchidere</w:t>
            </w:r>
            <w:proofErr w:type="spellEnd"/>
            <w:r w:rsidRPr="00426E4D">
              <w:rPr>
                <w:rFonts w:ascii="Times New Roman" w:hAnsi="Times New Roman"/>
                <w:bCs/>
              </w:rPr>
              <w:t>, din sticla: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289,24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258,78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530,36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204,95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14,3</w:t>
            </w:r>
          </w:p>
        </w:tc>
      </w:tr>
      <w:tr w:rsidR="00426E4D" w:rsidRPr="00426E4D" w:rsidTr="00D5061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2710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 xml:space="preserve">Uleiuri din petrol sau uleiuri din minerale bituminoase, altele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decit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uleiurile brute; preparatele nedenumite si necuprinse in alta parte, care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contin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in greutate minimum 70% uleiuri din petrol sau din minerale bituminoase si pentru care aceste uleiuri constituie elementele de baza;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deseuri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de uleiuri: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14,38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26E4D" w:rsidRPr="00426E4D" w:rsidRDefault="00A823D1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334,37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A823D1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9,0</w:t>
            </w:r>
          </w:p>
        </w:tc>
      </w:tr>
      <w:tr w:rsidR="00426E4D" w:rsidRPr="00426E4D" w:rsidTr="00D5061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5702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 xml:space="preserve">Covoare si alte acoperitoare de podea din materiale textile,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tesute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fara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smocuri sau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suvite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, chiar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confectionate</w:t>
            </w:r>
            <w:proofErr w:type="spellEnd"/>
            <w:r w:rsidRPr="00426E4D">
              <w:rPr>
                <w:rFonts w:ascii="Times New Roman" w:hAnsi="Times New Roman"/>
                <w:bCs/>
              </w:rPr>
              <w:t>, inclusiv covoarele denumite „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Kelim</w:t>
            </w:r>
            <w:proofErr w:type="spellEnd"/>
            <w:r w:rsidRPr="00426E4D">
              <w:rPr>
                <w:rFonts w:ascii="Times New Roman" w:hAnsi="Times New Roman"/>
                <w:bCs/>
              </w:rPr>
              <w:t>” sau „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Kilim</w:t>
            </w:r>
            <w:proofErr w:type="spellEnd"/>
            <w:r w:rsidRPr="00426E4D">
              <w:rPr>
                <w:rFonts w:ascii="Times New Roman" w:hAnsi="Times New Roman"/>
                <w:bCs/>
              </w:rPr>
              <w:t>”, „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Schumacks</w:t>
            </w:r>
            <w:proofErr w:type="spellEnd"/>
            <w:r w:rsidRPr="00426E4D">
              <w:rPr>
                <w:rFonts w:ascii="Times New Roman" w:hAnsi="Times New Roman"/>
                <w:bCs/>
              </w:rPr>
              <w:t>” sau „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Soumak</w:t>
            </w:r>
            <w:proofErr w:type="spellEnd"/>
            <w:r w:rsidRPr="00426E4D">
              <w:rPr>
                <w:rFonts w:ascii="Times New Roman" w:hAnsi="Times New Roman"/>
                <w:bCs/>
              </w:rPr>
              <w:t>”, „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Karamanie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” si covoare similare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tesute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manual: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D5061C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122,23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6E4D" w:rsidRPr="00426E4D" w:rsidRDefault="00426E4D" w:rsidP="00A82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238,9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195,46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6,4</w:t>
            </w:r>
          </w:p>
        </w:tc>
      </w:tr>
      <w:tr w:rsidR="00426E4D" w:rsidRPr="00426E4D" w:rsidTr="00D5061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4101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 xml:space="preserve">Piei brute de bovine (inclusiv de bivoli) sau de ecvidee (proaspete sau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sarate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, uscate,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cenusarite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, picate sau altfel conservate, dar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netabacite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nepergamentate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sau altfel preparate), chiar epilate sau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spaltuite</w:t>
            </w:r>
            <w:proofErr w:type="spellEnd"/>
            <w:r w:rsidRPr="00426E4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A823D1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49,55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6E4D" w:rsidRPr="00426E4D" w:rsidRDefault="00A823D1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480,33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6,4</w:t>
            </w:r>
          </w:p>
        </w:tc>
      </w:tr>
      <w:tr w:rsidR="00426E4D" w:rsidRPr="00426E4D" w:rsidTr="00D5061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8479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426E4D">
              <w:rPr>
                <w:rFonts w:ascii="Times New Roman" w:hAnsi="Times New Roman"/>
                <w:bCs/>
              </w:rPr>
              <w:t>Masini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si aparate mecanice cu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functie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proprie, nedenumite si necuprinse in alta parte in acest capitol: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A823D1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26E4D" w:rsidRPr="00426E4D" w:rsidRDefault="00426E4D" w:rsidP="00A823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730,0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202,86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27,79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5,5</w:t>
            </w:r>
          </w:p>
        </w:tc>
      </w:tr>
      <w:tr w:rsidR="00426E4D" w:rsidRPr="00426E4D" w:rsidTr="00D5061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2204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 xml:space="preserve">Vinuri din struguri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proaspeti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, inclusiv vinurile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imbogatite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cu alcool; musturi de struguri, altele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decit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cele de la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pozitia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2009: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395,73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365,26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174,17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47,68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4,7</w:t>
            </w:r>
          </w:p>
        </w:tc>
      </w:tr>
      <w:tr w:rsidR="00426E4D" w:rsidRPr="00426E4D" w:rsidTr="00D5061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1806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 xml:space="preserve">Ciocolata si alte preparate alimentare care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contin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cacao: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133,08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108,90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163,43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150,08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4,4</w:t>
            </w:r>
          </w:p>
        </w:tc>
      </w:tr>
      <w:tr w:rsidR="00426E4D" w:rsidRPr="00426E4D" w:rsidTr="00D5061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1206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426E4D">
              <w:rPr>
                <w:rFonts w:ascii="Times New Roman" w:hAnsi="Times New Roman"/>
                <w:bCs/>
              </w:rPr>
              <w:t>Seminte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de floarea-soarelui, chiar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sfarimate</w:t>
            </w:r>
            <w:proofErr w:type="spellEnd"/>
            <w:r w:rsidRPr="00426E4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162,92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134,63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126,61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94,04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E4D" w:rsidRPr="00426E4D" w:rsidRDefault="00426E4D" w:rsidP="00426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3,4</w:t>
            </w:r>
          </w:p>
        </w:tc>
      </w:tr>
    </w:tbl>
    <w:p w:rsidR="00426E4D" w:rsidRDefault="00426E4D" w:rsidP="00EB5A1F">
      <w:pPr>
        <w:jc w:val="both"/>
        <w:rPr>
          <w:rFonts w:ascii="Times New Roman" w:hAnsi="Times New Roman"/>
          <w:bCs/>
        </w:rPr>
      </w:pPr>
    </w:p>
    <w:p w:rsidR="00B84B3F" w:rsidRDefault="00B84B3F" w:rsidP="00EB5A1F">
      <w:pPr>
        <w:jc w:val="center"/>
        <w:rPr>
          <w:rFonts w:ascii="Times New Roman" w:hAnsi="Times New Roman"/>
          <w:b/>
          <w:sz w:val="26"/>
          <w:szCs w:val="26"/>
        </w:rPr>
      </w:pPr>
    </w:p>
    <w:p w:rsidR="00EB5A1F" w:rsidRPr="001044E7" w:rsidRDefault="00EB5A1F" w:rsidP="00EB5A1F">
      <w:pPr>
        <w:jc w:val="center"/>
        <w:rPr>
          <w:rFonts w:ascii="Times New Roman" w:hAnsi="Times New Roman"/>
          <w:sz w:val="26"/>
          <w:szCs w:val="26"/>
        </w:rPr>
      </w:pPr>
      <w:r w:rsidRPr="001044E7">
        <w:rPr>
          <w:rFonts w:ascii="Times New Roman" w:hAnsi="Times New Roman"/>
          <w:b/>
          <w:sz w:val="26"/>
          <w:szCs w:val="26"/>
        </w:rPr>
        <w:t>Principalele mărfuri importate în anul 201</w:t>
      </w:r>
      <w:r w:rsidR="002D643A" w:rsidRPr="001044E7">
        <w:rPr>
          <w:rFonts w:ascii="Times New Roman" w:hAnsi="Times New Roman"/>
          <w:b/>
          <w:sz w:val="26"/>
          <w:szCs w:val="26"/>
        </w:rPr>
        <w:t>6</w:t>
      </w:r>
      <w:r w:rsidRPr="001044E7">
        <w:rPr>
          <w:rFonts w:ascii="Times New Roman" w:hAnsi="Times New Roman"/>
          <w:b/>
          <w:sz w:val="26"/>
          <w:szCs w:val="26"/>
        </w:rPr>
        <w:t xml:space="preserve"> </w:t>
      </w:r>
      <w:r w:rsidRPr="001044E7">
        <w:rPr>
          <w:rFonts w:ascii="Times New Roman" w:hAnsi="Times New Roman"/>
          <w:sz w:val="26"/>
          <w:szCs w:val="26"/>
        </w:rPr>
        <w:t xml:space="preserve">(mii </w:t>
      </w:r>
      <w:r w:rsidR="00FC0B50" w:rsidRPr="001044E7">
        <w:rPr>
          <w:rFonts w:ascii="Times New Roman" w:hAnsi="Times New Roman"/>
          <w:sz w:val="26"/>
          <w:szCs w:val="26"/>
        </w:rPr>
        <w:t>dolari SUA</w:t>
      </w:r>
      <w:r w:rsidRPr="001044E7">
        <w:rPr>
          <w:rFonts w:ascii="Times New Roman" w:hAnsi="Times New Roman"/>
          <w:sz w:val="26"/>
          <w:szCs w:val="26"/>
        </w:rPr>
        <w:t>)</w:t>
      </w: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4266"/>
        <w:gridCol w:w="992"/>
        <w:gridCol w:w="992"/>
        <w:gridCol w:w="992"/>
        <w:gridCol w:w="1134"/>
        <w:gridCol w:w="1134"/>
      </w:tblGrid>
      <w:tr w:rsidR="00D07837" w:rsidRPr="00306F32" w:rsidTr="00D5061C">
        <w:trPr>
          <w:jc w:val="center"/>
        </w:trPr>
        <w:tc>
          <w:tcPr>
            <w:tcW w:w="688" w:type="dxa"/>
            <w:shd w:val="clear" w:color="auto" w:fill="FFFFFF" w:themeFill="background1"/>
          </w:tcPr>
          <w:p w:rsidR="00D07837" w:rsidRPr="00306F32" w:rsidRDefault="00D07837" w:rsidP="00D07837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266" w:type="dxa"/>
            <w:shd w:val="clear" w:color="auto" w:fill="FFFFFF" w:themeFill="background1"/>
          </w:tcPr>
          <w:p w:rsidR="00D07837" w:rsidRPr="00306F32" w:rsidRDefault="00D07837" w:rsidP="00D07837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07837" w:rsidRPr="00306F32" w:rsidRDefault="00D07837" w:rsidP="00D0783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306F32">
              <w:rPr>
                <w:rFonts w:ascii="Times New Roman" w:hAnsi="Times New Roman"/>
                <w:b/>
                <w:i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07837" w:rsidRPr="00306F32" w:rsidRDefault="00D07837" w:rsidP="00D0783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306F32">
              <w:rPr>
                <w:rFonts w:ascii="Times New Roman" w:hAnsi="Times New Roman"/>
                <w:b/>
                <w:i/>
              </w:rPr>
              <w:t>2015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07837" w:rsidRPr="00306F32" w:rsidRDefault="00D07837" w:rsidP="00D0783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2016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7837" w:rsidRPr="00306F32" w:rsidRDefault="00D07837" w:rsidP="00D0783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306F32">
              <w:rPr>
                <w:rFonts w:ascii="Times New Roman" w:hAnsi="Times New Roman"/>
                <w:b/>
                <w:i/>
              </w:rPr>
              <w:t>Dinamica</w:t>
            </w:r>
            <w:r>
              <w:rPr>
                <w:rFonts w:ascii="Times New Roman" w:hAnsi="Times New Roman"/>
                <w:b/>
                <w:i/>
              </w:rPr>
              <w:t>,</w:t>
            </w:r>
          </w:p>
          <w:p w:rsidR="00D07837" w:rsidRPr="00306F32" w:rsidRDefault="00D07837" w:rsidP="00D0783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306F32">
              <w:rPr>
                <w:rFonts w:ascii="Times New Roman" w:hAnsi="Times New Roman"/>
                <w:b/>
                <w:i/>
              </w:rPr>
              <w:t>201</w:t>
            </w:r>
            <w:r>
              <w:rPr>
                <w:rFonts w:ascii="Times New Roman" w:hAnsi="Times New Roman"/>
                <w:b/>
                <w:i/>
              </w:rPr>
              <w:t>6</w:t>
            </w:r>
            <w:r w:rsidRPr="00306F32">
              <w:rPr>
                <w:rFonts w:ascii="Times New Roman" w:hAnsi="Times New Roman"/>
                <w:b/>
                <w:i/>
              </w:rPr>
              <w:t>/201</w:t>
            </w:r>
            <w:r>
              <w:rPr>
                <w:rFonts w:ascii="Times New Roman" w:hAnsi="Times New Roman"/>
                <w:b/>
                <w:i/>
              </w:rPr>
              <w:t>5,</w:t>
            </w:r>
            <w:r w:rsidRPr="00306F32">
              <w:rPr>
                <w:rFonts w:ascii="Times New Roman" w:hAnsi="Times New Roman"/>
                <w:b/>
                <w:i/>
              </w:rPr>
              <w:t>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07837" w:rsidRPr="00306F32" w:rsidRDefault="00D07837" w:rsidP="00D0783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306F32">
              <w:rPr>
                <w:rFonts w:ascii="Times New Roman" w:hAnsi="Times New Roman"/>
                <w:b/>
                <w:i/>
              </w:rPr>
              <w:t xml:space="preserve">Ponderea în total </w:t>
            </w:r>
            <w:r>
              <w:rPr>
                <w:rFonts w:ascii="Times New Roman" w:hAnsi="Times New Roman"/>
                <w:b/>
                <w:i/>
              </w:rPr>
              <w:t>im</w:t>
            </w:r>
            <w:r w:rsidRPr="00306F32">
              <w:rPr>
                <w:rFonts w:ascii="Times New Roman" w:hAnsi="Times New Roman"/>
                <w:b/>
                <w:i/>
              </w:rPr>
              <w:t>port</w:t>
            </w:r>
          </w:p>
        </w:tc>
      </w:tr>
      <w:tr w:rsidR="00FC0B50" w:rsidRPr="00306F32" w:rsidTr="00D5061C">
        <w:trPr>
          <w:jc w:val="center"/>
        </w:trPr>
        <w:tc>
          <w:tcPr>
            <w:tcW w:w="688" w:type="dxa"/>
            <w:shd w:val="clear" w:color="auto" w:fill="FFFFFF" w:themeFill="background1"/>
          </w:tcPr>
          <w:p w:rsidR="00FC0B50" w:rsidRPr="00FC0B50" w:rsidRDefault="00FC0B50" w:rsidP="00D078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6" w:type="dxa"/>
            <w:shd w:val="clear" w:color="auto" w:fill="FFFFFF" w:themeFill="background1"/>
          </w:tcPr>
          <w:p w:rsidR="00FC0B50" w:rsidRPr="00FC0B50" w:rsidRDefault="00FC0B50" w:rsidP="00D078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0B50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0B50" w:rsidRPr="00FC0B50" w:rsidRDefault="00426E4D" w:rsidP="00AC1D8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C1D82">
              <w:rPr>
                <w:rFonts w:ascii="Times New Roman" w:hAnsi="Times New Roman"/>
                <w:b/>
              </w:rPr>
              <w:t xml:space="preserve">1 </w:t>
            </w:r>
            <w:r>
              <w:rPr>
                <w:rFonts w:ascii="Times New Roman" w:hAnsi="Times New Roman"/>
                <w:b/>
              </w:rPr>
              <w:t>040,57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C0B50" w:rsidRPr="00FC0B50" w:rsidRDefault="00426E4D" w:rsidP="00D0783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AC1D8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844,32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C0B50" w:rsidRPr="00FC0B50" w:rsidRDefault="00426E4D" w:rsidP="00D0783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AC1D8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479,31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0B50" w:rsidRPr="00FC0B50" w:rsidRDefault="00426E4D" w:rsidP="00D0783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110,3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C0B50" w:rsidRPr="00FC0B50" w:rsidRDefault="00FC0B50" w:rsidP="00D07837">
            <w:pPr>
              <w:jc w:val="center"/>
              <w:rPr>
                <w:rFonts w:ascii="Times New Roman" w:hAnsi="Times New Roman"/>
                <w:b/>
              </w:rPr>
            </w:pPr>
            <w:r w:rsidRPr="00FC0B50">
              <w:rPr>
                <w:rFonts w:ascii="Times New Roman" w:hAnsi="Times New Roman"/>
                <w:b/>
              </w:rPr>
              <w:t>100,0</w:t>
            </w:r>
          </w:p>
        </w:tc>
      </w:tr>
      <w:tr w:rsidR="00426E4D" w:rsidRPr="00426E4D" w:rsidTr="00D5061C">
        <w:trPr>
          <w:jc w:val="center"/>
        </w:trPr>
        <w:tc>
          <w:tcPr>
            <w:tcW w:w="688" w:type="dxa"/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5603</w:t>
            </w:r>
          </w:p>
        </w:tc>
        <w:tc>
          <w:tcPr>
            <w:tcW w:w="4266" w:type="dxa"/>
            <w:shd w:val="clear" w:color="auto" w:fill="FFFFFF" w:themeFill="background1"/>
          </w:tcPr>
          <w:p w:rsidR="00426E4D" w:rsidRPr="00426E4D" w:rsidRDefault="00426E4D" w:rsidP="00D5061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 xml:space="preserve">Articole </w:t>
            </w:r>
            <w:r w:rsidR="00D5061C" w:rsidRPr="00426E4D">
              <w:rPr>
                <w:rFonts w:ascii="Times New Roman" w:hAnsi="Times New Roman"/>
                <w:bCs/>
              </w:rPr>
              <w:t>nețesute</w:t>
            </w:r>
            <w:r w:rsidRPr="00426E4D">
              <w:rPr>
                <w:rFonts w:ascii="Times New Roman" w:hAnsi="Times New Roman"/>
                <w:bCs/>
              </w:rPr>
              <w:t xml:space="preserve">, chiar impregnate, </w:t>
            </w:r>
            <w:proofErr w:type="spellStart"/>
            <w:r w:rsidR="00D5061C" w:rsidRPr="00426E4D">
              <w:rPr>
                <w:rFonts w:ascii="Times New Roman" w:hAnsi="Times New Roman"/>
                <w:bCs/>
              </w:rPr>
              <w:t>imbracate</w:t>
            </w:r>
            <w:proofErr w:type="spellEnd"/>
            <w:r w:rsidR="00D5061C" w:rsidRPr="00426E4D">
              <w:rPr>
                <w:rFonts w:ascii="Times New Roman" w:hAnsi="Times New Roman"/>
                <w:bCs/>
              </w:rPr>
              <w:t>,</w:t>
            </w:r>
            <w:r w:rsidR="00D5061C">
              <w:rPr>
                <w:rFonts w:ascii="Times New Roman" w:hAnsi="Times New Roman"/>
                <w:bCs/>
              </w:rPr>
              <w:t xml:space="preserve"> acoperite sau stratificate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8,76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E4D" w:rsidRPr="00426E4D" w:rsidRDefault="00D5061C" w:rsidP="00426E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1 351,0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3 552,44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262,95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20,3</w:t>
            </w:r>
          </w:p>
        </w:tc>
      </w:tr>
      <w:tr w:rsidR="00426E4D" w:rsidRPr="00426E4D" w:rsidTr="00D5061C">
        <w:trPr>
          <w:jc w:val="center"/>
        </w:trPr>
        <w:tc>
          <w:tcPr>
            <w:tcW w:w="688" w:type="dxa"/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2713</w:t>
            </w:r>
          </w:p>
        </w:tc>
        <w:tc>
          <w:tcPr>
            <w:tcW w:w="4266" w:type="dxa"/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Cocs de petrol, bitum de petrol si alte reziduuri de uleiuri din petrol sau din minerale bituminoase: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6 966,39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2 201,35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1 964,76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89,25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11,2</w:t>
            </w:r>
          </w:p>
        </w:tc>
      </w:tr>
      <w:tr w:rsidR="00426E4D" w:rsidRPr="00426E4D" w:rsidTr="00D5061C">
        <w:trPr>
          <w:jc w:val="center"/>
        </w:trPr>
        <w:tc>
          <w:tcPr>
            <w:tcW w:w="688" w:type="dxa"/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4811</w:t>
            </w:r>
          </w:p>
        </w:tc>
        <w:tc>
          <w:tcPr>
            <w:tcW w:w="4266" w:type="dxa"/>
            <w:shd w:val="clear" w:color="auto" w:fill="FFFFFF" w:themeFill="background1"/>
          </w:tcPr>
          <w:p w:rsidR="00426E4D" w:rsidRPr="00426E4D" w:rsidRDefault="00D5061C" w:rsidP="00D5061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Hârtii</w:t>
            </w:r>
            <w:r w:rsidR="00426E4D" w:rsidRPr="00426E4D">
              <w:rPr>
                <w:rFonts w:ascii="Times New Roman" w:hAnsi="Times New Roman"/>
                <w:bCs/>
              </w:rPr>
              <w:t xml:space="preserve">, cartoane, vata de celuloza si straturi </w:t>
            </w:r>
            <w:r w:rsidRPr="00426E4D">
              <w:rPr>
                <w:rFonts w:ascii="Times New Roman" w:hAnsi="Times New Roman"/>
                <w:bCs/>
              </w:rPr>
              <w:t>subțiri</w:t>
            </w:r>
            <w:r w:rsidR="00426E4D" w:rsidRPr="00426E4D">
              <w:rPr>
                <w:rFonts w:ascii="Times New Roman" w:hAnsi="Times New Roman"/>
                <w:bCs/>
              </w:rPr>
              <w:t xml:space="preserve"> din fibre celulozice, </w:t>
            </w:r>
            <w:proofErr w:type="spellStart"/>
            <w:r w:rsidR="00426E4D" w:rsidRPr="00426E4D">
              <w:rPr>
                <w:rFonts w:ascii="Times New Roman" w:hAnsi="Times New Roman"/>
                <w:bCs/>
              </w:rPr>
              <w:t>cretate</w:t>
            </w:r>
            <w:proofErr w:type="spellEnd"/>
            <w:r w:rsidR="00426E4D" w:rsidRPr="00426E4D">
              <w:rPr>
                <w:rFonts w:ascii="Times New Roman" w:hAnsi="Times New Roman"/>
                <w:bCs/>
              </w:rPr>
              <w:t xml:space="preserve">, impregnate, acoperite, colorate la </w:t>
            </w:r>
            <w:proofErr w:type="spellStart"/>
            <w:r w:rsidR="00426E4D" w:rsidRPr="00426E4D">
              <w:rPr>
                <w:rFonts w:ascii="Times New Roman" w:hAnsi="Times New Roman"/>
                <w:bCs/>
              </w:rPr>
              <w:t>suprafata</w:t>
            </w:r>
            <w:proofErr w:type="spellEnd"/>
            <w:r w:rsidR="00426E4D" w:rsidRPr="00426E4D">
              <w:rPr>
                <w:rFonts w:ascii="Times New Roman" w:hAnsi="Times New Roman"/>
                <w:bCs/>
              </w:rPr>
              <w:t xml:space="preserve">, decorate la </w:t>
            </w:r>
            <w:proofErr w:type="spellStart"/>
            <w:r w:rsidR="00426E4D" w:rsidRPr="00426E4D">
              <w:rPr>
                <w:rFonts w:ascii="Times New Roman" w:hAnsi="Times New Roman"/>
                <w:bCs/>
              </w:rPr>
              <w:t>suprafata</w:t>
            </w:r>
            <w:proofErr w:type="spellEnd"/>
            <w:r w:rsidR="00426E4D" w:rsidRPr="00426E4D">
              <w:rPr>
                <w:rFonts w:ascii="Times New Roman" w:hAnsi="Times New Roman"/>
                <w:bCs/>
              </w:rPr>
              <w:t xml:space="preserve"> sau imprimate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1 339,16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1 727,49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1 501,23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86,90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8,6</w:t>
            </w:r>
          </w:p>
        </w:tc>
      </w:tr>
      <w:tr w:rsidR="00426E4D" w:rsidRPr="00426E4D" w:rsidTr="00D5061C">
        <w:trPr>
          <w:jc w:val="center"/>
        </w:trPr>
        <w:tc>
          <w:tcPr>
            <w:tcW w:w="688" w:type="dxa"/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3918</w:t>
            </w:r>
          </w:p>
        </w:tc>
        <w:tc>
          <w:tcPr>
            <w:tcW w:w="4266" w:type="dxa"/>
            <w:shd w:val="clear" w:color="auto" w:fill="FFFFFF" w:themeFill="background1"/>
          </w:tcPr>
          <w:p w:rsidR="00426E4D" w:rsidRPr="00426E4D" w:rsidRDefault="00426E4D" w:rsidP="00D5061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426E4D">
              <w:rPr>
                <w:rFonts w:ascii="Times New Roman" w:hAnsi="Times New Roman"/>
                <w:bCs/>
              </w:rPr>
              <w:t>Invelitori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din materiale plastice pentru podele, autoadezive sau nu, in rulouri sau in forma de placi </w:t>
            </w:r>
            <w:r w:rsidRPr="00426E4D">
              <w:rPr>
                <w:rFonts w:ascii="Times New Roman" w:hAnsi="Times New Roman"/>
                <w:bCs/>
              </w:rPr>
              <w:lastRenderedPageBreak/>
              <w:t xml:space="preserve">de pardoseala sau de dale;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invelitori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pentru </w:t>
            </w:r>
            <w:r w:rsidR="00D5061C" w:rsidRPr="00426E4D">
              <w:rPr>
                <w:rFonts w:ascii="Times New Roman" w:hAnsi="Times New Roman"/>
                <w:bCs/>
              </w:rPr>
              <w:t>pereți</w:t>
            </w:r>
            <w:r w:rsidRPr="00426E4D">
              <w:rPr>
                <w:rFonts w:ascii="Times New Roman" w:hAnsi="Times New Roman"/>
                <w:bCs/>
              </w:rPr>
              <w:t xml:space="preserve"> </w:t>
            </w:r>
            <w:r w:rsidR="00D5061C">
              <w:rPr>
                <w:rFonts w:ascii="Times New Roman" w:hAnsi="Times New Roman"/>
                <w:bCs/>
              </w:rPr>
              <w:t>ș</w:t>
            </w:r>
            <w:r w:rsidRPr="00426E4D">
              <w:rPr>
                <w:rFonts w:ascii="Times New Roman" w:hAnsi="Times New Roman"/>
                <w:bCs/>
              </w:rPr>
              <w:t xml:space="preserve">i tavane din materiale plastice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lastRenderedPageBreak/>
              <w:t>2 079,18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1 492,63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1 080,33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72,38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6,2</w:t>
            </w:r>
          </w:p>
        </w:tc>
      </w:tr>
      <w:tr w:rsidR="00426E4D" w:rsidRPr="00426E4D" w:rsidTr="00D5061C">
        <w:trPr>
          <w:jc w:val="center"/>
        </w:trPr>
        <w:tc>
          <w:tcPr>
            <w:tcW w:w="688" w:type="dxa"/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lastRenderedPageBreak/>
              <w:t>3004</w:t>
            </w:r>
          </w:p>
        </w:tc>
        <w:tc>
          <w:tcPr>
            <w:tcW w:w="4266" w:type="dxa"/>
            <w:shd w:val="clear" w:color="auto" w:fill="FFFFFF" w:themeFill="background1"/>
          </w:tcPr>
          <w:p w:rsidR="00426E4D" w:rsidRPr="00426E4D" w:rsidRDefault="00426E4D" w:rsidP="00D5061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 xml:space="preserve">Medicamente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1 043,66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1 194,50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1 074,44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89,95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6,1</w:t>
            </w:r>
          </w:p>
        </w:tc>
      </w:tr>
      <w:tr w:rsidR="00426E4D" w:rsidRPr="00426E4D" w:rsidTr="00D5061C">
        <w:trPr>
          <w:jc w:val="center"/>
        </w:trPr>
        <w:tc>
          <w:tcPr>
            <w:tcW w:w="688" w:type="dxa"/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3402</w:t>
            </w:r>
          </w:p>
        </w:tc>
        <w:tc>
          <w:tcPr>
            <w:tcW w:w="4266" w:type="dxa"/>
            <w:shd w:val="clear" w:color="auto" w:fill="FFFFFF" w:themeFill="background1"/>
          </w:tcPr>
          <w:p w:rsidR="00426E4D" w:rsidRPr="00426E4D" w:rsidRDefault="00426E4D" w:rsidP="00AC1D8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426E4D">
              <w:rPr>
                <w:rFonts w:ascii="Times New Roman" w:hAnsi="Times New Roman"/>
                <w:bCs/>
              </w:rPr>
              <w:t>Agenti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organici de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suprafata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altii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decit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sapunurile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); preparate tensioactive, preparate pentru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spalat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(inclusiv preparatele auxiliare pentru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spalat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) si preparate de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curatat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, care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contin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sau nu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sapun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1 096,19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970,84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970,83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E4D" w:rsidRPr="00426E4D" w:rsidRDefault="00AC1D82" w:rsidP="00426E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5,6</w:t>
            </w:r>
          </w:p>
        </w:tc>
      </w:tr>
      <w:tr w:rsidR="00426E4D" w:rsidRPr="00426E4D" w:rsidTr="00D5061C">
        <w:trPr>
          <w:jc w:val="center"/>
        </w:trPr>
        <w:tc>
          <w:tcPr>
            <w:tcW w:w="688" w:type="dxa"/>
            <w:shd w:val="clear" w:color="auto" w:fill="FFFFFF" w:themeFill="background1"/>
          </w:tcPr>
          <w:p w:rsidR="00426E4D" w:rsidRPr="00426E4D" w:rsidRDefault="00426E4D" w:rsidP="00426E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>8419</w:t>
            </w:r>
          </w:p>
        </w:tc>
        <w:tc>
          <w:tcPr>
            <w:tcW w:w="4266" w:type="dxa"/>
            <w:shd w:val="clear" w:color="auto" w:fill="FFFFFF" w:themeFill="background1"/>
          </w:tcPr>
          <w:p w:rsidR="00426E4D" w:rsidRPr="00426E4D" w:rsidRDefault="00426E4D" w:rsidP="00AC1D8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26E4D">
              <w:rPr>
                <w:rFonts w:ascii="Times New Roman" w:hAnsi="Times New Roman"/>
                <w:bCs/>
              </w:rPr>
              <w:t xml:space="preserve">Aparate si dispozitive, chiar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incalzite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electric, pentru prelucrarea materialelor prin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operatii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ce implica o schimbare a temperaturii cum sunt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incalzirea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, coacerea, fierberea,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prajirea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, distilarea, rectificarea, sterilizarea, pasteurizarea,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etuvarea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, uscarea, evaporarea, vaporizarea, condensarea sau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racirea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, altele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decit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aparatele de uz casnic;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incalzitoare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de apa neelectrice, cu </w:t>
            </w:r>
            <w:proofErr w:type="spellStart"/>
            <w:r w:rsidRPr="00426E4D">
              <w:rPr>
                <w:rFonts w:ascii="Times New Roman" w:hAnsi="Times New Roman"/>
                <w:bCs/>
              </w:rPr>
              <w:t>incalzire</w:t>
            </w:r>
            <w:proofErr w:type="spellEnd"/>
            <w:r w:rsidRPr="00426E4D">
              <w:rPr>
                <w:rFonts w:ascii="Times New Roman" w:hAnsi="Times New Roman"/>
                <w:bCs/>
              </w:rPr>
              <w:t xml:space="preserve"> instantanee sau cu stocare: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1 159,54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1 104,16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893,87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80,95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6E4D" w:rsidRPr="00426E4D" w:rsidRDefault="00426E4D" w:rsidP="00426E4D">
            <w:pPr>
              <w:jc w:val="center"/>
              <w:rPr>
                <w:rFonts w:ascii="Times New Roman" w:hAnsi="Times New Roman"/>
              </w:rPr>
            </w:pPr>
            <w:r w:rsidRPr="00426E4D">
              <w:rPr>
                <w:rFonts w:ascii="Times New Roman" w:hAnsi="Times New Roman"/>
              </w:rPr>
              <w:t>5,1</w:t>
            </w:r>
          </w:p>
        </w:tc>
      </w:tr>
    </w:tbl>
    <w:p w:rsidR="00B4799E" w:rsidRDefault="00B4799E" w:rsidP="00751B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6E4D" w:rsidRDefault="00426E4D" w:rsidP="00751B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6E4D" w:rsidRPr="001044E7" w:rsidRDefault="00426E4D" w:rsidP="00426E4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044E7">
        <w:rPr>
          <w:rFonts w:ascii="Times New Roman" w:hAnsi="Times New Roman"/>
          <w:b/>
          <w:color w:val="000000"/>
          <w:sz w:val="26"/>
          <w:szCs w:val="26"/>
        </w:rPr>
        <w:t xml:space="preserve">NOTA INFORMATIVĂ </w:t>
      </w:r>
    </w:p>
    <w:p w:rsidR="00426E4D" w:rsidRPr="001044E7" w:rsidRDefault="00426E4D" w:rsidP="00426E4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044E7">
        <w:rPr>
          <w:rFonts w:ascii="Times New Roman" w:hAnsi="Times New Roman"/>
          <w:b/>
          <w:color w:val="000000"/>
          <w:sz w:val="26"/>
          <w:szCs w:val="26"/>
        </w:rPr>
        <w:t xml:space="preserve">privind starea actuală a relaţiilor comercial-economice </w:t>
      </w:r>
    </w:p>
    <w:p w:rsidR="00426E4D" w:rsidRPr="001044E7" w:rsidRDefault="00426E4D" w:rsidP="00426E4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044E7">
        <w:rPr>
          <w:rFonts w:ascii="Times New Roman" w:hAnsi="Times New Roman"/>
          <w:b/>
          <w:color w:val="000000"/>
          <w:sz w:val="26"/>
          <w:szCs w:val="26"/>
        </w:rPr>
        <w:t xml:space="preserve">între Republica Moldova şi </w:t>
      </w:r>
      <w:r w:rsidRPr="001044E7">
        <w:rPr>
          <w:rFonts w:ascii="Times New Roman" w:hAnsi="Times New Roman"/>
          <w:b/>
          <w:sz w:val="26"/>
          <w:szCs w:val="26"/>
        </w:rPr>
        <w:t xml:space="preserve">Republica Serbia </w:t>
      </w:r>
    </w:p>
    <w:p w:rsidR="00426E4D" w:rsidRPr="001044E7" w:rsidRDefault="00426E4D" w:rsidP="00426E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044E7">
        <w:rPr>
          <w:rFonts w:ascii="Times New Roman" w:hAnsi="Times New Roman"/>
          <w:b/>
          <w:color w:val="000000"/>
          <w:sz w:val="26"/>
          <w:szCs w:val="26"/>
        </w:rPr>
        <w:t>în</w:t>
      </w:r>
      <w:r w:rsidRPr="001044E7">
        <w:rPr>
          <w:rFonts w:ascii="Times New Roman" w:hAnsi="Times New Roman"/>
          <w:b/>
          <w:bCs/>
          <w:color w:val="000000"/>
          <w:sz w:val="26"/>
          <w:szCs w:val="26"/>
        </w:rPr>
        <w:t xml:space="preserve"> ianuarie-mai 2017</w:t>
      </w:r>
    </w:p>
    <w:p w:rsidR="00426E4D" w:rsidRPr="001044E7" w:rsidRDefault="00426E4D" w:rsidP="00426E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26E4D" w:rsidRPr="001044E7" w:rsidRDefault="00426E4D" w:rsidP="00426E4D">
      <w:pPr>
        <w:spacing w:before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044E7">
        <w:rPr>
          <w:rFonts w:ascii="Times New Roman" w:hAnsi="Times New Roman"/>
          <w:b/>
          <w:sz w:val="26"/>
          <w:szCs w:val="26"/>
          <w:lang w:eastAsia="ru-RU"/>
        </w:rPr>
        <w:t xml:space="preserve">Volumul </w:t>
      </w:r>
      <w:proofErr w:type="spellStart"/>
      <w:r w:rsidRPr="001044E7">
        <w:rPr>
          <w:rFonts w:ascii="Times New Roman" w:hAnsi="Times New Roman"/>
          <w:b/>
          <w:sz w:val="26"/>
          <w:szCs w:val="26"/>
          <w:lang w:eastAsia="ru-RU"/>
        </w:rPr>
        <w:t>comerţului</w:t>
      </w:r>
      <w:proofErr w:type="spellEnd"/>
      <w:r w:rsidRPr="001044E7">
        <w:rPr>
          <w:rFonts w:ascii="Times New Roman" w:hAnsi="Times New Roman"/>
          <w:b/>
          <w:sz w:val="26"/>
          <w:szCs w:val="26"/>
          <w:lang w:eastAsia="ru-RU"/>
        </w:rPr>
        <w:t xml:space="preserve"> exterior</w:t>
      </w:r>
      <w:r w:rsidRPr="001044E7">
        <w:rPr>
          <w:rFonts w:ascii="Times New Roman" w:hAnsi="Times New Roman"/>
          <w:sz w:val="26"/>
          <w:szCs w:val="26"/>
          <w:lang w:eastAsia="ru-RU"/>
        </w:rPr>
        <w:t xml:space="preserve"> (fără a se ţine cont de activitatea comercială a agenţilor economici din </w:t>
      </w:r>
      <w:r w:rsidRPr="001044E7">
        <w:rPr>
          <w:rFonts w:ascii="Times New Roman" w:hAnsi="Times New Roman"/>
          <w:color w:val="000000"/>
          <w:sz w:val="26"/>
          <w:szCs w:val="26"/>
          <w:lang w:eastAsia="ru-RU"/>
        </w:rPr>
        <w:t>raioanele de est</w:t>
      </w:r>
      <w:r w:rsidRPr="001044E7">
        <w:rPr>
          <w:rFonts w:ascii="Times New Roman" w:hAnsi="Times New Roman"/>
          <w:sz w:val="26"/>
          <w:szCs w:val="26"/>
          <w:lang w:eastAsia="ru-RU"/>
        </w:rPr>
        <w:t xml:space="preserve">) al Republicii Moldova cu Serbia în ianuarie-mai 2017, a înregistrat suma de </w:t>
      </w:r>
      <w:r w:rsidR="00AC1D82" w:rsidRPr="001044E7">
        <w:rPr>
          <w:rFonts w:ascii="Times New Roman" w:hAnsi="Times New Roman"/>
          <w:sz w:val="26"/>
          <w:szCs w:val="26"/>
          <w:lang w:eastAsia="ru-RU"/>
        </w:rPr>
        <w:t>8,26 mil.</w:t>
      </w:r>
      <w:r w:rsidRPr="001044E7">
        <w:rPr>
          <w:rFonts w:ascii="Times New Roman" w:hAnsi="Times New Roman"/>
          <w:sz w:val="26"/>
          <w:szCs w:val="26"/>
          <w:lang w:eastAsia="ru-RU"/>
        </w:rPr>
        <w:t xml:space="preserve"> dolari SUA. Comparativ cu aceeaşi perioadă a anului 2016, volumul comerțului exterior s-a majorat cu </w:t>
      </w:r>
      <w:r w:rsidR="00AC1D82" w:rsidRPr="001044E7">
        <w:rPr>
          <w:rFonts w:ascii="Times New Roman" w:hAnsi="Times New Roman"/>
          <w:sz w:val="26"/>
          <w:szCs w:val="26"/>
          <w:lang w:eastAsia="ru-RU"/>
        </w:rPr>
        <w:t>13,5</w:t>
      </w:r>
      <w:r w:rsidRPr="001044E7">
        <w:rPr>
          <w:rFonts w:ascii="Times New Roman" w:hAnsi="Times New Roman"/>
          <w:sz w:val="26"/>
          <w:szCs w:val="26"/>
          <w:lang w:eastAsia="ru-RU"/>
        </w:rPr>
        <w:t xml:space="preserve">% sau </w:t>
      </w:r>
      <w:r w:rsidR="00AC1D82" w:rsidRPr="001044E7">
        <w:rPr>
          <w:rFonts w:ascii="Times New Roman" w:hAnsi="Times New Roman"/>
          <w:sz w:val="26"/>
          <w:szCs w:val="26"/>
          <w:lang w:eastAsia="ru-RU"/>
        </w:rPr>
        <w:t xml:space="preserve">984,31 mii </w:t>
      </w:r>
      <w:r w:rsidRPr="001044E7">
        <w:rPr>
          <w:rFonts w:ascii="Times New Roman" w:hAnsi="Times New Roman"/>
          <w:sz w:val="26"/>
          <w:szCs w:val="26"/>
          <w:lang w:eastAsia="ru-RU"/>
        </w:rPr>
        <w:t>dolari SUA. Ponderea comerțului constituie 0,</w:t>
      </w:r>
      <w:r w:rsidR="00AC1D82" w:rsidRPr="001044E7">
        <w:rPr>
          <w:rFonts w:ascii="Times New Roman" w:hAnsi="Times New Roman"/>
          <w:sz w:val="26"/>
          <w:szCs w:val="26"/>
          <w:lang w:eastAsia="ru-RU"/>
        </w:rPr>
        <w:t>31</w:t>
      </w:r>
      <w:r w:rsidRPr="001044E7">
        <w:rPr>
          <w:rFonts w:ascii="Times New Roman" w:hAnsi="Times New Roman"/>
          <w:sz w:val="26"/>
          <w:szCs w:val="26"/>
          <w:lang w:eastAsia="ru-RU"/>
        </w:rPr>
        <w:t xml:space="preserve">% în volumul comerțului total al Republicii Moldova şi </w:t>
      </w:r>
      <w:r w:rsidRPr="001044E7">
        <w:rPr>
          <w:rFonts w:ascii="Times New Roman" w:hAnsi="Times New Roman"/>
          <w:sz w:val="26"/>
          <w:szCs w:val="26"/>
        </w:rPr>
        <w:t xml:space="preserve">se situează pe locul </w:t>
      </w:r>
      <w:r w:rsidR="00AC1D82" w:rsidRPr="001044E7">
        <w:rPr>
          <w:rFonts w:ascii="Times New Roman" w:hAnsi="Times New Roman"/>
          <w:sz w:val="26"/>
          <w:szCs w:val="26"/>
        </w:rPr>
        <w:t>29</w:t>
      </w:r>
      <w:r w:rsidRPr="001044E7">
        <w:rPr>
          <w:rFonts w:ascii="Times New Roman" w:hAnsi="Times New Roman"/>
          <w:sz w:val="26"/>
          <w:szCs w:val="26"/>
        </w:rPr>
        <w:t xml:space="preserve"> între partenerii cu care Republica Moldova întreține relaţii comerciale. </w:t>
      </w:r>
    </w:p>
    <w:p w:rsidR="00426E4D" w:rsidRPr="001044E7" w:rsidRDefault="00426E4D" w:rsidP="00426E4D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426E4D" w:rsidRPr="001044E7" w:rsidRDefault="00426E4D" w:rsidP="00426E4D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1044E7">
        <w:rPr>
          <w:rFonts w:ascii="Times New Roman" w:hAnsi="Times New Roman"/>
          <w:b/>
          <w:bCs/>
          <w:sz w:val="26"/>
          <w:szCs w:val="26"/>
          <w:lang w:eastAsia="ru-RU"/>
        </w:rPr>
        <w:t>Evoluția schimburilor comerciale</w:t>
      </w:r>
    </w:p>
    <w:p w:rsidR="00426E4D" w:rsidRPr="001044E7" w:rsidRDefault="00426E4D" w:rsidP="00AC1D82">
      <w:pPr>
        <w:spacing w:after="0"/>
        <w:ind w:right="-1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1044E7">
        <w:rPr>
          <w:rFonts w:ascii="Times New Roman" w:hAnsi="Times New Roman"/>
          <w:i/>
          <w:sz w:val="26"/>
          <w:szCs w:val="26"/>
          <w:lang w:eastAsia="ru-RU"/>
        </w:rPr>
        <w:t>mii dolari SUA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3"/>
        <w:gridCol w:w="2694"/>
        <w:gridCol w:w="2409"/>
        <w:gridCol w:w="2146"/>
      </w:tblGrid>
      <w:tr w:rsidR="00426E4D" w:rsidRPr="00EE0C85" w:rsidTr="00ED3D7E">
        <w:trPr>
          <w:trHeight w:hRule="exact" w:val="758"/>
          <w:jc w:val="center"/>
        </w:trPr>
        <w:tc>
          <w:tcPr>
            <w:tcW w:w="1863" w:type="dxa"/>
            <w:vAlign w:val="center"/>
          </w:tcPr>
          <w:p w:rsidR="00426E4D" w:rsidRPr="00EE0C85" w:rsidRDefault="00426E4D" w:rsidP="00ED3D7E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426E4D" w:rsidRPr="00EE0C85" w:rsidRDefault="00426E4D" w:rsidP="00ED3D7E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mai 2016</w:t>
            </w:r>
          </w:p>
        </w:tc>
        <w:tc>
          <w:tcPr>
            <w:tcW w:w="2409" w:type="dxa"/>
            <w:vAlign w:val="center"/>
          </w:tcPr>
          <w:p w:rsidR="00426E4D" w:rsidRPr="00EE0C85" w:rsidRDefault="00426E4D" w:rsidP="00ED3D7E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mai 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6" w:type="dxa"/>
            <w:vAlign w:val="center"/>
          </w:tcPr>
          <w:p w:rsidR="00426E4D" w:rsidRPr="00EE0C85" w:rsidRDefault="00426E4D" w:rsidP="00ED3D7E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Dinamica,</w:t>
            </w:r>
          </w:p>
          <w:p w:rsidR="00426E4D" w:rsidRPr="00EE0C85" w:rsidRDefault="00426E4D" w:rsidP="00ED3D7E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/201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6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, %</w:t>
            </w:r>
          </w:p>
        </w:tc>
      </w:tr>
      <w:tr w:rsidR="00426E4D" w:rsidRPr="00EE0C85" w:rsidTr="00ED3D7E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426E4D" w:rsidRPr="00EE0C85" w:rsidRDefault="00426E4D" w:rsidP="00ED3D7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2694" w:type="dxa"/>
            <w:vAlign w:val="center"/>
          </w:tcPr>
          <w:p w:rsidR="00426E4D" w:rsidRPr="00EE0C85" w:rsidRDefault="00426E4D" w:rsidP="00ED3D7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7276,91</w:t>
            </w:r>
          </w:p>
        </w:tc>
        <w:tc>
          <w:tcPr>
            <w:tcW w:w="2409" w:type="dxa"/>
            <w:vAlign w:val="center"/>
          </w:tcPr>
          <w:p w:rsidR="00426E4D" w:rsidRPr="00EE0C85" w:rsidRDefault="00426E4D" w:rsidP="00ED3D7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8261,22</w:t>
            </w:r>
          </w:p>
        </w:tc>
        <w:tc>
          <w:tcPr>
            <w:tcW w:w="2146" w:type="dxa"/>
            <w:vAlign w:val="center"/>
          </w:tcPr>
          <w:p w:rsidR="00426E4D" w:rsidRPr="00EE0C85" w:rsidRDefault="00426E4D" w:rsidP="00ED3D7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113,53</w:t>
            </w:r>
          </w:p>
        </w:tc>
      </w:tr>
      <w:tr w:rsidR="00426E4D" w:rsidRPr="00EE0C85" w:rsidTr="00ED3D7E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426E4D" w:rsidRPr="00EE0C85" w:rsidRDefault="00426E4D" w:rsidP="00ED3D7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2694" w:type="dxa"/>
            <w:vAlign w:val="center"/>
          </w:tcPr>
          <w:p w:rsidR="00426E4D" w:rsidRPr="00EE0C85" w:rsidRDefault="00426E4D" w:rsidP="00ED3D7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929,08</w:t>
            </w:r>
          </w:p>
        </w:tc>
        <w:tc>
          <w:tcPr>
            <w:tcW w:w="2409" w:type="dxa"/>
            <w:vAlign w:val="center"/>
          </w:tcPr>
          <w:p w:rsidR="00426E4D" w:rsidRPr="00EE0C85" w:rsidRDefault="00426E4D" w:rsidP="00ED3D7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2629,28</w:t>
            </w:r>
          </w:p>
        </w:tc>
        <w:tc>
          <w:tcPr>
            <w:tcW w:w="2146" w:type="dxa"/>
            <w:vAlign w:val="center"/>
          </w:tcPr>
          <w:p w:rsidR="00426E4D" w:rsidRPr="00EE0C85" w:rsidRDefault="00426E4D" w:rsidP="00ED3D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283,0</w:t>
            </w:r>
          </w:p>
        </w:tc>
      </w:tr>
      <w:tr w:rsidR="00426E4D" w:rsidRPr="00EE0C85" w:rsidTr="00ED3D7E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426E4D" w:rsidRPr="00EE0C85" w:rsidRDefault="00426E4D" w:rsidP="00ED3D7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Import</w:t>
            </w:r>
          </w:p>
        </w:tc>
        <w:tc>
          <w:tcPr>
            <w:tcW w:w="2694" w:type="dxa"/>
            <w:vAlign w:val="center"/>
          </w:tcPr>
          <w:p w:rsidR="00426E4D" w:rsidRPr="00EE0C85" w:rsidRDefault="00426E4D" w:rsidP="00ED3D7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6347,83</w:t>
            </w:r>
          </w:p>
        </w:tc>
        <w:tc>
          <w:tcPr>
            <w:tcW w:w="2409" w:type="dxa"/>
            <w:vAlign w:val="center"/>
          </w:tcPr>
          <w:p w:rsidR="00426E4D" w:rsidRPr="00EE0C85" w:rsidRDefault="00426E4D" w:rsidP="00ED3D7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5631,94</w:t>
            </w:r>
          </w:p>
        </w:tc>
        <w:tc>
          <w:tcPr>
            <w:tcW w:w="2146" w:type="dxa"/>
            <w:vAlign w:val="center"/>
          </w:tcPr>
          <w:p w:rsidR="00426E4D" w:rsidRPr="00EE0C85" w:rsidRDefault="00426E4D" w:rsidP="00ED3D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88,72</w:t>
            </w:r>
          </w:p>
        </w:tc>
      </w:tr>
      <w:tr w:rsidR="00426E4D" w:rsidRPr="00EE0C85" w:rsidTr="00ED3D7E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426E4D" w:rsidRPr="00EE0C85" w:rsidRDefault="00426E4D" w:rsidP="00ED3D7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Sold</w:t>
            </w:r>
          </w:p>
        </w:tc>
        <w:tc>
          <w:tcPr>
            <w:tcW w:w="2694" w:type="dxa"/>
            <w:vAlign w:val="center"/>
          </w:tcPr>
          <w:p w:rsidR="00426E4D" w:rsidRPr="00EE0C85" w:rsidRDefault="00426E4D" w:rsidP="00ED3D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-5418,76</w:t>
            </w:r>
          </w:p>
        </w:tc>
        <w:tc>
          <w:tcPr>
            <w:tcW w:w="2409" w:type="dxa"/>
            <w:vAlign w:val="center"/>
          </w:tcPr>
          <w:p w:rsidR="00426E4D" w:rsidRPr="00EE0C85" w:rsidRDefault="00426E4D" w:rsidP="00ED3D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-3002,66</w:t>
            </w:r>
          </w:p>
        </w:tc>
        <w:tc>
          <w:tcPr>
            <w:tcW w:w="2146" w:type="dxa"/>
            <w:vAlign w:val="center"/>
          </w:tcPr>
          <w:p w:rsidR="00426E4D" w:rsidRPr="00EE0C85" w:rsidRDefault="00426E4D" w:rsidP="00ED3D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26E4D" w:rsidRPr="00766AAE" w:rsidRDefault="00426E4D" w:rsidP="00751B73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26E4D" w:rsidRPr="00766AAE" w:rsidSect="00D5061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422F"/>
    <w:multiLevelType w:val="hybridMultilevel"/>
    <w:tmpl w:val="9A04152C"/>
    <w:lvl w:ilvl="0" w:tplc="050CD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34C00"/>
    <w:multiLevelType w:val="hybridMultilevel"/>
    <w:tmpl w:val="B584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7182C"/>
    <w:multiLevelType w:val="hybridMultilevel"/>
    <w:tmpl w:val="2CECD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F4E7D"/>
    <w:multiLevelType w:val="multilevel"/>
    <w:tmpl w:val="AF3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D0F5D"/>
    <w:multiLevelType w:val="hybridMultilevel"/>
    <w:tmpl w:val="23827D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16A6F"/>
    <w:multiLevelType w:val="hybridMultilevel"/>
    <w:tmpl w:val="017EBF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F44F1E"/>
    <w:multiLevelType w:val="multilevel"/>
    <w:tmpl w:val="022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3725A"/>
    <w:multiLevelType w:val="hybridMultilevel"/>
    <w:tmpl w:val="5B7C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D3552"/>
    <w:multiLevelType w:val="hybridMultilevel"/>
    <w:tmpl w:val="10B2D364"/>
    <w:lvl w:ilvl="0" w:tplc="90AA419A">
      <w:start w:val="9"/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0">
    <w:nsid w:val="368B34FA"/>
    <w:multiLevelType w:val="hybridMultilevel"/>
    <w:tmpl w:val="2812C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C27BD"/>
    <w:multiLevelType w:val="multilevel"/>
    <w:tmpl w:val="506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281C51"/>
    <w:multiLevelType w:val="multilevel"/>
    <w:tmpl w:val="272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0931AB"/>
    <w:multiLevelType w:val="multilevel"/>
    <w:tmpl w:val="54C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1A077A"/>
    <w:multiLevelType w:val="multilevel"/>
    <w:tmpl w:val="E13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57538"/>
    <w:multiLevelType w:val="hybridMultilevel"/>
    <w:tmpl w:val="48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51934"/>
    <w:multiLevelType w:val="hybridMultilevel"/>
    <w:tmpl w:val="3334DF9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15EAE"/>
    <w:multiLevelType w:val="hybridMultilevel"/>
    <w:tmpl w:val="9DC29EC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B911D0"/>
    <w:multiLevelType w:val="multilevel"/>
    <w:tmpl w:val="2A2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AC0AF5"/>
    <w:multiLevelType w:val="hybridMultilevel"/>
    <w:tmpl w:val="321C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BA75A3"/>
    <w:multiLevelType w:val="hybridMultilevel"/>
    <w:tmpl w:val="5E7C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0035E2"/>
    <w:multiLevelType w:val="hybridMultilevel"/>
    <w:tmpl w:val="AE0A69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43153"/>
    <w:multiLevelType w:val="hybridMultilevel"/>
    <w:tmpl w:val="18B0A00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22"/>
  </w:num>
  <w:num w:numId="7">
    <w:abstractNumId w:val="9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"/>
  </w:num>
  <w:num w:numId="11">
    <w:abstractNumId w:val="17"/>
  </w:num>
  <w:num w:numId="12">
    <w:abstractNumId w:val="8"/>
  </w:num>
  <w:num w:numId="13">
    <w:abstractNumId w:val="11"/>
  </w:num>
  <w:num w:numId="14">
    <w:abstractNumId w:val="3"/>
  </w:num>
  <w:num w:numId="15">
    <w:abstractNumId w:val="6"/>
  </w:num>
  <w:num w:numId="16">
    <w:abstractNumId w:val="20"/>
  </w:num>
  <w:num w:numId="17">
    <w:abstractNumId w:val="13"/>
  </w:num>
  <w:num w:numId="18">
    <w:abstractNumId w:val="15"/>
  </w:num>
  <w:num w:numId="19">
    <w:abstractNumId w:val="14"/>
  </w:num>
  <w:num w:numId="20">
    <w:abstractNumId w:val="12"/>
  </w:num>
  <w:num w:numId="21">
    <w:abstractNumId w:val="2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19"/>
    <w:rsid w:val="000041B4"/>
    <w:rsid w:val="0000420E"/>
    <w:rsid w:val="000066FC"/>
    <w:rsid w:val="000108BF"/>
    <w:rsid w:val="00017C11"/>
    <w:rsid w:val="00020ACE"/>
    <w:rsid w:val="00025FB8"/>
    <w:rsid w:val="00026A21"/>
    <w:rsid w:val="000273D3"/>
    <w:rsid w:val="00053753"/>
    <w:rsid w:val="00054BE8"/>
    <w:rsid w:val="00056E74"/>
    <w:rsid w:val="0007167C"/>
    <w:rsid w:val="000826E4"/>
    <w:rsid w:val="00085751"/>
    <w:rsid w:val="00096EEF"/>
    <w:rsid w:val="000A3718"/>
    <w:rsid w:val="000A63D2"/>
    <w:rsid w:val="000A663F"/>
    <w:rsid w:val="000A69F4"/>
    <w:rsid w:val="000B296A"/>
    <w:rsid w:val="000B4027"/>
    <w:rsid w:val="000B43FD"/>
    <w:rsid w:val="000B7D0F"/>
    <w:rsid w:val="000E1403"/>
    <w:rsid w:val="000E21FD"/>
    <w:rsid w:val="000E5752"/>
    <w:rsid w:val="0010062C"/>
    <w:rsid w:val="00100DAA"/>
    <w:rsid w:val="00102D16"/>
    <w:rsid w:val="001042FE"/>
    <w:rsid w:val="001044E7"/>
    <w:rsid w:val="00104CD4"/>
    <w:rsid w:val="001153CD"/>
    <w:rsid w:val="001254BD"/>
    <w:rsid w:val="0014389A"/>
    <w:rsid w:val="0014507F"/>
    <w:rsid w:val="00146A98"/>
    <w:rsid w:val="0015077A"/>
    <w:rsid w:val="00157297"/>
    <w:rsid w:val="00161749"/>
    <w:rsid w:val="00170425"/>
    <w:rsid w:val="00170569"/>
    <w:rsid w:val="00172849"/>
    <w:rsid w:val="0018441A"/>
    <w:rsid w:val="001960A4"/>
    <w:rsid w:val="00197182"/>
    <w:rsid w:val="001A2B2E"/>
    <w:rsid w:val="001A40CB"/>
    <w:rsid w:val="001A551A"/>
    <w:rsid w:val="001A7FBB"/>
    <w:rsid w:val="001B0B42"/>
    <w:rsid w:val="001C35D0"/>
    <w:rsid w:val="001D5D69"/>
    <w:rsid w:val="001D6357"/>
    <w:rsid w:val="001F2392"/>
    <w:rsid w:val="001F5463"/>
    <w:rsid w:val="001F7AFD"/>
    <w:rsid w:val="00205970"/>
    <w:rsid w:val="00206246"/>
    <w:rsid w:val="00207887"/>
    <w:rsid w:val="00226A4E"/>
    <w:rsid w:val="0024561D"/>
    <w:rsid w:val="00246ADF"/>
    <w:rsid w:val="00256728"/>
    <w:rsid w:val="00263A4C"/>
    <w:rsid w:val="00286AFF"/>
    <w:rsid w:val="00293986"/>
    <w:rsid w:val="002A41FA"/>
    <w:rsid w:val="002D333E"/>
    <w:rsid w:val="002D643A"/>
    <w:rsid w:val="002E331A"/>
    <w:rsid w:val="002F64E4"/>
    <w:rsid w:val="00300E1D"/>
    <w:rsid w:val="00306F32"/>
    <w:rsid w:val="0032406B"/>
    <w:rsid w:val="00327215"/>
    <w:rsid w:val="00332944"/>
    <w:rsid w:val="00343F6C"/>
    <w:rsid w:val="00345268"/>
    <w:rsid w:val="003467DF"/>
    <w:rsid w:val="003470C3"/>
    <w:rsid w:val="0035366D"/>
    <w:rsid w:val="0038698F"/>
    <w:rsid w:val="00387AE7"/>
    <w:rsid w:val="003979C9"/>
    <w:rsid w:val="003A3B00"/>
    <w:rsid w:val="003B30A4"/>
    <w:rsid w:val="003C62BA"/>
    <w:rsid w:val="003E2CCB"/>
    <w:rsid w:val="003E5712"/>
    <w:rsid w:val="003F42CE"/>
    <w:rsid w:val="004010F9"/>
    <w:rsid w:val="00403AE7"/>
    <w:rsid w:val="00426E4D"/>
    <w:rsid w:val="00432940"/>
    <w:rsid w:val="00437AAA"/>
    <w:rsid w:val="00442000"/>
    <w:rsid w:val="00445FAF"/>
    <w:rsid w:val="00480BB3"/>
    <w:rsid w:val="00487DCD"/>
    <w:rsid w:val="00490EC8"/>
    <w:rsid w:val="004972A4"/>
    <w:rsid w:val="004A1BC5"/>
    <w:rsid w:val="004C4B2B"/>
    <w:rsid w:val="004C7BA3"/>
    <w:rsid w:val="004D0F19"/>
    <w:rsid w:val="004D1B4F"/>
    <w:rsid w:val="004E4941"/>
    <w:rsid w:val="004F66D4"/>
    <w:rsid w:val="0050602C"/>
    <w:rsid w:val="0051571B"/>
    <w:rsid w:val="00520441"/>
    <w:rsid w:val="00535140"/>
    <w:rsid w:val="00553043"/>
    <w:rsid w:val="005556D7"/>
    <w:rsid w:val="00556DFB"/>
    <w:rsid w:val="00563185"/>
    <w:rsid w:val="005776B0"/>
    <w:rsid w:val="00583645"/>
    <w:rsid w:val="00586561"/>
    <w:rsid w:val="005902F3"/>
    <w:rsid w:val="005A4E7C"/>
    <w:rsid w:val="005A514D"/>
    <w:rsid w:val="005E0C12"/>
    <w:rsid w:val="005E5FDA"/>
    <w:rsid w:val="005E7187"/>
    <w:rsid w:val="005F6CA0"/>
    <w:rsid w:val="005F7FDF"/>
    <w:rsid w:val="00607C28"/>
    <w:rsid w:val="00615BAA"/>
    <w:rsid w:val="006164A2"/>
    <w:rsid w:val="0063609A"/>
    <w:rsid w:val="006404CF"/>
    <w:rsid w:val="00646050"/>
    <w:rsid w:val="00647D4A"/>
    <w:rsid w:val="00662F02"/>
    <w:rsid w:val="00664E3B"/>
    <w:rsid w:val="0067454A"/>
    <w:rsid w:val="00685B4D"/>
    <w:rsid w:val="0068765A"/>
    <w:rsid w:val="00690C13"/>
    <w:rsid w:val="006A27FD"/>
    <w:rsid w:val="006A6C88"/>
    <w:rsid w:val="006A7D77"/>
    <w:rsid w:val="006B630A"/>
    <w:rsid w:val="006E0325"/>
    <w:rsid w:val="006E5243"/>
    <w:rsid w:val="006E69E1"/>
    <w:rsid w:val="006F5D62"/>
    <w:rsid w:val="006F6833"/>
    <w:rsid w:val="00703017"/>
    <w:rsid w:val="00710BE6"/>
    <w:rsid w:val="00711A56"/>
    <w:rsid w:val="00727844"/>
    <w:rsid w:val="007279E0"/>
    <w:rsid w:val="00735B99"/>
    <w:rsid w:val="00740EDC"/>
    <w:rsid w:val="007438D0"/>
    <w:rsid w:val="00746AF8"/>
    <w:rsid w:val="00751B73"/>
    <w:rsid w:val="00782881"/>
    <w:rsid w:val="00783B28"/>
    <w:rsid w:val="00784DC7"/>
    <w:rsid w:val="007879F1"/>
    <w:rsid w:val="00796323"/>
    <w:rsid w:val="007A5D87"/>
    <w:rsid w:val="007B28DD"/>
    <w:rsid w:val="007B5B6A"/>
    <w:rsid w:val="007E538E"/>
    <w:rsid w:val="007F1901"/>
    <w:rsid w:val="007F1FFA"/>
    <w:rsid w:val="0080052E"/>
    <w:rsid w:val="0080246E"/>
    <w:rsid w:val="008044AC"/>
    <w:rsid w:val="00805E42"/>
    <w:rsid w:val="0081092D"/>
    <w:rsid w:val="008143AA"/>
    <w:rsid w:val="00823278"/>
    <w:rsid w:val="00823994"/>
    <w:rsid w:val="008258B1"/>
    <w:rsid w:val="0083354F"/>
    <w:rsid w:val="0083478B"/>
    <w:rsid w:val="00834C3B"/>
    <w:rsid w:val="00841A74"/>
    <w:rsid w:val="00861777"/>
    <w:rsid w:val="00861E13"/>
    <w:rsid w:val="00864061"/>
    <w:rsid w:val="00864E43"/>
    <w:rsid w:val="008651DC"/>
    <w:rsid w:val="00880F03"/>
    <w:rsid w:val="008967A6"/>
    <w:rsid w:val="0089716A"/>
    <w:rsid w:val="008A3924"/>
    <w:rsid w:val="008B5829"/>
    <w:rsid w:val="008C262A"/>
    <w:rsid w:val="008C78C9"/>
    <w:rsid w:val="008D0A53"/>
    <w:rsid w:val="008D2127"/>
    <w:rsid w:val="008D23D9"/>
    <w:rsid w:val="008E32F2"/>
    <w:rsid w:val="008E5316"/>
    <w:rsid w:val="008E7AA2"/>
    <w:rsid w:val="008F0E8E"/>
    <w:rsid w:val="008F1CFF"/>
    <w:rsid w:val="008F2DD0"/>
    <w:rsid w:val="00921DF4"/>
    <w:rsid w:val="009260AF"/>
    <w:rsid w:val="00942CB6"/>
    <w:rsid w:val="00975FC2"/>
    <w:rsid w:val="00985889"/>
    <w:rsid w:val="00985C57"/>
    <w:rsid w:val="00985E9B"/>
    <w:rsid w:val="00996FCD"/>
    <w:rsid w:val="009B3629"/>
    <w:rsid w:val="009B6924"/>
    <w:rsid w:val="009B7733"/>
    <w:rsid w:val="009C0652"/>
    <w:rsid w:val="009C5C9D"/>
    <w:rsid w:val="009C62A6"/>
    <w:rsid w:val="009D1236"/>
    <w:rsid w:val="009D70E5"/>
    <w:rsid w:val="009E1751"/>
    <w:rsid w:val="009E54AB"/>
    <w:rsid w:val="009F26CC"/>
    <w:rsid w:val="00A11EC4"/>
    <w:rsid w:val="00A258BD"/>
    <w:rsid w:val="00A272BB"/>
    <w:rsid w:val="00A30DA0"/>
    <w:rsid w:val="00A42BF1"/>
    <w:rsid w:val="00A5077F"/>
    <w:rsid w:val="00A50EA9"/>
    <w:rsid w:val="00A72FBC"/>
    <w:rsid w:val="00A7382F"/>
    <w:rsid w:val="00A823D1"/>
    <w:rsid w:val="00AA1F2D"/>
    <w:rsid w:val="00AA2B49"/>
    <w:rsid w:val="00AA502A"/>
    <w:rsid w:val="00AA5FE8"/>
    <w:rsid w:val="00AB1B61"/>
    <w:rsid w:val="00AC1D82"/>
    <w:rsid w:val="00AC6221"/>
    <w:rsid w:val="00AF32F7"/>
    <w:rsid w:val="00B02EE3"/>
    <w:rsid w:val="00B0444E"/>
    <w:rsid w:val="00B05A3A"/>
    <w:rsid w:val="00B07D92"/>
    <w:rsid w:val="00B164E6"/>
    <w:rsid w:val="00B172DD"/>
    <w:rsid w:val="00B22225"/>
    <w:rsid w:val="00B4019F"/>
    <w:rsid w:val="00B45CE6"/>
    <w:rsid w:val="00B4799E"/>
    <w:rsid w:val="00B6141C"/>
    <w:rsid w:val="00B66505"/>
    <w:rsid w:val="00B75556"/>
    <w:rsid w:val="00B84770"/>
    <w:rsid w:val="00B84B3F"/>
    <w:rsid w:val="00B861F6"/>
    <w:rsid w:val="00BA5810"/>
    <w:rsid w:val="00BB7917"/>
    <w:rsid w:val="00BE4C9B"/>
    <w:rsid w:val="00BE5406"/>
    <w:rsid w:val="00BE61F1"/>
    <w:rsid w:val="00BF15C1"/>
    <w:rsid w:val="00BF24C7"/>
    <w:rsid w:val="00C12442"/>
    <w:rsid w:val="00C230D0"/>
    <w:rsid w:val="00C30E03"/>
    <w:rsid w:val="00C3771E"/>
    <w:rsid w:val="00C455F3"/>
    <w:rsid w:val="00C45FF4"/>
    <w:rsid w:val="00C57A45"/>
    <w:rsid w:val="00C62D3B"/>
    <w:rsid w:val="00C6399B"/>
    <w:rsid w:val="00C83131"/>
    <w:rsid w:val="00C94A97"/>
    <w:rsid w:val="00CA3492"/>
    <w:rsid w:val="00CA410B"/>
    <w:rsid w:val="00CA6CBF"/>
    <w:rsid w:val="00CB4C50"/>
    <w:rsid w:val="00CB500C"/>
    <w:rsid w:val="00CC59CE"/>
    <w:rsid w:val="00CC5F8B"/>
    <w:rsid w:val="00CD641B"/>
    <w:rsid w:val="00CF6A8C"/>
    <w:rsid w:val="00D05DE3"/>
    <w:rsid w:val="00D06448"/>
    <w:rsid w:val="00D07837"/>
    <w:rsid w:val="00D145B8"/>
    <w:rsid w:val="00D239AE"/>
    <w:rsid w:val="00D257C9"/>
    <w:rsid w:val="00D3308E"/>
    <w:rsid w:val="00D36763"/>
    <w:rsid w:val="00D5061C"/>
    <w:rsid w:val="00D519D2"/>
    <w:rsid w:val="00D556D5"/>
    <w:rsid w:val="00D57665"/>
    <w:rsid w:val="00D65E63"/>
    <w:rsid w:val="00D70CC0"/>
    <w:rsid w:val="00D77E88"/>
    <w:rsid w:val="00D81310"/>
    <w:rsid w:val="00DA482B"/>
    <w:rsid w:val="00DA721D"/>
    <w:rsid w:val="00DB193F"/>
    <w:rsid w:val="00DB6290"/>
    <w:rsid w:val="00DC12F7"/>
    <w:rsid w:val="00DE52AC"/>
    <w:rsid w:val="00DF1BC5"/>
    <w:rsid w:val="00DF7D31"/>
    <w:rsid w:val="00E673F2"/>
    <w:rsid w:val="00E722F6"/>
    <w:rsid w:val="00E72869"/>
    <w:rsid w:val="00E86368"/>
    <w:rsid w:val="00E97C09"/>
    <w:rsid w:val="00EA30FC"/>
    <w:rsid w:val="00EB5A1F"/>
    <w:rsid w:val="00EC51A2"/>
    <w:rsid w:val="00EC6278"/>
    <w:rsid w:val="00EE13BE"/>
    <w:rsid w:val="00EE3C7C"/>
    <w:rsid w:val="00EF0C0B"/>
    <w:rsid w:val="00EF4743"/>
    <w:rsid w:val="00F014BD"/>
    <w:rsid w:val="00F03380"/>
    <w:rsid w:val="00F127FC"/>
    <w:rsid w:val="00F13715"/>
    <w:rsid w:val="00F14EB3"/>
    <w:rsid w:val="00F21DB9"/>
    <w:rsid w:val="00F25F19"/>
    <w:rsid w:val="00F3181E"/>
    <w:rsid w:val="00F33449"/>
    <w:rsid w:val="00F3361A"/>
    <w:rsid w:val="00F34DA1"/>
    <w:rsid w:val="00F436FB"/>
    <w:rsid w:val="00F573B8"/>
    <w:rsid w:val="00F67EE6"/>
    <w:rsid w:val="00F72FDC"/>
    <w:rsid w:val="00F9452E"/>
    <w:rsid w:val="00F95813"/>
    <w:rsid w:val="00FA1737"/>
    <w:rsid w:val="00FB3031"/>
    <w:rsid w:val="00FC0B50"/>
    <w:rsid w:val="00FC6C8D"/>
    <w:rsid w:val="00FD22A0"/>
    <w:rsid w:val="00FD3BC3"/>
    <w:rsid w:val="00FD6878"/>
    <w:rsid w:val="00FE2010"/>
    <w:rsid w:val="00FE5D27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8B63243-7F88-4527-9348-0F9F4725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F19"/>
    <w:pPr>
      <w:spacing w:after="120" w:line="264" w:lineRule="auto"/>
    </w:pPr>
    <w:rPr>
      <w:sz w:val="20"/>
      <w:szCs w:val="20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F19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0F19"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0F19"/>
    <w:pPr>
      <w:keepNext/>
      <w:keepLines/>
      <w:spacing w:before="40" w:after="0" w:line="240" w:lineRule="auto"/>
      <w:outlineLvl w:val="2"/>
    </w:pPr>
    <w:rPr>
      <w:rFonts w:ascii="Calibri Light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0F19"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0F19"/>
    <w:pPr>
      <w:keepNext/>
      <w:keepLines/>
      <w:spacing w:before="40" w:after="0"/>
      <w:outlineLvl w:val="4"/>
    </w:pPr>
    <w:rPr>
      <w:rFonts w:ascii="Calibri Light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0F19"/>
    <w:pPr>
      <w:keepNext/>
      <w:keepLines/>
      <w:spacing w:before="40" w:after="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0F19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0F19"/>
    <w:pPr>
      <w:keepNext/>
      <w:keepLines/>
      <w:spacing w:before="40" w:after="0"/>
      <w:outlineLvl w:val="7"/>
    </w:pPr>
    <w:rPr>
      <w:rFonts w:ascii="Calibri Light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0F19"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F1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0F19"/>
    <w:rPr>
      <w:rFonts w:ascii="Calibri Light" w:hAnsi="Calibri Light" w:cs="Times New Roman"/>
      <w:color w:val="40404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0F19"/>
    <w:rPr>
      <w:rFonts w:ascii="Calibri Light" w:hAnsi="Calibri Light" w:cs="Times New Roman"/>
      <w:color w:val="44546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0F19"/>
    <w:rPr>
      <w:rFonts w:ascii="Calibri Light" w:hAnsi="Calibri Light" w:cs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D0F19"/>
    <w:rPr>
      <w:rFonts w:ascii="Calibri Light" w:hAnsi="Calibri Light" w:cs="Times New Roman"/>
      <w:color w:val="4454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D0F19"/>
    <w:rPr>
      <w:rFonts w:ascii="Calibri Light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D0F19"/>
    <w:rPr>
      <w:rFonts w:ascii="Calibri Light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D0F19"/>
    <w:rPr>
      <w:rFonts w:ascii="Calibri Light" w:hAnsi="Calibri Light" w:cs="Times New Roman"/>
      <w:b/>
      <w:bCs/>
      <w:color w:val="44546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D0F19"/>
    <w:rPr>
      <w:rFonts w:ascii="Calibri Light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99"/>
    <w:qFormat/>
    <w:rsid w:val="004D0F19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99"/>
    <w:qFormat/>
    <w:rsid w:val="004D0F19"/>
    <w:pPr>
      <w:spacing w:after="0" w:line="240" w:lineRule="auto"/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D0F19"/>
    <w:rPr>
      <w:rFonts w:ascii="Calibri Light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4D0F19"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D0F19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D0F1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D0F19"/>
    <w:rPr>
      <w:rFonts w:cs="Times New Roman"/>
      <w:i/>
      <w:iCs/>
    </w:rPr>
  </w:style>
  <w:style w:type="paragraph" w:styleId="NoSpacing">
    <w:name w:val="No Spacing"/>
    <w:uiPriority w:val="99"/>
    <w:qFormat/>
    <w:rsid w:val="004D0F19"/>
    <w:rPr>
      <w:sz w:val="20"/>
      <w:szCs w:val="20"/>
      <w:lang w:val="ro-RO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4D0F19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4D0F19"/>
    <w:rPr>
      <w:rFonts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D0F19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D0F19"/>
    <w:rPr>
      <w:rFonts w:ascii="Calibri Light" w:hAnsi="Calibri Light" w:cs="Times New Roman"/>
      <w:color w:val="5B9BD5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4D0F19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4D0F19"/>
    <w:rPr>
      <w:rFonts w:cs="Times New Roman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sid w:val="004D0F19"/>
    <w:rPr>
      <w:rFonts w:cs="Times New Roman"/>
      <w:smallCaps/>
      <w:color w:val="404040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4D0F19"/>
    <w:rPr>
      <w:rFonts w:cs="Times New Roman"/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D0F19"/>
    <w:rPr>
      <w:rFonts w:cs="Times New Roman"/>
      <w:b/>
      <w:bCs/>
      <w:smallCaps/>
    </w:rPr>
  </w:style>
  <w:style w:type="paragraph" w:styleId="TOCHeading">
    <w:name w:val="TOC Heading"/>
    <w:basedOn w:val="Heading1"/>
    <w:next w:val="Normal"/>
    <w:uiPriority w:val="99"/>
    <w:qFormat/>
    <w:rsid w:val="004D0F19"/>
    <w:pPr>
      <w:outlineLvl w:val="9"/>
    </w:pPr>
  </w:style>
  <w:style w:type="table" w:styleId="TableGrid">
    <w:name w:val="Table Grid"/>
    <w:basedOn w:val="TableNormal"/>
    <w:uiPriority w:val="99"/>
    <w:rsid w:val="004D0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A2B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A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5D8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A3492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6F6833"/>
    <w:rPr>
      <w:rFonts w:cs="Times New Roman"/>
    </w:rPr>
  </w:style>
  <w:style w:type="character" w:styleId="Hyperlink">
    <w:name w:val="Hyperlink"/>
    <w:basedOn w:val="DefaultParagraphFont"/>
    <w:uiPriority w:val="99"/>
    <w:rsid w:val="000041B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tact-info">
    <w:name w:val="contact-info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0041B4"/>
    <w:rPr>
      <w:rFonts w:cs="Times New Roman"/>
    </w:rPr>
  </w:style>
  <w:style w:type="paragraph" w:customStyle="1" w:styleId="1">
    <w:name w:val="Абзац списка1"/>
    <w:basedOn w:val="Normal"/>
    <w:uiPriority w:val="99"/>
    <w:rsid w:val="00FD6878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PlainText">
    <w:name w:val="Plain Text"/>
    <w:basedOn w:val="Normal"/>
    <w:link w:val="PlainTextChar"/>
    <w:locked/>
    <w:rsid w:val="00EB5A1F"/>
    <w:pPr>
      <w:widowControl w:val="0"/>
      <w:spacing w:after="0" w:line="240" w:lineRule="auto"/>
      <w:jc w:val="both"/>
    </w:pPr>
    <w:rPr>
      <w:rFonts w:ascii="SimSun" w:eastAsia="SimSun" w:hAnsi="Courier New"/>
      <w:kern w:val="2"/>
      <w:sz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EB5A1F"/>
    <w:rPr>
      <w:rFonts w:ascii="SimSun" w:eastAsia="SimSun" w:hAnsi="Courier New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89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32E8-1E6A-43C1-8EC2-A34244F0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1376</Words>
  <Characters>7845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NOTA INFORMATIVĂ</vt:lpstr>
      <vt:lpstr>NOTA INFORMATIVĂ</vt:lpstr>
    </vt:vector>
  </TitlesOfParts>
  <Company>SPecialiST RePack</Company>
  <LinksUpToDate>false</LinksUpToDate>
  <CharactersWithSpaces>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Liudmila</dc:creator>
  <cp:keywords/>
  <dc:description/>
  <cp:lastModifiedBy>Cerchez T</cp:lastModifiedBy>
  <cp:revision>17</cp:revision>
  <cp:lastPrinted>2017-04-13T05:32:00Z</cp:lastPrinted>
  <dcterms:created xsi:type="dcterms:W3CDTF">2017-07-20T13:28:00Z</dcterms:created>
  <dcterms:modified xsi:type="dcterms:W3CDTF">2017-07-28T06:50:00Z</dcterms:modified>
</cp:coreProperties>
</file>