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6E" w:rsidRPr="000E37BA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E37B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F5316E" w:rsidRPr="000E37BA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E37B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relaţiile comercial-economice </w:t>
      </w:r>
    </w:p>
    <w:p w:rsidR="00F5316E" w:rsidRPr="000E37BA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E37B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între Republica Moldova şi </w:t>
      </w:r>
      <w:r w:rsidR="009D3174" w:rsidRPr="000E37B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Statul Israel </w:t>
      </w:r>
      <w:r w:rsidRPr="000E37B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 durata anului 2014</w:t>
      </w:r>
    </w:p>
    <w:p w:rsidR="00F5316E" w:rsidRPr="000E37BA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F5316E" w:rsidRPr="007329AD" w:rsidRDefault="00F5316E" w:rsidP="007329A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RO"/>
        </w:rPr>
      </w:pPr>
      <w:r w:rsidRPr="00732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RO"/>
        </w:rPr>
        <w:t>CADRUL JURIDIC</w:t>
      </w:r>
    </w:p>
    <w:p w:rsidR="00F5316E" w:rsidRPr="000E37BA" w:rsidRDefault="007F2FBC" w:rsidP="00F5316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E37B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</w:t>
      </w:r>
      <w:r w:rsidR="00F5316E" w:rsidRPr="000E37B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momentul actual între Republica Moldova şi </w:t>
      </w:r>
      <w:r w:rsidR="009D3174" w:rsidRPr="000E37B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Statul Israel </w:t>
      </w:r>
      <w:r w:rsidRPr="000E37B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sunt </w:t>
      </w:r>
      <w:r w:rsidR="00F5316E" w:rsidRPr="000E37B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semnate un şir de Acorduri cu caracter economic, cele mai importante sunt:</w:t>
      </w:r>
    </w:p>
    <w:p w:rsidR="00F5316E" w:rsidRPr="000E37BA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556"/>
        <w:gridCol w:w="5761"/>
        <w:gridCol w:w="1801"/>
        <w:gridCol w:w="1473"/>
      </w:tblGrid>
      <w:tr w:rsidR="00F5316E" w:rsidRPr="000E37BA" w:rsidTr="00D36A01">
        <w:trPr>
          <w:trHeight w:val="48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0E37BA" w:rsidRDefault="00F5316E" w:rsidP="00F5316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0E37BA" w:rsidRDefault="00F5316E" w:rsidP="00D36A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Denumirea Acordurilor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0E37BA" w:rsidRDefault="00F5316E" w:rsidP="00D36A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Locul şi data semnării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0E37BA" w:rsidRDefault="00F5316E" w:rsidP="00D36A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Intrarea în vigoare</w:t>
            </w:r>
          </w:p>
        </w:tc>
      </w:tr>
      <w:tr w:rsidR="007F2FBC" w:rsidRPr="000E37BA" w:rsidTr="00D862F5">
        <w:trPr>
          <w:trHeight w:val="48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0E37BA" w:rsidRDefault="007F2FBC" w:rsidP="007F2FBC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BC" w:rsidRPr="000E37BA" w:rsidRDefault="009D3174" w:rsidP="007F2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  <w:lang w:val="it-CH"/>
              </w:rPr>
              <w:t>Acord între Guvernul Republicii Moldova şi Guvernul Statului Israel privind comerţul şi colaborarea economică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0E37BA" w:rsidRDefault="009D3174" w:rsidP="007F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Ierusalim, 22.06.97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0E37BA" w:rsidRDefault="009D3174" w:rsidP="007F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01.05.1998</w:t>
            </w:r>
          </w:p>
        </w:tc>
      </w:tr>
      <w:tr w:rsidR="007F2FBC" w:rsidRPr="000E37BA" w:rsidTr="00D862F5">
        <w:trPr>
          <w:trHeight w:val="68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0E37BA" w:rsidRDefault="007F2FBC" w:rsidP="007F2FB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2.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BC" w:rsidRPr="000E37BA" w:rsidRDefault="009D3174" w:rsidP="007F2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 privind promovarea şi protejarea reciprocă a investiţiilor între Guvernul Republicii Moldova şi Guvernul Statului Israel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0E37BA" w:rsidRDefault="009D3174" w:rsidP="007F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Ierusalim, 22.06.97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0E37BA" w:rsidRDefault="009D3174" w:rsidP="007F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16.03.</w:t>
            </w:r>
            <w:r w:rsidR="00A01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0E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</w:tr>
      <w:tr w:rsidR="00D96721" w:rsidRPr="000E37BA" w:rsidTr="00DA27D7">
        <w:trPr>
          <w:trHeight w:val="6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21" w:rsidRPr="000E37BA" w:rsidRDefault="00D96721" w:rsidP="00D967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21" w:rsidRPr="000E37BA" w:rsidRDefault="009D3174" w:rsidP="00D96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  <w:lang w:val="it-CH"/>
              </w:rPr>
              <w:t>Convenţia între Guvernul Republicii Moldova şi Guvernul Statului Israel pentru evitarea dublei impuneri şi prevenirea evaziunii fiscale cu privire la impozitele pe venit şi pe capital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21" w:rsidRPr="000E37BA" w:rsidRDefault="009D3174" w:rsidP="00D9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</w:rPr>
              <w:t>Tel-Aviv 23.11.2006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21" w:rsidRPr="000E37BA" w:rsidRDefault="009D3174" w:rsidP="00D96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12.04.2007</w:t>
            </w:r>
          </w:p>
        </w:tc>
      </w:tr>
    </w:tbl>
    <w:p w:rsidR="00AD6F43" w:rsidRPr="000E37BA" w:rsidRDefault="00AD6F43" w:rsidP="000E41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0E4174" w:rsidRPr="007329AD" w:rsidRDefault="000E4174" w:rsidP="007329AD">
      <w:pPr>
        <w:pStyle w:val="a4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7329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COMERŢUL BILATERAL </w:t>
      </w:r>
    </w:p>
    <w:p w:rsidR="00D96721" w:rsidRPr="000E37BA" w:rsidRDefault="00D96721" w:rsidP="00D9672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Volumul comerţului exterior (fără a se ţine cont de activitatea comercială a agenţilor economici din </w:t>
      </w:r>
      <w:r w:rsidRPr="000E37B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raioanele de est</w:t>
      </w: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al Republicii Moldova cu </w:t>
      </w:r>
      <w:r w:rsidR="00B80F9D"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Statul Israel</w:t>
      </w: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anul 2014, a înregistrat suma de </w:t>
      </w:r>
      <w:r w:rsidR="00AA030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25,33</w:t>
      </w:r>
      <w:r w:rsidR="00A01FE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0E37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mil. USD</w:t>
      </w:r>
      <w:r w:rsidR="00801B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</w:t>
      </w:r>
      <w:r w:rsidR="00801B4B" w:rsidRPr="00801B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plasîndu-se pe locul </w:t>
      </w:r>
      <w:r w:rsidR="00801B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30</w:t>
      </w:r>
      <w:r w:rsidR="00801B4B" w:rsidRPr="00801B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între partenerii cu care Republica Moldova întreţine relaţii comerciale</w:t>
      </w: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Comparativ cu anul precedent, volumul comerţului exterior </w:t>
      </w:r>
      <w:r w:rsidRPr="00A01FE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s-</w:t>
      </w:r>
      <w:r w:rsidRPr="000E37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 </w:t>
      </w:r>
      <w:r w:rsidR="00755C7B" w:rsidRPr="000E37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micşorat</w:t>
      </w:r>
      <w:r w:rsidRPr="000E37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cu</w:t>
      </w: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AA03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49,67</w:t>
      </w:r>
      <w:r w:rsidR="00755C7B" w:rsidRPr="000E37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%.</w:t>
      </w:r>
    </w:p>
    <w:p w:rsidR="000E4174" w:rsidRPr="000E37BA" w:rsidRDefault="000E4174" w:rsidP="000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0E4174" w:rsidRPr="000E37BA" w:rsidRDefault="000E4174" w:rsidP="000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E37B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Evoluţia schimburilor comerciale </w:t>
      </w:r>
    </w:p>
    <w:p w:rsidR="000E4174" w:rsidRPr="000E37BA" w:rsidRDefault="000E4174" w:rsidP="002E6EF4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E37B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0E37BA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mil. USD  </w:t>
      </w: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8"/>
        <w:gridCol w:w="2693"/>
        <w:gridCol w:w="2552"/>
        <w:gridCol w:w="2344"/>
      </w:tblGrid>
      <w:tr w:rsidR="000E4174" w:rsidRPr="00141219" w:rsidTr="0064526E">
        <w:trPr>
          <w:trHeight w:hRule="exact" w:val="567"/>
          <w:jc w:val="center"/>
        </w:trPr>
        <w:tc>
          <w:tcPr>
            <w:tcW w:w="1638" w:type="dxa"/>
            <w:vAlign w:val="center"/>
          </w:tcPr>
          <w:p w:rsidR="000E4174" w:rsidRPr="00141219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693" w:type="dxa"/>
            <w:vAlign w:val="center"/>
          </w:tcPr>
          <w:p w:rsidR="000E4174" w:rsidRPr="00141219" w:rsidRDefault="000E4174" w:rsidP="0014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12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0E4174" w:rsidRPr="00141219" w:rsidRDefault="000E4174" w:rsidP="0014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12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2344" w:type="dxa"/>
            <w:vAlign w:val="center"/>
          </w:tcPr>
          <w:p w:rsidR="002E6EF4" w:rsidRPr="00141219" w:rsidRDefault="000E4174" w:rsidP="0014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12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0E4174" w:rsidRPr="00141219" w:rsidRDefault="000E4174" w:rsidP="0014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12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2014/2013%</w:t>
            </w:r>
          </w:p>
          <w:p w:rsidR="0064526E" w:rsidRPr="00141219" w:rsidRDefault="0064526E" w:rsidP="0014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A01FE6" w:rsidRPr="00141219" w:rsidTr="009F4D8E">
        <w:trPr>
          <w:trHeight w:hRule="exact" w:val="397"/>
          <w:jc w:val="center"/>
        </w:trPr>
        <w:tc>
          <w:tcPr>
            <w:tcW w:w="1638" w:type="dxa"/>
          </w:tcPr>
          <w:p w:rsidR="00A01FE6" w:rsidRPr="00141219" w:rsidRDefault="00A01FE6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12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2693" w:type="dxa"/>
            <w:vAlign w:val="bottom"/>
          </w:tcPr>
          <w:p w:rsidR="00A01FE6" w:rsidRPr="00141219" w:rsidRDefault="00A01FE6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2552" w:type="dxa"/>
            <w:shd w:val="clear" w:color="auto" w:fill="E0E0E0"/>
            <w:vAlign w:val="bottom"/>
          </w:tcPr>
          <w:p w:rsidR="00A01FE6" w:rsidRPr="00141219" w:rsidRDefault="00A01FE6" w:rsidP="00141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2344" w:type="dxa"/>
            <w:vAlign w:val="bottom"/>
          </w:tcPr>
          <w:p w:rsidR="00A01FE6" w:rsidRPr="00141219" w:rsidRDefault="00A01FE6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50,33</w:t>
            </w:r>
          </w:p>
        </w:tc>
      </w:tr>
      <w:tr w:rsidR="00141219" w:rsidRPr="00141219" w:rsidTr="00CA0467">
        <w:trPr>
          <w:trHeight w:hRule="exact" w:val="397"/>
          <w:jc w:val="center"/>
        </w:trPr>
        <w:tc>
          <w:tcPr>
            <w:tcW w:w="1638" w:type="dxa"/>
          </w:tcPr>
          <w:p w:rsidR="00141219" w:rsidRPr="00141219" w:rsidRDefault="00141219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12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Export </w:t>
            </w:r>
          </w:p>
        </w:tc>
        <w:tc>
          <w:tcPr>
            <w:tcW w:w="2693" w:type="dxa"/>
            <w:vAlign w:val="center"/>
          </w:tcPr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,68</w:t>
            </w:r>
          </w:p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45652,8</w:t>
            </w:r>
          </w:p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0E0E0"/>
            <w:vAlign w:val="center"/>
          </w:tcPr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41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2,87</w:t>
            </w:r>
          </w:p>
        </w:tc>
        <w:tc>
          <w:tcPr>
            <w:tcW w:w="2344" w:type="dxa"/>
            <w:vAlign w:val="bottom"/>
          </w:tcPr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61,32</w:t>
            </w:r>
          </w:p>
        </w:tc>
      </w:tr>
      <w:tr w:rsidR="00141219" w:rsidRPr="00141219" w:rsidTr="00CA0467">
        <w:trPr>
          <w:trHeight w:hRule="exact" w:val="397"/>
          <w:jc w:val="center"/>
        </w:trPr>
        <w:tc>
          <w:tcPr>
            <w:tcW w:w="1638" w:type="dxa"/>
          </w:tcPr>
          <w:p w:rsidR="00141219" w:rsidRPr="00141219" w:rsidRDefault="00141219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12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Import</w:t>
            </w:r>
          </w:p>
        </w:tc>
        <w:tc>
          <w:tcPr>
            <w:tcW w:w="2693" w:type="dxa"/>
            <w:vAlign w:val="center"/>
          </w:tcPr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0E0E0"/>
            <w:vAlign w:val="center"/>
          </w:tcPr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41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22,46</w:t>
            </w:r>
          </w:p>
        </w:tc>
        <w:tc>
          <w:tcPr>
            <w:tcW w:w="2344" w:type="dxa"/>
            <w:vAlign w:val="bottom"/>
          </w:tcPr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49,20</w:t>
            </w:r>
          </w:p>
        </w:tc>
      </w:tr>
      <w:tr w:rsidR="00141219" w:rsidRPr="00141219" w:rsidTr="00052513">
        <w:trPr>
          <w:trHeight w:hRule="exact" w:val="397"/>
          <w:jc w:val="center"/>
        </w:trPr>
        <w:tc>
          <w:tcPr>
            <w:tcW w:w="1638" w:type="dxa"/>
          </w:tcPr>
          <w:p w:rsidR="00141219" w:rsidRPr="00141219" w:rsidRDefault="00141219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12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Sold </w:t>
            </w:r>
          </w:p>
        </w:tc>
        <w:tc>
          <w:tcPr>
            <w:tcW w:w="2693" w:type="dxa"/>
            <w:vAlign w:val="bottom"/>
          </w:tcPr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-40,97</w:t>
            </w:r>
          </w:p>
        </w:tc>
        <w:tc>
          <w:tcPr>
            <w:tcW w:w="2552" w:type="dxa"/>
            <w:shd w:val="clear" w:color="auto" w:fill="E0E0E0"/>
            <w:vAlign w:val="bottom"/>
          </w:tcPr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-19,59</w:t>
            </w:r>
          </w:p>
        </w:tc>
        <w:tc>
          <w:tcPr>
            <w:tcW w:w="2344" w:type="dxa"/>
            <w:vAlign w:val="bottom"/>
          </w:tcPr>
          <w:p w:rsidR="00141219" w:rsidRPr="00141219" w:rsidRDefault="00141219" w:rsidP="0014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4174" w:rsidRPr="000E37BA" w:rsidRDefault="000E4174" w:rsidP="000E4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0E4174" w:rsidRPr="000E37BA" w:rsidRDefault="000E4174" w:rsidP="000E4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E37B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u-RU"/>
        </w:rPr>
        <w:t>Soldul balanţei comerciale</w:t>
      </w:r>
      <w:r w:rsidRPr="000E3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="004C4122" w:rsidRPr="000E3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Pr="000E37B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înregistrat în anul 201</w:t>
      </w:r>
      <w:r w:rsidR="00B579FE" w:rsidRPr="000E37B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4</w:t>
      </w:r>
      <w:r w:rsidRPr="000E37B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 fost în favoarea </w:t>
      </w:r>
      <w:r w:rsidR="00755C7B" w:rsidRPr="000E37B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Statului Israel </w:t>
      </w:r>
      <w:r w:rsidRPr="000E37B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şi a constituit </w:t>
      </w:r>
      <w:r w:rsidR="00755C7B" w:rsidRPr="000E37B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19,59</w:t>
      </w:r>
      <w:r w:rsidR="00B07204" w:rsidRPr="000E37B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0E3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mil. USD</w:t>
      </w:r>
      <w:r w:rsidRPr="000E37B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. </w:t>
      </w:r>
    </w:p>
    <w:p w:rsidR="000E4174" w:rsidRPr="000E37BA" w:rsidRDefault="000E4174" w:rsidP="000E4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E4174" w:rsidRPr="000E37BA" w:rsidRDefault="000E4174" w:rsidP="000E4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E37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Exportul</w:t>
      </w: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efectuat în anul de referinţă din Republica Moldova în </w:t>
      </w:r>
      <w:r w:rsidR="00755C7B"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Statul Israel</w:t>
      </w: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însumat </w:t>
      </w:r>
      <w:r w:rsidR="00755C7B" w:rsidRPr="000E37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2,8</w:t>
      </w:r>
      <w:r w:rsidR="003B08D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</w:t>
      </w:r>
      <w:r w:rsidR="00F669F3"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E37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mil. USD</w:t>
      </w:r>
      <w:r w:rsidR="00715389"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a înregistrat o </w:t>
      </w:r>
      <w:r w:rsidR="00755C7B"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des</w:t>
      </w: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creştere </w:t>
      </w:r>
      <w:r w:rsidR="00967730"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</w:t>
      </w: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755C7B" w:rsidRPr="000E37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38,6</w:t>
      </w:r>
      <w:r w:rsidR="003B08D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8</w:t>
      </w:r>
      <w:r w:rsidRPr="000E37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%, </w:t>
      </w:r>
      <w:r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comparativ cu anul </w:t>
      </w:r>
      <w:r w:rsidR="00E91762"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2013</w:t>
      </w:r>
      <w:r w:rsidRPr="000E37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="00F669F3" w:rsidRPr="000E37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C5357A" w:rsidRPr="000E37BA" w:rsidRDefault="00C5357A" w:rsidP="006B5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306B" w:rsidRPr="000E37BA" w:rsidRDefault="00D720D5" w:rsidP="006B5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37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Principale mărfuri exportate către </w:t>
      </w:r>
      <w:r w:rsidR="00755C7B" w:rsidRPr="000E37BA">
        <w:rPr>
          <w:rFonts w:ascii="Times New Roman" w:hAnsi="Times New Roman" w:cs="Times New Roman"/>
          <w:b/>
          <w:sz w:val="24"/>
          <w:szCs w:val="24"/>
          <w:lang w:val="ro-RO"/>
        </w:rPr>
        <w:t>Statul Israel</w:t>
      </w:r>
    </w:p>
    <w:p w:rsidR="00D720D5" w:rsidRPr="000E37BA" w:rsidRDefault="00B141EF" w:rsidP="00D720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</w:pPr>
      <w:r w:rsidRPr="000E37B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</w:t>
      </w:r>
      <w:r w:rsidR="00641142" w:rsidRPr="000E37B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il.</w:t>
      </w:r>
      <w:r w:rsidR="00D720D5" w:rsidRPr="000E37B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 xml:space="preserve"> USD</w:t>
      </w:r>
    </w:p>
    <w:tbl>
      <w:tblPr>
        <w:tblW w:w="9651" w:type="dxa"/>
        <w:jc w:val="center"/>
        <w:tblInd w:w="-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4566"/>
        <w:gridCol w:w="1134"/>
        <w:gridCol w:w="944"/>
        <w:gridCol w:w="1180"/>
        <w:gridCol w:w="1133"/>
      </w:tblGrid>
      <w:tr w:rsidR="00706337" w:rsidRPr="000E37BA" w:rsidTr="00A01FE6">
        <w:trPr>
          <w:trHeight w:val="454"/>
          <w:jc w:val="center"/>
        </w:trPr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C5357A" w:rsidRPr="000E37BA" w:rsidRDefault="00C5357A" w:rsidP="0070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456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0E37BA" w:rsidRDefault="00C5357A" w:rsidP="0070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0E37BA" w:rsidRDefault="00C5357A" w:rsidP="0070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0E3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94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0E37BA" w:rsidRDefault="00C5357A" w:rsidP="0070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0E3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11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0E37BA" w:rsidRDefault="00C5357A" w:rsidP="0070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0E3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C5357A" w:rsidRPr="000E37BA" w:rsidRDefault="00C5357A" w:rsidP="0070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0E3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2014/2013 </w:t>
            </w:r>
          </w:p>
        </w:tc>
        <w:tc>
          <w:tcPr>
            <w:tcW w:w="113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0E37BA" w:rsidRDefault="00C5357A" w:rsidP="00706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0E3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Ponderea în total export </w:t>
            </w:r>
          </w:p>
        </w:tc>
      </w:tr>
      <w:tr w:rsidR="00706337" w:rsidRPr="000E37BA" w:rsidTr="007A7A02">
        <w:trPr>
          <w:trHeight w:val="639"/>
          <w:jc w:val="center"/>
        </w:trPr>
        <w:tc>
          <w:tcPr>
            <w:tcW w:w="69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06337" w:rsidRPr="000E37BA" w:rsidRDefault="00706337" w:rsidP="007A7A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1003 </w:t>
            </w:r>
          </w:p>
        </w:tc>
        <w:tc>
          <w:tcPr>
            <w:tcW w:w="4566" w:type="dxa"/>
            <w:vAlign w:val="center"/>
          </w:tcPr>
          <w:p w:rsidR="00706337" w:rsidRPr="007A7A02" w:rsidRDefault="00706337" w:rsidP="007A7A0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Orz: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1,88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42,55%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06337" w:rsidRPr="000E37BA" w:rsidRDefault="00AD6F43" w:rsidP="007A7A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27,77%</w:t>
            </w:r>
          </w:p>
          <w:p w:rsidR="00AD6F43" w:rsidRPr="000E37BA" w:rsidRDefault="00AD6F43" w:rsidP="007A7A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06337" w:rsidRPr="000E37BA" w:rsidTr="007A7A02">
        <w:trPr>
          <w:trHeight w:val="357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:rsidR="00706337" w:rsidRPr="000E37BA" w:rsidRDefault="00706337" w:rsidP="007A7A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8302 </w:t>
            </w:r>
          </w:p>
        </w:tc>
        <w:tc>
          <w:tcPr>
            <w:tcW w:w="4566" w:type="dxa"/>
            <w:vAlign w:val="center"/>
          </w:tcPr>
          <w:p w:rsidR="00706337" w:rsidRPr="000E37BA" w:rsidRDefault="00706337" w:rsidP="007A7A0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Decoratiuni, articole de feronerie si articole similare, din metale comune, </w:t>
            </w: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pentru mobila, pentru usi, pentru scari; pentru ferestre, pentru jal </w:t>
            </w:r>
          </w:p>
        </w:tc>
        <w:tc>
          <w:tcPr>
            <w:tcW w:w="1134" w:type="dxa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0,98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180" w:type="dxa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36,73%</w:t>
            </w:r>
          </w:p>
        </w:tc>
        <w:tc>
          <w:tcPr>
            <w:tcW w:w="1133" w:type="dxa"/>
            <w:vAlign w:val="center"/>
          </w:tcPr>
          <w:p w:rsidR="00AD6F43" w:rsidRPr="000E37BA" w:rsidRDefault="00AD6F43" w:rsidP="007A7A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12,5%</w:t>
            </w:r>
          </w:p>
        </w:tc>
      </w:tr>
      <w:tr w:rsidR="00706337" w:rsidRPr="000E37BA" w:rsidTr="007A7A02">
        <w:trPr>
          <w:trHeight w:val="357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:rsidR="00706337" w:rsidRPr="000E37BA" w:rsidRDefault="00706337" w:rsidP="007A7A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2204 </w:t>
            </w:r>
          </w:p>
        </w:tc>
        <w:tc>
          <w:tcPr>
            <w:tcW w:w="4566" w:type="dxa"/>
            <w:vAlign w:val="center"/>
          </w:tcPr>
          <w:p w:rsidR="00706337" w:rsidRPr="000E37BA" w:rsidRDefault="00706337" w:rsidP="007A7A0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Vinuri din struguri proaspeti, inclusiv vinurile imbogatite cu alcool; musturi de struguri, altele decit de la pozitia 2009 </w:t>
            </w:r>
          </w:p>
        </w:tc>
        <w:tc>
          <w:tcPr>
            <w:tcW w:w="1134" w:type="dxa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180" w:type="dxa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96%</w:t>
            </w:r>
          </w:p>
        </w:tc>
        <w:tc>
          <w:tcPr>
            <w:tcW w:w="1133" w:type="dxa"/>
            <w:vAlign w:val="center"/>
          </w:tcPr>
          <w:p w:rsidR="00706337" w:rsidRPr="000E37BA" w:rsidRDefault="00AD6F43" w:rsidP="007A7A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8,33%</w:t>
            </w:r>
          </w:p>
          <w:p w:rsidR="00AD6F43" w:rsidRPr="000E37BA" w:rsidRDefault="00AD6F43" w:rsidP="007A7A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06337" w:rsidRPr="000E37BA" w:rsidTr="007A7A02">
        <w:trPr>
          <w:trHeight w:val="357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:rsidR="00706337" w:rsidRPr="000E37BA" w:rsidRDefault="00706337" w:rsidP="007A7A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1806 </w:t>
            </w:r>
          </w:p>
        </w:tc>
        <w:tc>
          <w:tcPr>
            <w:tcW w:w="4566" w:type="dxa"/>
            <w:vAlign w:val="center"/>
          </w:tcPr>
          <w:p w:rsidR="00706337" w:rsidRPr="000E37BA" w:rsidRDefault="00706337" w:rsidP="007A7A0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Ciocolata si alte preparate alimentare care contin cacao: </w:t>
            </w:r>
          </w:p>
        </w:tc>
        <w:tc>
          <w:tcPr>
            <w:tcW w:w="1134" w:type="dxa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180" w:type="dxa"/>
            <w:vAlign w:val="center"/>
          </w:tcPr>
          <w:p w:rsidR="00706337" w:rsidRPr="000E37BA" w:rsidRDefault="00706337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600%</w:t>
            </w:r>
          </w:p>
        </w:tc>
        <w:tc>
          <w:tcPr>
            <w:tcW w:w="1133" w:type="dxa"/>
            <w:vAlign w:val="center"/>
          </w:tcPr>
          <w:p w:rsidR="00706337" w:rsidRPr="000E37BA" w:rsidRDefault="00AD6F43" w:rsidP="007A7A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6,25%</w:t>
            </w:r>
          </w:p>
          <w:p w:rsidR="00AD6F43" w:rsidRPr="000E37BA" w:rsidRDefault="00AD6F43" w:rsidP="007A7A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1FE6" w:rsidRPr="000E37BA" w:rsidTr="007A7A02">
        <w:trPr>
          <w:trHeight w:val="357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:rsidR="00A01FE6" w:rsidRPr="000E37BA" w:rsidRDefault="00A01FE6" w:rsidP="007A7A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1905 </w:t>
            </w:r>
          </w:p>
          <w:p w:rsidR="00A01FE6" w:rsidRPr="000E37BA" w:rsidRDefault="00A01FE6" w:rsidP="007A7A0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66" w:type="dxa"/>
            <w:tcBorders>
              <w:right w:val="single" w:sz="4" w:space="0" w:color="auto"/>
            </w:tcBorders>
            <w:vAlign w:val="center"/>
          </w:tcPr>
          <w:p w:rsidR="00A01FE6" w:rsidRPr="007A7A02" w:rsidRDefault="00A01FE6" w:rsidP="007A7A0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Produse de brutarie, de patiserie si biscuiti, chiar cu adaos de cacao; ostii, casete goale de tipul celor utilizate pentru medicamente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E6" w:rsidRPr="000E37BA" w:rsidRDefault="00A01FE6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FE6" w:rsidRPr="000E37BA" w:rsidRDefault="00A01FE6" w:rsidP="007A7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E6" w:rsidRPr="000E37BA" w:rsidRDefault="00A01FE6" w:rsidP="007A7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250%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A01FE6" w:rsidRPr="000E37BA" w:rsidRDefault="00A01FE6" w:rsidP="007A7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5,2%</w:t>
            </w:r>
          </w:p>
        </w:tc>
      </w:tr>
    </w:tbl>
    <w:p w:rsidR="0021783A" w:rsidRPr="000E37BA" w:rsidRDefault="0021783A" w:rsidP="00E8220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2206" w:rsidRPr="000E37BA" w:rsidRDefault="00E82206" w:rsidP="00E8220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E37B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Importul</w:t>
      </w:r>
      <w:r w:rsidRPr="000E37BA">
        <w:rPr>
          <w:rFonts w:ascii="Times New Roman" w:hAnsi="Times New Roman" w:cs="Times New Roman"/>
          <w:sz w:val="24"/>
          <w:szCs w:val="24"/>
          <w:lang w:val="ro-RO"/>
        </w:rPr>
        <w:t xml:space="preserve"> de mărfuri efectuat în anul 2014 în Republica Moldova din </w:t>
      </w:r>
      <w:r w:rsidR="00402283" w:rsidRPr="000E37BA">
        <w:rPr>
          <w:rFonts w:ascii="Times New Roman" w:hAnsi="Times New Roman" w:cs="Times New Roman"/>
          <w:sz w:val="24"/>
          <w:szCs w:val="24"/>
          <w:lang w:val="ro-RO"/>
        </w:rPr>
        <w:t>Statul Israel</w:t>
      </w:r>
      <w:r w:rsidRPr="000E37BA">
        <w:rPr>
          <w:rFonts w:ascii="Times New Roman" w:hAnsi="Times New Roman" w:cs="Times New Roman"/>
          <w:sz w:val="24"/>
          <w:szCs w:val="24"/>
          <w:lang w:val="ro-RO"/>
        </w:rPr>
        <w:t xml:space="preserve"> a însumat </w:t>
      </w:r>
      <w:r w:rsidR="003B08DA">
        <w:rPr>
          <w:rFonts w:ascii="Times New Roman" w:hAnsi="Times New Roman" w:cs="Times New Roman"/>
          <w:b/>
          <w:sz w:val="24"/>
          <w:szCs w:val="24"/>
          <w:lang w:val="ro-RO"/>
        </w:rPr>
        <w:t>22,46</w:t>
      </w:r>
      <w:r w:rsidR="007F1ECD" w:rsidRPr="000E37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E37BA">
        <w:rPr>
          <w:rFonts w:ascii="Times New Roman" w:hAnsi="Times New Roman" w:cs="Times New Roman"/>
          <w:b/>
          <w:sz w:val="24"/>
          <w:szCs w:val="24"/>
          <w:lang w:val="ro-RO"/>
        </w:rPr>
        <w:t>mil. USD</w:t>
      </w:r>
      <w:r w:rsidR="000746A5" w:rsidRPr="000E37BA">
        <w:rPr>
          <w:rFonts w:ascii="Times New Roman" w:hAnsi="Times New Roman" w:cs="Times New Roman"/>
          <w:sz w:val="24"/>
          <w:szCs w:val="24"/>
          <w:lang w:val="ro-RO"/>
        </w:rPr>
        <w:t xml:space="preserve"> şi a înregistrat o </w:t>
      </w:r>
      <w:r w:rsidR="00641142" w:rsidRPr="000E37BA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0E37BA">
        <w:rPr>
          <w:rFonts w:ascii="Times New Roman" w:hAnsi="Times New Roman" w:cs="Times New Roman"/>
          <w:sz w:val="24"/>
          <w:szCs w:val="24"/>
          <w:lang w:val="ro-RO"/>
        </w:rPr>
        <w:t xml:space="preserve">screştere în raport cu anul 2013 cu </w:t>
      </w:r>
      <w:r w:rsidR="003B08DA">
        <w:rPr>
          <w:rFonts w:ascii="Times New Roman" w:hAnsi="Times New Roman" w:cs="Times New Roman"/>
          <w:b/>
          <w:sz w:val="24"/>
          <w:szCs w:val="24"/>
          <w:lang w:val="ro-RO"/>
        </w:rPr>
        <w:t>50,</w:t>
      </w:r>
      <w:r w:rsidR="00402283" w:rsidRPr="000E37BA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0E37BA">
        <w:rPr>
          <w:rFonts w:ascii="Times New Roman" w:hAnsi="Times New Roman" w:cs="Times New Roman"/>
          <w:b/>
          <w:sz w:val="24"/>
          <w:szCs w:val="24"/>
          <w:lang w:val="ro-RO"/>
        </w:rPr>
        <w:t>%.</w:t>
      </w:r>
      <w:r w:rsidRPr="000E3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B5844" w:rsidRPr="000E37BA" w:rsidRDefault="006B5844" w:rsidP="006B5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37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Principale mărfuri importate din </w:t>
      </w:r>
      <w:r w:rsidR="00402283" w:rsidRPr="000E37BA">
        <w:rPr>
          <w:rFonts w:ascii="Times New Roman" w:hAnsi="Times New Roman" w:cs="Times New Roman"/>
          <w:b/>
          <w:sz w:val="24"/>
          <w:szCs w:val="24"/>
          <w:lang w:val="ro-RO"/>
        </w:rPr>
        <w:t>Statul Israel</w:t>
      </w:r>
    </w:p>
    <w:p w:rsidR="006B5844" w:rsidRPr="000E37BA" w:rsidRDefault="00B141EF" w:rsidP="007F1ECD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</w:pPr>
      <w:r w:rsidRPr="000E37B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mil</w:t>
      </w:r>
      <w:r w:rsidR="006B5844" w:rsidRPr="000E37B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. USD</w:t>
      </w:r>
    </w:p>
    <w:tbl>
      <w:tblPr>
        <w:tblW w:w="9517" w:type="dxa"/>
        <w:jc w:val="center"/>
        <w:tblInd w:w="7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4007"/>
        <w:gridCol w:w="993"/>
        <w:gridCol w:w="850"/>
        <w:gridCol w:w="1459"/>
        <w:gridCol w:w="1134"/>
      </w:tblGrid>
      <w:tr w:rsidR="00E31A43" w:rsidRPr="000E37BA" w:rsidTr="00B97148">
        <w:trPr>
          <w:jc w:val="center"/>
        </w:trPr>
        <w:tc>
          <w:tcPr>
            <w:tcW w:w="1074" w:type="dxa"/>
            <w:tcBorders>
              <w:bottom w:val="single" w:sz="6" w:space="0" w:color="auto"/>
            </w:tcBorders>
            <w:vAlign w:val="center"/>
          </w:tcPr>
          <w:p w:rsidR="00E31A43" w:rsidRPr="000E37BA" w:rsidRDefault="00E31A43" w:rsidP="00E92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4007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0E37BA" w:rsidRDefault="00E31A43" w:rsidP="00E92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0E37BA" w:rsidRDefault="00E31A43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0E3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0E37BA" w:rsidRDefault="00E31A43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0E3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145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0E37BA" w:rsidRDefault="00E31A43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0E3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E31A43" w:rsidRPr="000E37BA" w:rsidRDefault="00E31A43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0E3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2014/2013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0E37BA" w:rsidRDefault="00E31A43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0E3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Ponderea în total import</w:t>
            </w:r>
          </w:p>
        </w:tc>
      </w:tr>
      <w:tr w:rsidR="005D4FFD" w:rsidRPr="000E37BA" w:rsidTr="00F16917">
        <w:trPr>
          <w:jc w:val="center"/>
        </w:trPr>
        <w:tc>
          <w:tcPr>
            <w:tcW w:w="107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5D4FFD" w:rsidRPr="000E37BA" w:rsidRDefault="00F16917" w:rsidP="00F169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2710</w:t>
            </w:r>
            <w:r w:rsidR="005D4FFD"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07" w:type="dxa"/>
          </w:tcPr>
          <w:p w:rsidR="005D4FFD" w:rsidRPr="000E37BA" w:rsidRDefault="005D4F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F16917"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Uleiuri din petrol sau uleiuri din minerale bituminoase, altele decit uleiurille brute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4FFD" w:rsidRPr="000E37BA" w:rsidRDefault="005D4FFD" w:rsidP="00F169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D4FFD" w:rsidRPr="00F16917" w:rsidRDefault="005D4FFD" w:rsidP="00F169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,</w:t>
            </w: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07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5D4FFD" w:rsidRPr="000E37BA" w:rsidRDefault="005D4FFD" w:rsidP="00F16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28,22%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FFD" w:rsidRPr="000E37BA" w:rsidRDefault="005D4FFD" w:rsidP="00F16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40,36%</w:t>
            </w:r>
          </w:p>
        </w:tc>
      </w:tr>
      <w:tr w:rsidR="005D4FFD" w:rsidRPr="000E37BA" w:rsidTr="00F16917">
        <w:trPr>
          <w:trHeight w:val="600"/>
          <w:jc w:val="center"/>
        </w:trPr>
        <w:tc>
          <w:tcPr>
            <w:tcW w:w="1074" w:type="dxa"/>
            <w:shd w:val="clear" w:color="auto" w:fill="D9D9D9" w:themeFill="background1" w:themeFillShade="D9"/>
          </w:tcPr>
          <w:p w:rsidR="005D4FFD" w:rsidRPr="000E37BA" w:rsidRDefault="005D4F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3808 </w:t>
            </w:r>
          </w:p>
        </w:tc>
        <w:tc>
          <w:tcPr>
            <w:tcW w:w="4007" w:type="dxa"/>
          </w:tcPr>
          <w:p w:rsidR="005D4FFD" w:rsidRPr="000E37BA" w:rsidRDefault="005D4F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Insecticide, rodenticide, fungicide, erbicide, inhibitori de germinare si regulatori de crestere pentru plante </w:t>
            </w:r>
          </w:p>
        </w:tc>
        <w:tc>
          <w:tcPr>
            <w:tcW w:w="993" w:type="dxa"/>
            <w:vAlign w:val="center"/>
          </w:tcPr>
          <w:p w:rsidR="005D4FFD" w:rsidRPr="000E37BA" w:rsidRDefault="005D4FFD" w:rsidP="00F169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D4FFD" w:rsidRPr="00F16917" w:rsidRDefault="005D4FFD" w:rsidP="00F169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,</w:t>
            </w: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459" w:type="dxa"/>
            <w:vAlign w:val="center"/>
          </w:tcPr>
          <w:p w:rsidR="005D4FFD" w:rsidRPr="000E37BA" w:rsidRDefault="005D4FFD" w:rsidP="00F16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101,79%</w:t>
            </w:r>
          </w:p>
        </w:tc>
        <w:tc>
          <w:tcPr>
            <w:tcW w:w="1134" w:type="dxa"/>
            <w:vAlign w:val="center"/>
          </w:tcPr>
          <w:p w:rsidR="005D4FFD" w:rsidRPr="000E37BA" w:rsidRDefault="00B97148" w:rsidP="00F16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7,56%</w:t>
            </w:r>
          </w:p>
        </w:tc>
      </w:tr>
      <w:tr w:rsidR="005D4FFD" w:rsidRPr="000E37BA" w:rsidTr="00F16917">
        <w:trPr>
          <w:trHeight w:val="600"/>
          <w:jc w:val="center"/>
        </w:trPr>
        <w:tc>
          <w:tcPr>
            <w:tcW w:w="1074" w:type="dxa"/>
            <w:shd w:val="clear" w:color="auto" w:fill="D9D9D9" w:themeFill="background1" w:themeFillShade="D9"/>
          </w:tcPr>
          <w:p w:rsidR="005D4FFD" w:rsidRPr="000E37BA" w:rsidRDefault="005D4F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3921 </w:t>
            </w:r>
          </w:p>
        </w:tc>
        <w:tc>
          <w:tcPr>
            <w:tcW w:w="4007" w:type="dxa"/>
          </w:tcPr>
          <w:p w:rsidR="005D4FFD" w:rsidRPr="000E37BA" w:rsidRDefault="005D4F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Alte placi, folii, pelicule, benzi si lame din materiale plastice: </w:t>
            </w:r>
          </w:p>
        </w:tc>
        <w:tc>
          <w:tcPr>
            <w:tcW w:w="993" w:type="dxa"/>
            <w:vAlign w:val="center"/>
          </w:tcPr>
          <w:p w:rsidR="005D4FFD" w:rsidRPr="0036213C" w:rsidRDefault="005D4FFD" w:rsidP="003621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</w:t>
            </w: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6213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D4FFD" w:rsidRPr="00F16917" w:rsidRDefault="005D4FFD" w:rsidP="00F169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,</w:t>
            </w: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9" w:type="dxa"/>
            <w:vAlign w:val="center"/>
          </w:tcPr>
          <w:p w:rsidR="005D4FFD" w:rsidRPr="000E37BA" w:rsidRDefault="005D4FFD" w:rsidP="00F16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330,55%</w:t>
            </w:r>
          </w:p>
        </w:tc>
        <w:tc>
          <w:tcPr>
            <w:tcW w:w="1134" w:type="dxa"/>
            <w:vAlign w:val="center"/>
          </w:tcPr>
          <w:p w:rsidR="005D4FFD" w:rsidRPr="000E37BA" w:rsidRDefault="00B97148" w:rsidP="00F16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5,29%</w:t>
            </w:r>
          </w:p>
        </w:tc>
      </w:tr>
      <w:tr w:rsidR="005D4FFD" w:rsidRPr="000E37BA" w:rsidTr="00F16917">
        <w:trPr>
          <w:trHeight w:val="600"/>
          <w:jc w:val="center"/>
        </w:trPr>
        <w:tc>
          <w:tcPr>
            <w:tcW w:w="1074" w:type="dxa"/>
            <w:shd w:val="clear" w:color="auto" w:fill="D9D9D9" w:themeFill="background1" w:themeFillShade="D9"/>
          </w:tcPr>
          <w:p w:rsidR="005D4FFD" w:rsidRPr="000E37BA" w:rsidRDefault="005D4F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9021 </w:t>
            </w:r>
          </w:p>
        </w:tc>
        <w:tc>
          <w:tcPr>
            <w:tcW w:w="4007" w:type="dxa"/>
          </w:tcPr>
          <w:p w:rsidR="005D4FFD" w:rsidRPr="000E37BA" w:rsidRDefault="005D4F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Articole si aparate de ortopedie, inclusiv centurile si bandajele medicochirurgicale si cirjele; altele, gutiere si alte articole si aparate pen </w:t>
            </w:r>
          </w:p>
        </w:tc>
        <w:tc>
          <w:tcPr>
            <w:tcW w:w="993" w:type="dxa"/>
            <w:vAlign w:val="center"/>
          </w:tcPr>
          <w:p w:rsidR="005D4FFD" w:rsidRPr="000E37BA" w:rsidRDefault="005D4FFD" w:rsidP="00F169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</w:t>
            </w: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D4FFD" w:rsidRPr="00F16917" w:rsidRDefault="005D4FFD" w:rsidP="003621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,</w:t>
            </w: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9" w:type="dxa"/>
            <w:vAlign w:val="center"/>
          </w:tcPr>
          <w:p w:rsidR="005D4FFD" w:rsidRPr="000E37BA" w:rsidRDefault="005D4FFD" w:rsidP="00F16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139,75%</w:t>
            </w:r>
          </w:p>
        </w:tc>
        <w:tc>
          <w:tcPr>
            <w:tcW w:w="1134" w:type="dxa"/>
            <w:vAlign w:val="center"/>
          </w:tcPr>
          <w:p w:rsidR="005D4FFD" w:rsidRPr="000E37BA" w:rsidRDefault="00B97148" w:rsidP="00F16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5,16%</w:t>
            </w:r>
          </w:p>
        </w:tc>
      </w:tr>
      <w:tr w:rsidR="005D4FFD" w:rsidRPr="000E37BA" w:rsidTr="00F16917">
        <w:trPr>
          <w:trHeight w:val="608"/>
          <w:jc w:val="center"/>
        </w:trPr>
        <w:tc>
          <w:tcPr>
            <w:tcW w:w="1074" w:type="dxa"/>
            <w:shd w:val="clear" w:color="auto" w:fill="D9D9D9" w:themeFill="background1" w:themeFillShade="D9"/>
          </w:tcPr>
          <w:p w:rsidR="005D4FFD" w:rsidRPr="000E37BA" w:rsidRDefault="005D4F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E3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3920 </w:t>
            </w:r>
          </w:p>
        </w:tc>
        <w:tc>
          <w:tcPr>
            <w:tcW w:w="4007" w:type="dxa"/>
          </w:tcPr>
          <w:p w:rsidR="005D4FFD" w:rsidRPr="000E37BA" w:rsidRDefault="005D4F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3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Alte placi, folii, pelicule, benzi, panglici si lame, din materiale plastice nealveolare, neranforsate, nestratificate, neasociate cu alte mater </w:t>
            </w:r>
          </w:p>
        </w:tc>
        <w:tc>
          <w:tcPr>
            <w:tcW w:w="993" w:type="dxa"/>
            <w:vAlign w:val="center"/>
          </w:tcPr>
          <w:p w:rsidR="005D4FFD" w:rsidRPr="000E37BA" w:rsidRDefault="005D4FFD" w:rsidP="00F169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D4FFD" w:rsidRPr="00F16917" w:rsidRDefault="005D4FFD" w:rsidP="00F169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,</w:t>
            </w:r>
            <w:r w:rsidRPr="00F16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9" w:type="dxa"/>
            <w:vAlign w:val="center"/>
          </w:tcPr>
          <w:p w:rsidR="005D4FFD" w:rsidRPr="000E37BA" w:rsidRDefault="005D4FFD" w:rsidP="00F16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103,7</w:t>
            </w:r>
          </w:p>
        </w:tc>
        <w:tc>
          <w:tcPr>
            <w:tcW w:w="1134" w:type="dxa"/>
            <w:vAlign w:val="center"/>
          </w:tcPr>
          <w:p w:rsidR="005D4FFD" w:rsidRPr="000E37BA" w:rsidRDefault="00B97148" w:rsidP="00F16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E37B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4,98%</w:t>
            </w:r>
          </w:p>
        </w:tc>
      </w:tr>
    </w:tbl>
    <w:p w:rsidR="00974718" w:rsidRPr="000E37BA" w:rsidRDefault="00974718" w:rsidP="0097471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ro-RO" w:eastAsia="ru-RU"/>
        </w:rPr>
      </w:pPr>
    </w:p>
    <w:p w:rsidR="00A625DA" w:rsidRPr="007329AD" w:rsidRDefault="00A625DA" w:rsidP="007329AD">
      <w:pPr>
        <w:pStyle w:val="a4"/>
        <w:numPr>
          <w:ilvl w:val="0"/>
          <w:numId w:val="3"/>
        </w:num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ro-RO" w:eastAsia="ru-RU"/>
        </w:rPr>
      </w:pPr>
      <w:r w:rsidRPr="007329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ro-RO" w:eastAsia="ru-RU"/>
        </w:rPr>
        <w:t>COMISIA INTERGUVERNAMENTALĂ</w:t>
      </w:r>
    </w:p>
    <w:p w:rsidR="004C4122" w:rsidRPr="000E37BA" w:rsidRDefault="007F1ECD" w:rsidP="00044766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0E37BA">
        <w:rPr>
          <w:rFonts w:ascii="Times New Roman" w:hAnsi="Times New Roman" w:cs="Times New Roman"/>
          <w:sz w:val="24"/>
          <w:szCs w:val="24"/>
          <w:lang w:val="ro-RO"/>
        </w:rPr>
        <w:t>Cea</w:t>
      </w:r>
      <w:r w:rsidR="004C4122" w:rsidRPr="000E37BA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4C4122" w:rsidRPr="000E37BA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r w:rsidR="00402283" w:rsidRPr="000E37B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4122" w:rsidRPr="000E37BA">
        <w:rPr>
          <w:rFonts w:ascii="Times New Roman" w:hAnsi="Times New Roman" w:cs="Times New Roman"/>
          <w:sz w:val="24"/>
          <w:szCs w:val="24"/>
          <w:lang w:val="en-US"/>
        </w:rPr>
        <w:t xml:space="preserve">V-a </w:t>
      </w:r>
      <w:r w:rsidR="004F271D">
        <w:rPr>
          <w:rFonts w:ascii="Times New Roman" w:hAnsi="Times New Roman" w:cs="Times New Roman"/>
          <w:sz w:val="24"/>
          <w:szCs w:val="24"/>
          <w:lang w:val="en-US"/>
        </w:rPr>
        <w:t>Şedinţă</w:t>
      </w:r>
      <w:r w:rsidR="004F271D" w:rsidRPr="000E37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FC1" w:rsidRPr="000E37B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C4122" w:rsidRPr="000E37BA">
        <w:rPr>
          <w:rFonts w:ascii="Times New Roman" w:hAnsi="Times New Roman" w:cs="Times New Roman"/>
          <w:sz w:val="24"/>
          <w:szCs w:val="24"/>
          <w:lang w:val="en-US"/>
        </w:rPr>
        <w:t>Comisi</w:t>
      </w:r>
      <w:r w:rsidR="00636A5D" w:rsidRPr="000E37B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46FC1" w:rsidRPr="000E37B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4122" w:rsidRPr="000E37BA">
        <w:rPr>
          <w:rFonts w:ascii="Times New Roman" w:hAnsi="Times New Roman" w:cs="Times New Roman"/>
          <w:sz w:val="24"/>
          <w:szCs w:val="24"/>
          <w:lang w:val="en-US"/>
        </w:rPr>
        <w:t xml:space="preserve"> mixt</w:t>
      </w:r>
      <w:r w:rsidR="00146FC1" w:rsidRPr="000E37B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402283" w:rsidRPr="000E37BA">
        <w:rPr>
          <w:rFonts w:ascii="Times New Roman" w:hAnsi="Times New Roman" w:cs="Times New Roman"/>
          <w:sz w:val="24"/>
          <w:szCs w:val="24"/>
          <w:lang w:val="en-US"/>
        </w:rPr>
        <w:t>moldo-israeliene</w:t>
      </w:r>
      <w:r w:rsidR="004C4122" w:rsidRPr="000E37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0B31" w:rsidRPr="00530B31">
        <w:rPr>
          <w:rFonts w:ascii="Times New Roman" w:hAnsi="Times New Roman" w:cs="Times New Roman"/>
          <w:sz w:val="24"/>
          <w:szCs w:val="24"/>
          <w:lang w:val="en-US"/>
        </w:rPr>
        <w:t>pentru cooperare comercial-economică</w:t>
      </w:r>
      <w:r w:rsidR="00530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122" w:rsidRPr="000E37BA">
        <w:rPr>
          <w:rFonts w:ascii="Times New Roman" w:hAnsi="Times New Roman" w:cs="Times New Roman"/>
          <w:sz w:val="24"/>
          <w:szCs w:val="24"/>
          <w:lang w:val="en-US"/>
        </w:rPr>
        <w:t xml:space="preserve">a avut loc pe data de </w:t>
      </w:r>
      <w:r w:rsidR="00146FC1" w:rsidRPr="000E37BA">
        <w:rPr>
          <w:rFonts w:ascii="Times New Roman" w:hAnsi="Times New Roman" w:cs="Times New Roman"/>
          <w:sz w:val="24"/>
          <w:szCs w:val="24"/>
          <w:lang w:val="en-US"/>
        </w:rPr>
        <w:t>23 iulie</w:t>
      </w:r>
      <w:r w:rsidR="004C4122" w:rsidRPr="000E37BA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  <w:r w:rsidR="00942013" w:rsidRPr="000E37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46FC1" w:rsidRPr="000E37BA">
        <w:rPr>
          <w:rFonts w:ascii="Times New Roman" w:hAnsi="Times New Roman" w:cs="Times New Roman"/>
          <w:sz w:val="24"/>
          <w:szCs w:val="24"/>
          <w:lang w:val="en-US"/>
        </w:rPr>
        <w:t xml:space="preserve"> la Chisinau</w:t>
      </w:r>
      <w:r w:rsidR="004C4122" w:rsidRPr="000E37BA">
        <w:rPr>
          <w:rFonts w:ascii="Times New Roman" w:hAnsi="Times New Roman" w:cs="Times New Roman"/>
          <w:sz w:val="24"/>
          <w:szCs w:val="24"/>
          <w:lang w:val="en-US"/>
        </w:rPr>
        <w:t>. Pentru a face cunostin</w:t>
      </w:r>
      <w:r w:rsidR="004C4122" w:rsidRPr="000E37BA">
        <w:rPr>
          <w:rFonts w:ascii="Times New Roman" w:hAnsi="Times New Roman" w:cs="Times New Roman"/>
          <w:sz w:val="24"/>
          <w:szCs w:val="24"/>
          <w:lang w:val="ro-RO"/>
        </w:rPr>
        <w:t>ţă cu textul</w:t>
      </w:r>
      <w:r w:rsidR="00942013" w:rsidRPr="000E37BA">
        <w:rPr>
          <w:rFonts w:ascii="Times New Roman" w:hAnsi="Times New Roman" w:cs="Times New Roman"/>
          <w:sz w:val="24"/>
          <w:szCs w:val="24"/>
          <w:lang w:val="ro-RO"/>
        </w:rPr>
        <w:t xml:space="preserve"> Protocolului </w:t>
      </w:r>
      <w:r w:rsidR="00530B31">
        <w:rPr>
          <w:rFonts w:ascii="Times New Roman" w:hAnsi="Times New Roman" w:cs="Times New Roman"/>
          <w:sz w:val="24"/>
          <w:szCs w:val="24"/>
          <w:lang w:val="ro-RO"/>
        </w:rPr>
        <w:t>şi/</w:t>
      </w:r>
      <w:r w:rsidR="00942013" w:rsidRPr="000E37BA">
        <w:rPr>
          <w:rFonts w:ascii="Times New Roman" w:hAnsi="Times New Roman" w:cs="Times New Roman"/>
          <w:sz w:val="24"/>
          <w:szCs w:val="24"/>
          <w:lang w:val="ro-RO"/>
        </w:rPr>
        <w:t>sau altă informaţie relevantă accesaţi link-ul de mai jos:</w:t>
      </w:r>
    </w:p>
    <w:p w:rsidR="004C4122" w:rsidRDefault="00194C11" w:rsidP="00044766">
      <w:pPr>
        <w:spacing w:after="0"/>
        <w:rPr>
          <w:rStyle w:val="a5"/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="00402283" w:rsidRPr="000E37BA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http://mec.gov.md/sites/default/files/document/protocol_4_israel.pdf</w:t>
        </w:r>
      </w:hyperlink>
    </w:p>
    <w:p w:rsidR="007329AD" w:rsidRDefault="007329AD" w:rsidP="00044766">
      <w:pPr>
        <w:spacing w:after="0"/>
        <w:rPr>
          <w:rStyle w:val="a5"/>
          <w:rFonts w:ascii="Times New Roman" w:hAnsi="Times New Roman" w:cs="Times New Roman"/>
          <w:sz w:val="24"/>
          <w:szCs w:val="24"/>
          <w:lang w:val="ro-RO"/>
        </w:rPr>
      </w:pPr>
    </w:p>
    <w:p w:rsidR="007329AD" w:rsidRPr="007329AD" w:rsidRDefault="007329AD" w:rsidP="007329A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329A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RELAŢIILE INVESTIŢIONALE</w:t>
      </w:r>
    </w:p>
    <w:p w:rsidR="007329AD" w:rsidRPr="007329AD" w:rsidRDefault="007329AD" w:rsidP="007329AD">
      <w:pPr>
        <w:pStyle w:val="a4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7329AD" w:rsidRPr="00194C11" w:rsidRDefault="00194C11" w:rsidP="00194C1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94C11">
        <w:rPr>
          <w:rFonts w:ascii="Times New Roman" w:hAnsi="Times New Roman" w:cs="Times New Roman"/>
          <w:sz w:val="24"/>
          <w:szCs w:val="24"/>
          <w:lang w:val="ro-RO"/>
        </w:rPr>
        <w:t>Conform informaţiei oficiale prezentate de Camera Înregistrării de Stat la 01.01.2015, în Republica Mold</w:t>
      </w:r>
      <w:r>
        <w:rPr>
          <w:rFonts w:ascii="Times New Roman" w:hAnsi="Times New Roman" w:cs="Times New Roman"/>
          <w:sz w:val="24"/>
          <w:szCs w:val="24"/>
          <w:lang w:val="ro-RO"/>
        </w:rPr>
        <w:t>ova îşi desfăşoară activitatea 28</w:t>
      </w:r>
      <w:r w:rsidRPr="00194C11">
        <w:rPr>
          <w:rFonts w:ascii="Times New Roman" w:hAnsi="Times New Roman" w:cs="Times New Roman"/>
          <w:sz w:val="24"/>
          <w:szCs w:val="24"/>
          <w:lang w:val="ro-RO"/>
        </w:rPr>
        <w:t xml:space="preserve">9 întreprinderi cu capital bulgar cu investiţii de </w:t>
      </w:r>
      <w:r>
        <w:rPr>
          <w:rFonts w:ascii="Times New Roman" w:hAnsi="Times New Roman" w:cs="Times New Roman"/>
          <w:sz w:val="24"/>
          <w:szCs w:val="24"/>
          <w:lang w:val="ro-RO"/>
        </w:rPr>
        <w:t>43</w:t>
      </w:r>
      <w:r w:rsidRPr="00194C11">
        <w:rPr>
          <w:rFonts w:ascii="Times New Roman" w:hAnsi="Times New Roman" w:cs="Times New Roman"/>
          <w:sz w:val="24"/>
          <w:szCs w:val="24"/>
          <w:lang w:val="ro-RO"/>
        </w:rPr>
        <w:t xml:space="preserve"> mil. lei, plăsînduse pe locul </w:t>
      </w:r>
      <w:r>
        <w:rPr>
          <w:rFonts w:ascii="Times New Roman" w:hAnsi="Times New Roman" w:cs="Times New Roman"/>
          <w:sz w:val="24"/>
          <w:szCs w:val="24"/>
          <w:lang w:val="ro-RO"/>
        </w:rPr>
        <w:t>9</w:t>
      </w:r>
      <w:bookmarkStart w:id="0" w:name="_GoBack"/>
      <w:bookmarkEnd w:id="0"/>
      <w:r w:rsidRPr="00194C11">
        <w:rPr>
          <w:rFonts w:ascii="Times New Roman" w:hAnsi="Times New Roman" w:cs="Times New Roman"/>
          <w:sz w:val="24"/>
          <w:szCs w:val="24"/>
          <w:lang w:val="ro-RO"/>
        </w:rPr>
        <w:t xml:space="preserve"> după numărul interprinderilor pe teritoriul Republicii Moldova.</w:t>
      </w:r>
    </w:p>
    <w:p w:rsidR="00402283" w:rsidRPr="000E37BA" w:rsidRDefault="00402283" w:rsidP="00044766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A625DA" w:rsidRPr="000E37BA" w:rsidRDefault="00A625DA" w:rsidP="0040228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A625DA" w:rsidRPr="000E37BA" w:rsidSect="00F5316E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F52CC"/>
    <w:multiLevelType w:val="hybridMultilevel"/>
    <w:tmpl w:val="2FDEE8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20A6D"/>
    <w:multiLevelType w:val="hybridMultilevel"/>
    <w:tmpl w:val="AD8E91F0"/>
    <w:lvl w:ilvl="0" w:tplc="4CF493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6E"/>
    <w:rsid w:val="00012673"/>
    <w:rsid w:val="00012D7C"/>
    <w:rsid w:val="00016ED8"/>
    <w:rsid w:val="000171D2"/>
    <w:rsid w:val="00022B62"/>
    <w:rsid w:val="00034CDC"/>
    <w:rsid w:val="00035BCF"/>
    <w:rsid w:val="00044766"/>
    <w:rsid w:val="000540A4"/>
    <w:rsid w:val="000670EE"/>
    <w:rsid w:val="000746A5"/>
    <w:rsid w:val="00075355"/>
    <w:rsid w:val="000A12CB"/>
    <w:rsid w:val="000B1651"/>
    <w:rsid w:val="000D262D"/>
    <w:rsid w:val="000D3647"/>
    <w:rsid w:val="000E3232"/>
    <w:rsid w:val="000E37BA"/>
    <w:rsid w:val="000E4174"/>
    <w:rsid w:val="000E450A"/>
    <w:rsid w:val="000E7663"/>
    <w:rsid w:val="000F4000"/>
    <w:rsid w:val="00101240"/>
    <w:rsid w:val="00105816"/>
    <w:rsid w:val="00107335"/>
    <w:rsid w:val="00117E0F"/>
    <w:rsid w:val="00124945"/>
    <w:rsid w:val="00125E1F"/>
    <w:rsid w:val="001341A8"/>
    <w:rsid w:val="00141219"/>
    <w:rsid w:val="0014208E"/>
    <w:rsid w:val="00146FC1"/>
    <w:rsid w:val="001564CB"/>
    <w:rsid w:val="00157F8E"/>
    <w:rsid w:val="00161AD5"/>
    <w:rsid w:val="00167456"/>
    <w:rsid w:val="00194C11"/>
    <w:rsid w:val="001950B1"/>
    <w:rsid w:val="001B4FB1"/>
    <w:rsid w:val="001B5DD0"/>
    <w:rsid w:val="001C37A9"/>
    <w:rsid w:val="001C6092"/>
    <w:rsid w:val="001D21C7"/>
    <w:rsid w:val="001F36EE"/>
    <w:rsid w:val="002128E4"/>
    <w:rsid w:val="00215BFB"/>
    <w:rsid w:val="0021783A"/>
    <w:rsid w:val="00227301"/>
    <w:rsid w:val="002320C0"/>
    <w:rsid w:val="002429CD"/>
    <w:rsid w:val="00252753"/>
    <w:rsid w:val="00260591"/>
    <w:rsid w:val="00264957"/>
    <w:rsid w:val="00270ACF"/>
    <w:rsid w:val="00272FD2"/>
    <w:rsid w:val="00285B15"/>
    <w:rsid w:val="002A10B8"/>
    <w:rsid w:val="002A3C12"/>
    <w:rsid w:val="002A60B1"/>
    <w:rsid w:val="002B0619"/>
    <w:rsid w:val="002B4FA2"/>
    <w:rsid w:val="002B6EF4"/>
    <w:rsid w:val="002C654E"/>
    <w:rsid w:val="002E327F"/>
    <w:rsid w:val="002E6EF4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4D78"/>
    <w:rsid w:val="003352F3"/>
    <w:rsid w:val="003359DA"/>
    <w:rsid w:val="00341C28"/>
    <w:rsid w:val="00345A06"/>
    <w:rsid w:val="00357A0A"/>
    <w:rsid w:val="0036034C"/>
    <w:rsid w:val="0036213C"/>
    <w:rsid w:val="003657EA"/>
    <w:rsid w:val="00367317"/>
    <w:rsid w:val="003760BF"/>
    <w:rsid w:val="003B08DA"/>
    <w:rsid w:val="003B0F48"/>
    <w:rsid w:val="003B3D6E"/>
    <w:rsid w:val="003B61A7"/>
    <w:rsid w:val="003C6A37"/>
    <w:rsid w:val="003D0B71"/>
    <w:rsid w:val="003E2CFF"/>
    <w:rsid w:val="003E2D02"/>
    <w:rsid w:val="00400B2D"/>
    <w:rsid w:val="00402283"/>
    <w:rsid w:val="00407DAD"/>
    <w:rsid w:val="004127BB"/>
    <w:rsid w:val="0041401B"/>
    <w:rsid w:val="00420D83"/>
    <w:rsid w:val="00424ADD"/>
    <w:rsid w:val="00451C19"/>
    <w:rsid w:val="004550A4"/>
    <w:rsid w:val="0046499C"/>
    <w:rsid w:val="00470248"/>
    <w:rsid w:val="004749A6"/>
    <w:rsid w:val="00481A6E"/>
    <w:rsid w:val="00481E5D"/>
    <w:rsid w:val="0048274F"/>
    <w:rsid w:val="0048353C"/>
    <w:rsid w:val="0049146C"/>
    <w:rsid w:val="00495EF3"/>
    <w:rsid w:val="00497887"/>
    <w:rsid w:val="004A1011"/>
    <w:rsid w:val="004A1BF5"/>
    <w:rsid w:val="004A2227"/>
    <w:rsid w:val="004B6093"/>
    <w:rsid w:val="004B6B2F"/>
    <w:rsid w:val="004C0673"/>
    <w:rsid w:val="004C22DC"/>
    <w:rsid w:val="004C4122"/>
    <w:rsid w:val="004C5C8A"/>
    <w:rsid w:val="004E7708"/>
    <w:rsid w:val="004F271D"/>
    <w:rsid w:val="00501BFA"/>
    <w:rsid w:val="00505A83"/>
    <w:rsid w:val="00511693"/>
    <w:rsid w:val="00527B23"/>
    <w:rsid w:val="00530B31"/>
    <w:rsid w:val="00533535"/>
    <w:rsid w:val="0053661F"/>
    <w:rsid w:val="005438AB"/>
    <w:rsid w:val="00555044"/>
    <w:rsid w:val="005562BA"/>
    <w:rsid w:val="00561C02"/>
    <w:rsid w:val="00577313"/>
    <w:rsid w:val="00581D08"/>
    <w:rsid w:val="005A29DF"/>
    <w:rsid w:val="005B0E5C"/>
    <w:rsid w:val="005C0A35"/>
    <w:rsid w:val="005D00E3"/>
    <w:rsid w:val="005D4FFD"/>
    <w:rsid w:val="005D6A41"/>
    <w:rsid w:val="005E02E9"/>
    <w:rsid w:val="005F20A8"/>
    <w:rsid w:val="00610524"/>
    <w:rsid w:val="0061067B"/>
    <w:rsid w:val="006224A7"/>
    <w:rsid w:val="00627F20"/>
    <w:rsid w:val="00632D59"/>
    <w:rsid w:val="006333BC"/>
    <w:rsid w:val="00636A5D"/>
    <w:rsid w:val="00641142"/>
    <w:rsid w:val="0064526E"/>
    <w:rsid w:val="0065360D"/>
    <w:rsid w:val="006626C6"/>
    <w:rsid w:val="006661EA"/>
    <w:rsid w:val="00677507"/>
    <w:rsid w:val="0068154F"/>
    <w:rsid w:val="00681BF3"/>
    <w:rsid w:val="00683679"/>
    <w:rsid w:val="00692F9B"/>
    <w:rsid w:val="006A389C"/>
    <w:rsid w:val="006A493C"/>
    <w:rsid w:val="006B5844"/>
    <w:rsid w:val="006C7681"/>
    <w:rsid w:val="006D0280"/>
    <w:rsid w:val="006D6EF4"/>
    <w:rsid w:val="006F769A"/>
    <w:rsid w:val="0070269D"/>
    <w:rsid w:val="00703D8A"/>
    <w:rsid w:val="00706109"/>
    <w:rsid w:val="00706337"/>
    <w:rsid w:val="00706A07"/>
    <w:rsid w:val="00710264"/>
    <w:rsid w:val="00713783"/>
    <w:rsid w:val="00715389"/>
    <w:rsid w:val="00723DBC"/>
    <w:rsid w:val="007269B5"/>
    <w:rsid w:val="007329AD"/>
    <w:rsid w:val="007553A6"/>
    <w:rsid w:val="00755C7B"/>
    <w:rsid w:val="00756A1F"/>
    <w:rsid w:val="00764340"/>
    <w:rsid w:val="00764934"/>
    <w:rsid w:val="00766936"/>
    <w:rsid w:val="00783C8D"/>
    <w:rsid w:val="007A39A7"/>
    <w:rsid w:val="007A7A02"/>
    <w:rsid w:val="007B3099"/>
    <w:rsid w:val="007B3469"/>
    <w:rsid w:val="007B51C6"/>
    <w:rsid w:val="007C3DF9"/>
    <w:rsid w:val="007D589A"/>
    <w:rsid w:val="007E52F9"/>
    <w:rsid w:val="007F1ECD"/>
    <w:rsid w:val="007F2FBC"/>
    <w:rsid w:val="00801B4B"/>
    <w:rsid w:val="00823143"/>
    <w:rsid w:val="0083306B"/>
    <w:rsid w:val="0084514E"/>
    <w:rsid w:val="00845253"/>
    <w:rsid w:val="00857297"/>
    <w:rsid w:val="00866F43"/>
    <w:rsid w:val="00871493"/>
    <w:rsid w:val="008917DF"/>
    <w:rsid w:val="0089647C"/>
    <w:rsid w:val="008C67B8"/>
    <w:rsid w:val="008C7654"/>
    <w:rsid w:val="008D204D"/>
    <w:rsid w:val="008D44DC"/>
    <w:rsid w:val="008E7327"/>
    <w:rsid w:val="008F2405"/>
    <w:rsid w:val="00917AD1"/>
    <w:rsid w:val="00922C01"/>
    <w:rsid w:val="00923EBF"/>
    <w:rsid w:val="00931A5E"/>
    <w:rsid w:val="009358D5"/>
    <w:rsid w:val="00942013"/>
    <w:rsid w:val="0094559F"/>
    <w:rsid w:val="00965119"/>
    <w:rsid w:val="00967730"/>
    <w:rsid w:val="00970DE9"/>
    <w:rsid w:val="00971A31"/>
    <w:rsid w:val="00974718"/>
    <w:rsid w:val="00976622"/>
    <w:rsid w:val="00980B46"/>
    <w:rsid w:val="00997F31"/>
    <w:rsid w:val="009A39F2"/>
    <w:rsid w:val="009B10FF"/>
    <w:rsid w:val="009D0001"/>
    <w:rsid w:val="009D3174"/>
    <w:rsid w:val="009D7A46"/>
    <w:rsid w:val="009E0424"/>
    <w:rsid w:val="009F3AED"/>
    <w:rsid w:val="009F487C"/>
    <w:rsid w:val="009F5C30"/>
    <w:rsid w:val="00A003C9"/>
    <w:rsid w:val="00A01FE6"/>
    <w:rsid w:val="00A05CC1"/>
    <w:rsid w:val="00A065F4"/>
    <w:rsid w:val="00A07F69"/>
    <w:rsid w:val="00A12523"/>
    <w:rsid w:val="00A17F68"/>
    <w:rsid w:val="00A23FFF"/>
    <w:rsid w:val="00A257A0"/>
    <w:rsid w:val="00A262F1"/>
    <w:rsid w:val="00A36172"/>
    <w:rsid w:val="00A47D12"/>
    <w:rsid w:val="00A625DA"/>
    <w:rsid w:val="00A64D86"/>
    <w:rsid w:val="00A66D7E"/>
    <w:rsid w:val="00A72152"/>
    <w:rsid w:val="00A739C7"/>
    <w:rsid w:val="00A83497"/>
    <w:rsid w:val="00A86A65"/>
    <w:rsid w:val="00AA030D"/>
    <w:rsid w:val="00AA12AD"/>
    <w:rsid w:val="00AA28C3"/>
    <w:rsid w:val="00AB2A8B"/>
    <w:rsid w:val="00AC1ACB"/>
    <w:rsid w:val="00AC46D4"/>
    <w:rsid w:val="00AD0D82"/>
    <w:rsid w:val="00AD4C50"/>
    <w:rsid w:val="00AD5DD2"/>
    <w:rsid w:val="00AD6F43"/>
    <w:rsid w:val="00AE0072"/>
    <w:rsid w:val="00AF6A9F"/>
    <w:rsid w:val="00B07204"/>
    <w:rsid w:val="00B107E2"/>
    <w:rsid w:val="00B13A0B"/>
    <w:rsid w:val="00B141EF"/>
    <w:rsid w:val="00B175A7"/>
    <w:rsid w:val="00B217EB"/>
    <w:rsid w:val="00B2521D"/>
    <w:rsid w:val="00B26220"/>
    <w:rsid w:val="00B34232"/>
    <w:rsid w:val="00B579FE"/>
    <w:rsid w:val="00B674E6"/>
    <w:rsid w:val="00B80F9D"/>
    <w:rsid w:val="00B84EBB"/>
    <w:rsid w:val="00B95369"/>
    <w:rsid w:val="00B97148"/>
    <w:rsid w:val="00BA38E2"/>
    <w:rsid w:val="00BA7F3C"/>
    <w:rsid w:val="00BB1872"/>
    <w:rsid w:val="00BB2769"/>
    <w:rsid w:val="00BB3D5B"/>
    <w:rsid w:val="00BC24B0"/>
    <w:rsid w:val="00BC455C"/>
    <w:rsid w:val="00BD0C3D"/>
    <w:rsid w:val="00BE689B"/>
    <w:rsid w:val="00BE6BCF"/>
    <w:rsid w:val="00BF53AF"/>
    <w:rsid w:val="00C06A57"/>
    <w:rsid w:val="00C16B4E"/>
    <w:rsid w:val="00C24FFA"/>
    <w:rsid w:val="00C35037"/>
    <w:rsid w:val="00C47D71"/>
    <w:rsid w:val="00C519D6"/>
    <w:rsid w:val="00C522FB"/>
    <w:rsid w:val="00C5357A"/>
    <w:rsid w:val="00C5452C"/>
    <w:rsid w:val="00C72A3F"/>
    <w:rsid w:val="00C7483D"/>
    <w:rsid w:val="00C81DE6"/>
    <w:rsid w:val="00C83FCF"/>
    <w:rsid w:val="00C84B92"/>
    <w:rsid w:val="00CA059A"/>
    <w:rsid w:val="00CC35E2"/>
    <w:rsid w:val="00CD4BF7"/>
    <w:rsid w:val="00CD6DD8"/>
    <w:rsid w:val="00CE184A"/>
    <w:rsid w:val="00CE5DF4"/>
    <w:rsid w:val="00CE7D78"/>
    <w:rsid w:val="00CF6212"/>
    <w:rsid w:val="00D06D43"/>
    <w:rsid w:val="00D11AF1"/>
    <w:rsid w:val="00D1234D"/>
    <w:rsid w:val="00D12921"/>
    <w:rsid w:val="00D31FC1"/>
    <w:rsid w:val="00D36A01"/>
    <w:rsid w:val="00D45BE2"/>
    <w:rsid w:val="00D45C74"/>
    <w:rsid w:val="00D46B0B"/>
    <w:rsid w:val="00D6269F"/>
    <w:rsid w:val="00D720D5"/>
    <w:rsid w:val="00D8414C"/>
    <w:rsid w:val="00D96721"/>
    <w:rsid w:val="00DA459B"/>
    <w:rsid w:val="00DA5886"/>
    <w:rsid w:val="00DB2F5A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31A43"/>
    <w:rsid w:val="00E43C99"/>
    <w:rsid w:val="00E46E85"/>
    <w:rsid w:val="00E74B4F"/>
    <w:rsid w:val="00E82206"/>
    <w:rsid w:val="00E91762"/>
    <w:rsid w:val="00E96720"/>
    <w:rsid w:val="00EB20C7"/>
    <w:rsid w:val="00EB2BCD"/>
    <w:rsid w:val="00EB3200"/>
    <w:rsid w:val="00EB69DA"/>
    <w:rsid w:val="00EB7694"/>
    <w:rsid w:val="00ED050A"/>
    <w:rsid w:val="00ED6B1F"/>
    <w:rsid w:val="00F060DF"/>
    <w:rsid w:val="00F11AF9"/>
    <w:rsid w:val="00F12298"/>
    <w:rsid w:val="00F147BF"/>
    <w:rsid w:val="00F16917"/>
    <w:rsid w:val="00F211A5"/>
    <w:rsid w:val="00F2140F"/>
    <w:rsid w:val="00F250FC"/>
    <w:rsid w:val="00F26A85"/>
    <w:rsid w:val="00F26D7A"/>
    <w:rsid w:val="00F30C2E"/>
    <w:rsid w:val="00F32743"/>
    <w:rsid w:val="00F3570E"/>
    <w:rsid w:val="00F37E75"/>
    <w:rsid w:val="00F43534"/>
    <w:rsid w:val="00F4639B"/>
    <w:rsid w:val="00F51371"/>
    <w:rsid w:val="00F5316E"/>
    <w:rsid w:val="00F63B41"/>
    <w:rsid w:val="00F65095"/>
    <w:rsid w:val="00F669F3"/>
    <w:rsid w:val="00F73164"/>
    <w:rsid w:val="00F743C2"/>
    <w:rsid w:val="00F839A0"/>
    <w:rsid w:val="00F8642C"/>
    <w:rsid w:val="00F87680"/>
    <w:rsid w:val="00F93D4E"/>
    <w:rsid w:val="00F9553B"/>
    <w:rsid w:val="00F95DB0"/>
    <w:rsid w:val="00FA135E"/>
    <w:rsid w:val="00FA44E1"/>
    <w:rsid w:val="00FB2368"/>
    <w:rsid w:val="00FC0ED6"/>
    <w:rsid w:val="00FC2E6C"/>
    <w:rsid w:val="00FC57CD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316E"/>
  </w:style>
  <w:style w:type="paragraph" w:styleId="a4">
    <w:name w:val="List Paragraph"/>
    <w:basedOn w:val="a"/>
    <w:uiPriority w:val="34"/>
    <w:qFormat/>
    <w:rsid w:val="009747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5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316E"/>
  </w:style>
  <w:style w:type="paragraph" w:styleId="a4">
    <w:name w:val="List Paragraph"/>
    <w:basedOn w:val="a"/>
    <w:uiPriority w:val="34"/>
    <w:qFormat/>
    <w:rsid w:val="009747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5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c.gov.md/sites/default/files/document/protocol_4_israe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CDF7-C6F1-4608-AAAF-FC0A4DDB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ME-214-Liudmila</cp:lastModifiedBy>
  <cp:revision>13</cp:revision>
  <cp:lastPrinted>2015-04-23T09:04:00Z</cp:lastPrinted>
  <dcterms:created xsi:type="dcterms:W3CDTF">2015-05-11T07:29:00Z</dcterms:created>
  <dcterms:modified xsi:type="dcterms:W3CDTF">2015-05-11T08:04:00Z</dcterms:modified>
</cp:coreProperties>
</file>