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14C" w:rsidRPr="0002759C" w:rsidRDefault="0009514C" w:rsidP="000951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2759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NOTA INFORMATIVĂ</w:t>
      </w:r>
    </w:p>
    <w:p w:rsidR="0009514C" w:rsidRPr="0002759C" w:rsidRDefault="0009514C" w:rsidP="000951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02759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privind relaţiile comercial-economice dintre Republica Moldova şi Ungaria</w:t>
      </w:r>
    </w:p>
    <w:p w:rsidR="0009514C" w:rsidRPr="0002759C" w:rsidRDefault="0009514C" w:rsidP="001F239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2759C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pe durata anului 2014</w:t>
      </w:r>
    </w:p>
    <w:p w:rsidR="0024373A" w:rsidRPr="0002759C" w:rsidRDefault="00E751E8" w:rsidP="008B583F">
      <w:pPr>
        <w:spacing w:after="0" w:line="240" w:lineRule="auto"/>
        <w:ind w:left="18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2759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CADRUL JURIDIC</w:t>
      </w:r>
      <w:r w:rsidR="0024373A" w:rsidRPr="0002759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:rsidR="0024373A" w:rsidRPr="0002759C" w:rsidRDefault="00E751E8" w:rsidP="008B583F">
      <w:pPr>
        <w:spacing w:after="0" w:line="240" w:lineRule="auto"/>
        <w:ind w:left="18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Relaţiile</w:t>
      </w:r>
      <w:proofErr w:type="spellEnd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bilaterale</w:t>
      </w:r>
      <w:proofErr w:type="spellEnd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între</w:t>
      </w:r>
      <w:proofErr w:type="spellEnd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RM </w:t>
      </w:r>
      <w:proofErr w:type="spellStart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Ungaria</w:t>
      </w:r>
      <w:proofErr w:type="spellEnd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sunt</w:t>
      </w:r>
      <w:proofErr w:type="spellEnd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reglementate</w:t>
      </w:r>
      <w:proofErr w:type="spellEnd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59 </w:t>
      </w:r>
      <w:proofErr w:type="spellStart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tratate</w:t>
      </w:r>
      <w:proofErr w:type="spellEnd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semnate</w:t>
      </w:r>
      <w:proofErr w:type="spellEnd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diverse </w:t>
      </w:r>
      <w:proofErr w:type="spellStart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domenii</w:t>
      </w:r>
      <w:proofErr w:type="spellEnd"/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</w:p>
    <w:p w:rsidR="00E751E8" w:rsidRPr="0002759C" w:rsidRDefault="00E751E8" w:rsidP="008B583F">
      <w:pPr>
        <w:ind w:left="180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Principalele Acorduri cu caracter economic sunt:</w:t>
      </w:r>
    </w:p>
    <w:tbl>
      <w:tblPr>
        <w:tblW w:w="9553" w:type="dxa"/>
        <w:jc w:val="center"/>
        <w:tblInd w:w="339" w:type="dxa"/>
        <w:tblLook w:val="0000" w:firstRow="0" w:lastRow="0" w:firstColumn="0" w:lastColumn="0" w:noHBand="0" w:noVBand="0"/>
      </w:tblPr>
      <w:tblGrid>
        <w:gridCol w:w="556"/>
        <w:gridCol w:w="5497"/>
        <w:gridCol w:w="1701"/>
        <w:gridCol w:w="1799"/>
      </w:tblGrid>
      <w:tr w:rsidR="0002759C" w:rsidRPr="0002759C" w:rsidTr="00E751E8">
        <w:trPr>
          <w:trHeight w:val="485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E8" w:rsidRPr="0002759C" w:rsidRDefault="00E751E8" w:rsidP="00A762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0275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E8" w:rsidRPr="0002759C" w:rsidRDefault="00E751E8" w:rsidP="00A762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0275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Denumirea Acordurilor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1E8" w:rsidRPr="0002759C" w:rsidRDefault="00E751E8" w:rsidP="00A762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0275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Locul şi data semnării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E8" w:rsidRPr="0002759C" w:rsidRDefault="00E751E8" w:rsidP="00A762E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0275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Intrarea în vigoare</w:t>
            </w:r>
          </w:p>
        </w:tc>
      </w:tr>
      <w:tr w:rsidR="0002759C" w:rsidRPr="0002759C" w:rsidTr="00E751E8">
        <w:trPr>
          <w:trHeight w:val="25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E8" w:rsidRPr="0002759C" w:rsidRDefault="00E751E8" w:rsidP="00E751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27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1.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E8" w:rsidRPr="0002759C" w:rsidRDefault="00E751E8" w:rsidP="00E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Acord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intre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Republica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Moldova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Republica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Ungaria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privire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la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promovarea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si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protejarea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reciproca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a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investiţiilor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1E8" w:rsidRPr="0002759C" w:rsidRDefault="00E751E8" w:rsidP="00E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  <w:t>Budapesta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  <w:t xml:space="preserve">, </w:t>
            </w:r>
          </w:p>
          <w:p w:rsidR="00E751E8" w:rsidRPr="0002759C" w:rsidRDefault="00E751E8" w:rsidP="00E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  <w:t>19.04.95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E8" w:rsidRPr="0002759C" w:rsidRDefault="00E751E8" w:rsidP="00E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  <w:t>16.08.96</w:t>
            </w:r>
          </w:p>
        </w:tc>
      </w:tr>
      <w:tr w:rsidR="0002759C" w:rsidRPr="0002759C" w:rsidTr="00E751E8">
        <w:trPr>
          <w:trHeight w:val="40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E8" w:rsidRPr="0002759C" w:rsidRDefault="00E751E8" w:rsidP="00E751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27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2.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1E8" w:rsidRPr="0002759C" w:rsidRDefault="00E751E8" w:rsidP="00E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Acordul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privind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colaborarea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economică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între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Guvernul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Republicii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Moldova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Guvernul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Republicii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Ungare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1E8" w:rsidRPr="0002759C" w:rsidRDefault="00E751E8" w:rsidP="00E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  <w:t>Chişinău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  <w:t>,</w:t>
            </w:r>
          </w:p>
          <w:p w:rsidR="00E751E8" w:rsidRPr="0002759C" w:rsidRDefault="00E751E8" w:rsidP="00E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  <w:t>23.02.2010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1E8" w:rsidRPr="0002759C" w:rsidRDefault="006B4AA2" w:rsidP="00E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  <w:t>22.06.2012</w:t>
            </w:r>
          </w:p>
        </w:tc>
      </w:tr>
      <w:tr w:rsidR="00E751E8" w:rsidRPr="0002759C" w:rsidTr="00E751E8">
        <w:trPr>
          <w:trHeight w:val="403"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1E8" w:rsidRPr="0002759C" w:rsidRDefault="00E751E8" w:rsidP="00E751E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</w:pPr>
            <w:r w:rsidRPr="000275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o-RO"/>
              </w:rPr>
              <w:t>3.</w:t>
            </w:r>
          </w:p>
        </w:tc>
        <w:tc>
          <w:tcPr>
            <w:tcW w:w="5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1E8" w:rsidRPr="0002759C" w:rsidRDefault="00E751E8" w:rsidP="00E751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Protocol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între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Guvernul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Republicii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Moldova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Guvernul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Ungariei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referitor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la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operarea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unor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modificări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Acordul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privind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colaborarea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economică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între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Guvernul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Republicii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Moldova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Guvernul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Republicii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Ungare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1E8" w:rsidRPr="0002759C" w:rsidRDefault="00E751E8" w:rsidP="00E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</w:pPr>
            <w:proofErr w:type="spellStart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  <w:t>Chişinău</w:t>
            </w:r>
            <w:proofErr w:type="spellEnd"/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  <w:t>,</w:t>
            </w:r>
          </w:p>
          <w:p w:rsidR="00E751E8" w:rsidRPr="0002759C" w:rsidRDefault="00E751E8" w:rsidP="00E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o-RO"/>
              </w:rPr>
              <w:t>20.12.2012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1E8" w:rsidRPr="0002759C" w:rsidRDefault="006B4AA2" w:rsidP="00E751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ru-RU"/>
              </w:rPr>
            </w:pPr>
            <w:r w:rsidRPr="00027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o-RO" w:eastAsia="ro-RO"/>
              </w:rPr>
              <w:t>-</w:t>
            </w:r>
          </w:p>
        </w:tc>
      </w:tr>
    </w:tbl>
    <w:p w:rsidR="00E751E8" w:rsidRPr="0002759C" w:rsidRDefault="00E751E8" w:rsidP="0024373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E751E8" w:rsidRPr="0002759C" w:rsidRDefault="00E751E8" w:rsidP="0024373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24373A" w:rsidRDefault="0003379A" w:rsidP="008B583F">
      <w:pPr>
        <w:spacing w:after="0" w:line="240" w:lineRule="auto"/>
        <w:ind w:left="18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2759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COMERŢUL BILATERAL</w:t>
      </w:r>
      <w:r w:rsidR="00526EED" w:rsidRPr="0002759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:rsidR="00ED0BC8" w:rsidRPr="002178B8" w:rsidRDefault="00ED0BC8" w:rsidP="008B583F">
      <w:pPr>
        <w:spacing w:after="0" w:line="240" w:lineRule="auto"/>
        <w:ind w:left="180" w:right="11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Volumul comerţului exterior 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(fără a se ţine cont de activitatea agenţilor economici din partea stângă a Nistrului) al Republicii Moldova cu Republica </w:t>
      </w:r>
      <w:r w:rsidR="004F776C">
        <w:rPr>
          <w:rFonts w:ascii="Times New Roman" w:eastAsia="Times New Roman" w:hAnsi="Times New Roman" w:cs="Times New Roman"/>
          <w:sz w:val="24"/>
          <w:szCs w:val="24"/>
          <w:lang w:val="ro-RO"/>
        </w:rPr>
        <w:t>Ungaria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anul 201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înregistrat suma de </w:t>
      </w:r>
      <w:r w:rsidR="004F77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91,1 </w:t>
      </w:r>
      <w:proofErr w:type="spellStart"/>
      <w:r w:rsidR="004F77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mln</w:t>
      </w:r>
      <w:proofErr w:type="spellEnd"/>
      <w:r w:rsidR="004F776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  <w:r w:rsidRPr="009509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USD.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Comparativ cu anul 201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3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volumul comerţului exterior 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s-a </w:t>
      </w:r>
      <w:r w:rsidR="004F77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micșo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rat cu </w:t>
      </w:r>
      <w:r w:rsidR="004F77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21,47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% (</w:t>
      </w:r>
      <w:r w:rsidR="004F77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24,9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4F77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mln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USD)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>. După valoarea volumului schimburilor comerciale, înregistrat î</w:t>
      </w:r>
      <w:r w:rsidR="004F776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perioada analizată, Ungaria 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 situează 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pe locul </w:t>
      </w:r>
      <w:r w:rsidR="004F77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17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între partenerii cu care Republica Moldova întreţine relaţii comerciale.</w:t>
      </w:r>
    </w:p>
    <w:p w:rsidR="00ED0BC8" w:rsidRPr="0002759C" w:rsidRDefault="00ED0BC8" w:rsidP="00526EE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W w:w="4807" w:type="pct"/>
        <w:jc w:val="center"/>
        <w:tblInd w:w="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85"/>
        <w:gridCol w:w="2318"/>
        <w:gridCol w:w="2082"/>
        <w:gridCol w:w="2082"/>
        <w:gridCol w:w="1809"/>
      </w:tblGrid>
      <w:tr w:rsidR="00ED0BC8" w:rsidRPr="00ED0BC8" w:rsidTr="00ED0BC8">
        <w:trPr>
          <w:jc w:val="center"/>
        </w:trPr>
        <w:tc>
          <w:tcPr>
            <w:tcW w:w="715" w:type="pct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808080"/>
            </w:tcBorders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</w:p>
        </w:tc>
        <w:tc>
          <w:tcPr>
            <w:tcW w:w="1198" w:type="pct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2012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2013</w:t>
            </w:r>
          </w:p>
        </w:tc>
        <w:tc>
          <w:tcPr>
            <w:tcW w:w="1076" w:type="pct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2014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ED0BC8" w:rsidRPr="00ED0BC8" w:rsidRDefault="00457A62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Dinamica</w:t>
            </w:r>
            <w:proofErr w:type="spellEnd"/>
            <w:r w:rsidR="00ED0BC8"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 xml:space="preserve"> 2014/2013</w:t>
            </w:r>
          </w:p>
        </w:tc>
      </w:tr>
      <w:tr w:rsidR="00ED0BC8" w:rsidRPr="00407719" w:rsidTr="00ED0BC8">
        <w:trPr>
          <w:jc w:val="center"/>
        </w:trPr>
        <w:tc>
          <w:tcPr>
            <w:tcW w:w="715" w:type="pct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ED0BC8" w:rsidRPr="00ED0BC8" w:rsidRDefault="00ED0BC8" w:rsidP="008C723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Total</w:t>
            </w:r>
          </w:p>
        </w:tc>
        <w:tc>
          <w:tcPr>
            <w:tcW w:w="11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117,73</w:t>
            </w:r>
          </w:p>
        </w:tc>
        <w:tc>
          <w:tcPr>
            <w:tcW w:w="10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116,00</w:t>
            </w:r>
          </w:p>
        </w:tc>
        <w:tc>
          <w:tcPr>
            <w:tcW w:w="10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91,1</w:t>
            </w:r>
          </w:p>
        </w:tc>
        <w:tc>
          <w:tcPr>
            <w:tcW w:w="93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78,53%</w:t>
            </w:r>
          </w:p>
        </w:tc>
      </w:tr>
      <w:tr w:rsidR="00ED0BC8" w:rsidRPr="00407719" w:rsidTr="00ED0BC8">
        <w:trPr>
          <w:trHeight w:val="338"/>
          <w:jc w:val="center"/>
        </w:trPr>
        <w:tc>
          <w:tcPr>
            <w:tcW w:w="715" w:type="pct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ED0BC8" w:rsidRPr="00ED0BC8" w:rsidRDefault="00ED0BC8" w:rsidP="008C723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Export</w:t>
            </w:r>
          </w:p>
        </w:tc>
        <w:tc>
          <w:tcPr>
            <w:tcW w:w="11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28,75</w:t>
            </w:r>
          </w:p>
        </w:tc>
        <w:tc>
          <w:tcPr>
            <w:tcW w:w="10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15,71</w:t>
            </w:r>
          </w:p>
        </w:tc>
        <w:tc>
          <w:tcPr>
            <w:tcW w:w="10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5,52</w:t>
            </w:r>
          </w:p>
        </w:tc>
        <w:tc>
          <w:tcPr>
            <w:tcW w:w="93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35,13%</w:t>
            </w:r>
          </w:p>
        </w:tc>
      </w:tr>
      <w:tr w:rsidR="00ED0BC8" w:rsidRPr="00407719" w:rsidTr="00ED0BC8">
        <w:trPr>
          <w:trHeight w:val="316"/>
          <w:jc w:val="center"/>
        </w:trPr>
        <w:tc>
          <w:tcPr>
            <w:tcW w:w="715" w:type="pct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:rsidR="00ED0BC8" w:rsidRPr="00ED0BC8" w:rsidRDefault="00ED0BC8" w:rsidP="008C7237">
            <w:pPr>
              <w:spacing w:after="0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 xml:space="preserve">Import </w:t>
            </w:r>
          </w:p>
        </w:tc>
        <w:tc>
          <w:tcPr>
            <w:tcW w:w="119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88,98</w:t>
            </w:r>
          </w:p>
        </w:tc>
        <w:tc>
          <w:tcPr>
            <w:tcW w:w="10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100,29</w:t>
            </w:r>
          </w:p>
        </w:tc>
        <w:tc>
          <w:tcPr>
            <w:tcW w:w="1076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85,58</w:t>
            </w:r>
          </w:p>
        </w:tc>
        <w:tc>
          <w:tcPr>
            <w:tcW w:w="93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auto"/>
            </w:tcBorders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85,33%</w:t>
            </w:r>
          </w:p>
        </w:tc>
      </w:tr>
      <w:tr w:rsidR="00ED0BC8" w:rsidRPr="00ED0BC8" w:rsidTr="00ED0BC8">
        <w:trPr>
          <w:trHeight w:val="334"/>
          <w:jc w:val="center"/>
        </w:trPr>
        <w:tc>
          <w:tcPr>
            <w:tcW w:w="715" w:type="pct"/>
            <w:tcBorders>
              <w:top w:val="single" w:sz="6" w:space="0" w:color="808080"/>
              <w:left w:val="single" w:sz="6" w:space="0" w:color="auto"/>
              <w:bottom w:val="single" w:sz="6" w:space="0" w:color="auto"/>
              <w:right w:val="single" w:sz="6" w:space="0" w:color="808080"/>
            </w:tcBorders>
          </w:tcPr>
          <w:p w:rsidR="00ED0BC8" w:rsidRPr="00ED0BC8" w:rsidRDefault="00ED0BC8" w:rsidP="008C7237">
            <w:pPr>
              <w:spacing w:after="0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ro-RO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ro-RO" w:eastAsia="ro-RO"/>
              </w:rPr>
              <w:t>Sold</w:t>
            </w:r>
          </w:p>
        </w:tc>
        <w:tc>
          <w:tcPr>
            <w:tcW w:w="1198" w:type="pct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en-US" w:eastAsia="ro-RO"/>
              </w:rPr>
              <w:t>-60,23</w:t>
            </w:r>
          </w:p>
        </w:tc>
        <w:tc>
          <w:tcPr>
            <w:tcW w:w="1076" w:type="pct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shd w:val="clear" w:color="auto" w:fill="FFFFFF" w:themeFill="background1"/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en-US" w:eastAsia="ro-RO"/>
              </w:rPr>
              <w:t>-84,58</w:t>
            </w:r>
          </w:p>
        </w:tc>
        <w:tc>
          <w:tcPr>
            <w:tcW w:w="1076" w:type="pct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808080"/>
            </w:tcBorders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  <w:lang w:val="en-US" w:eastAsia="ro-RO"/>
              </w:rPr>
              <w:t>-80,06</w:t>
            </w:r>
          </w:p>
        </w:tc>
        <w:tc>
          <w:tcPr>
            <w:tcW w:w="935" w:type="pct"/>
            <w:tcBorders>
              <w:top w:val="single" w:sz="6" w:space="0" w:color="808080"/>
              <w:left w:val="single" w:sz="6" w:space="0" w:color="808080"/>
              <w:bottom w:val="single" w:sz="6" w:space="0" w:color="auto"/>
              <w:right w:val="single" w:sz="6" w:space="0" w:color="auto"/>
            </w:tcBorders>
            <w:vAlign w:val="center"/>
          </w:tcPr>
          <w:p w:rsidR="00ED0BC8" w:rsidRPr="00ED0BC8" w:rsidRDefault="00ED0BC8" w:rsidP="008C7237">
            <w:pPr>
              <w:spacing w:after="0"/>
              <w:ind w:left="360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lang w:val="en-US" w:eastAsia="ro-RO"/>
              </w:rPr>
            </w:pPr>
          </w:p>
        </w:tc>
      </w:tr>
    </w:tbl>
    <w:p w:rsidR="00526EED" w:rsidRDefault="00526EED" w:rsidP="008B583F">
      <w:pPr>
        <w:spacing w:after="0" w:line="240" w:lineRule="auto"/>
        <w:ind w:right="112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ED0BC8" w:rsidRDefault="00ED0BC8" w:rsidP="008B583F">
      <w:pPr>
        <w:spacing w:after="0" w:line="240" w:lineRule="auto"/>
        <w:ind w:left="90" w:right="112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178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Soldul balanţei comerciale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>înregistrat în anul 201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fost în </w:t>
      </w:r>
      <w:r w:rsidR="004F776C">
        <w:rPr>
          <w:rFonts w:ascii="Times New Roman" w:eastAsia="Times New Roman" w:hAnsi="Times New Roman" w:cs="Times New Roman"/>
          <w:sz w:val="24"/>
          <w:szCs w:val="24"/>
          <w:lang w:val="ro-RO"/>
        </w:rPr>
        <w:t>de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favoarea Republicii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Moldova 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>şi a constituit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4F77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-80,06 </w:t>
      </w:r>
      <w:proofErr w:type="spellStart"/>
      <w:r w:rsidR="004F77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mln</w:t>
      </w:r>
      <w:proofErr w:type="spellEnd"/>
      <w:r w:rsidR="004F77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USD. </w:t>
      </w:r>
    </w:p>
    <w:p w:rsidR="00ED0BC8" w:rsidRDefault="00ED0BC8" w:rsidP="008B583F">
      <w:pPr>
        <w:spacing w:after="0" w:line="240" w:lineRule="auto"/>
        <w:ind w:left="90" w:right="112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ED0BC8" w:rsidRDefault="00ED0BC8" w:rsidP="008B583F">
      <w:pPr>
        <w:spacing w:after="0" w:line="240" w:lineRule="auto"/>
        <w:ind w:left="90" w:right="112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178B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/>
        </w:rPr>
        <w:t>Exportul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>de mărfuri realizat în perioada analizată, a înregistrat suma de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4F77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5,52 </w:t>
      </w:r>
      <w:proofErr w:type="spellStart"/>
      <w:r w:rsidR="004F77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mln</w:t>
      </w:r>
      <w:proofErr w:type="spellEnd"/>
      <w:r w:rsidR="004F77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USD, </w:t>
      </w:r>
      <w:r w:rsidR="004F77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micș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orându-se </w:t>
      </w:r>
      <w:r w:rsidR="004F77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semnificativ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cu </w:t>
      </w:r>
      <w:r w:rsidR="004F77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64,87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% 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(cu </w:t>
      </w:r>
      <w:r w:rsidR="004F776C">
        <w:rPr>
          <w:rFonts w:ascii="Times New Roman" w:eastAsia="Times New Roman" w:hAnsi="Times New Roman" w:cs="Times New Roman"/>
          <w:sz w:val="24"/>
          <w:szCs w:val="24"/>
          <w:lang w:val="ro-RO"/>
        </w:rPr>
        <w:t>10,19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="004F776C">
        <w:rPr>
          <w:rFonts w:ascii="Times New Roman" w:eastAsia="Times New Roman" w:hAnsi="Times New Roman" w:cs="Times New Roman"/>
          <w:sz w:val="24"/>
          <w:szCs w:val="24"/>
          <w:lang w:val="ro-RO"/>
        </w:rPr>
        <w:t>ln</w:t>
      </w:r>
      <w:proofErr w:type="spellEnd"/>
      <w:r w:rsidR="004F776C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USD)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>faţă de anului precedent.</w:t>
      </w:r>
      <w:r w:rsidRPr="002178B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4F776C">
        <w:rPr>
          <w:rFonts w:ascii="Times New Roman" w:eastAsia="Times New Roman" w:hAnsi="Times New Roman" w:cs="Times New Roman"/>
          <w:sz w:val="24"/>
          <w:szCs w:val="24"/>
          <w:lang w:val="ro-RO"/>
        </w:rPr>
        <w:t>Ungaria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situează pe locul </w:t>
      </w:r>
      <w:r w:rsidR="004F776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35</w:t>
      </w:r>
      <w:r w:rsidRPr="002178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topul ţărilor în care Republica Moldova efectuează exporturi.</w:t>
      </w:r>
    </w:p>
    <w:p w:rsidR="00ED0BC8" w:rsidRDefault="00ED0BC8" w:rsidP="00ED0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:rsidR="00ED0BC8" w:rsidRPr="002178B8" w:rsidRDefault="00ED0BC8" w:rsidP="00ED0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2178B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Principalele categorii de mărfuri exportate în anul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2014</w:t>
      </w:r>
    </w:p>
    <w:p w:rsidR="00ED0BC8" w:rsidRPr="0002759C" w:rsidRDefault="008B583F" w:rsidP="008B583F">
      <w:pPr>
        <w:spacing w:after="0" w:line="240" w:lineRule="auto"/>
        <w:ind w:right="20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mln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  <w:r w:rsidRPr="002178B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USD</w:t>
      </w:r>
    </w:p>
    <w:tbl>
      <w:tblPr>
        <w:tblW w:w="9597" w:type="dxa"/>
        <w:jc w:val="center"/>
        <w:tblInd w:w="10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3780"/>
        <w:gridCol w:w="1114"/>
        <w:gridCol w:w="1134"/>
        <w:gridCol w:w="1340"/>
        <w:gridCol w:w="1311"/>
      </w:tblGrid>
      <w:tr w:rsidR="00ED0BC8" w:rsidRPr="00ED0BC8" w:rsidTr="00A116BD">
        <w:trPr>
          <w:jc w:val="center"/>
        </w:trPr>
        <w:tc>
          <w:tcPr>
            <w:tcW w:w="918" w:type="dxa"/>
            <w:tcBorders>
              <w:bottom w:val="single" w:sz="6" w:space="0" w:color="auto"/>
            </w:tcBorders>
          </w:tcPr>
          <w:p w:rsidR="00ED0BC8" w:rsidRPr="00ED0BC8" w:rsidRDefault="00E72EA1" w:rsidP="00ED0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Poziția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tarifară</w:t>
            </w:r>
            <w:proofErr w:type="spellEnd"/>
          </w:p>
        </w:tc>
        <w:tc>
          <w:tcPr>
            <w:tcW w:w="378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Descrierea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mărfurilor</w:t>
            </w:r>
            <w:proofErr w:type="spellEnd"/>
          </w:p>
        </w:tc>
        <w:tc>
          <w:tcPr>
            <w:tcW w:w="111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2013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2014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D0BC8" w:rsidRPr="00ED0BC8" w:rsidRDefault="00ED0BC8" w:rsidP="008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D0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Dinamica</w:t>
            </w:r>
          </w:p>
          <w:p w:rsidR="00ED0BC8" w:rsidRPr="00ED0BC8" w:rsidRDefault="00ED0BC8" w:rsidP="008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D0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2014/2013 % 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D0BC8" w:rsidRPr="00ED0BC8" w:rsidRDefault="00ED0BC8" w:rsidP="008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D0B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Ponderea în total export </w:t>
            </w:r>
          </w:p>
        </w:tc>
      </w:tr>
      <w:tr w:rsidR="00ED0BC8" w:rsidRPr="00ED0BC8" w:rsidTr="00A116BD">
        <w:trPr>
          <w:jc w:val="center"/>
        </w:trPr>
        <w:tc>
          <w:tcPr>
            <w:tcW w:w="918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D0BC8" w:rsidRPr="00ED0BC8" w:rsidRDefault="00ED0BC8" w:rsidP="00ED0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9401</w:t>
            </w:r>
          </w:p>
        </w:tc>
        <w:tc>
          <w:tcPr>
            <w:tcW w:w="3780" w:type="dxa"/>
          </w:tcPr>
          <w:p w:rsidR="00ED0BC8" w:rsidRPr="009404D0" w:rsidRDefault="00457A62" w:rsidP="00457A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</w:pP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Scaune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(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altele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decît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cele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de la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poziţia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9402)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chiar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transformabile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în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paturi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părţile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lor</w:t>
            </w:r>
            <w:proofErr w:type="spellEnd"/>
          </w:p>
        </w:tc>
        <w:tc>
          <w:tcPr>
            <w:tcW w:w="1114" w:type="dxa"/>
            <w:shd w:val="clear" w:color="auto" w:fill="auto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11,02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1,44</w:t>
            </w:r>
          </w:p>
        </w:tc>
        <w:tc>
          <w:tcPr>
            <w:tcW w:w="1340" w:type="dxa"/>
            <w:shd w:val="clear" w:color="auto" w:fill="auto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13,06%</w:t>
            </w:r>
          </w:p>
        </w:tc>
        <w:tc>
          <w:tcPr>
            <w:tcW w:w="1311" w:type="dxa"/>
            <w:shd w:val="clear" w:color="auto" w:fill="auto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26,08%</w:t>
            </w:r>
          </w:p>
        </w:tc>
      </w:tr>
      <w:tr w:rsidR="00ED0BC8" w:rsidRPr="00ED0BC8" w:rsidTr="00A116BD">
        <w:trPr>
          <w:trHeight w:val="600"/>
          <w:jc w:val="center"/>
        </w:trPr>
        <w:tc>
          <w:tcPr>
            <w:tcW w:w="918" w:type="dxa"/>
            <w:shd w:val="clear" w:color="auto" w:fill="D9D9D9" w:themeFill="background1" w:themeFillShade="D9"/>
          </w:tcPr>
          <w:p w:rsidR="00ED0BC8" w:rsidRPr="00ED0BC8" w:rsidRDefault="00ED0BC8" w:rsidP="00ED0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lastRenderedPageBreak/>
              <w:t>7010</w:t>
            </w:r>
          </w:p>
        </w:tc>
        <w:tc>
          <w:tcPr>
            <w:tcW w:w="3780" w:type="dxa"/>
          </w:tcPr>
          <w:p w:rsidR="00ED0BC8" w:rsidRPr="009404D0" w:rsidRDefault="00457A62" w:rsidP="00457A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</w:pP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Damigene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sticle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baloane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borcane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căni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ambalaje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tubulare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fiole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alte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recipiente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, din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sticlă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folosită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transport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sau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ambalare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;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recipiente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din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sticlă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conserve;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dopuri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capace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alte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dispozitive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închidere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, din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sticlă</w:t>
            </w:r>
            <w:proofErr w:type="spellEnd"/>
          </w:p>
        </w:tc>
        <w:tc>
          <w:tcPr>
            <w:tcW w:w="1114" w:type="dxa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0,49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0,66</w:t>
            </w:r>
          </w:p>
        </w:tc>
        <w:tc>
          <w:tcPr>
            <w:tcW w:w="1340" w:type="dxa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134,69%</w:t>
            </w:r>
          </w:p>
        </w:tc>
        <w:tc>
          <w:tcPr>
            <w:tcW w:w="1311" w:type="dxa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11,95%</w:t>
            </w:r>
          </w:p>
        </w:tc>
      </w:tr>
      <w:tr w:rsidR="00ED0BC8" w:rsidRPr="00ED0BC8" w:rsidTr="00A116BD">
        <w:trPr>
          <w:trHeight w:val="600"/>
          <w:jc w:val="center"/>
        </w:trPr>
        <w:tc>
          <w:tcPr>
            <w:tcW w:w="918" w:type="dxa"/>
            <w:shd w:val="clear" w:color="auto" w:fill="D9D9D9" w:themeFill="background1" w:themeFillShade="D9"/>
          </w:tcPr>
          <w:p w:rsidR="00ED0BC8" w:rsidRPr="00ED0BC8" w:rsidRDefault="00ED0BC8" w:rsidP="00ED0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7019</w:t>
            </w:r>
          </w:p>
        </w:tc>
        <w:tc>
          <w:tcPr>
            <w:tcW w:w="3780" w:type="dxa"/>
          </w:tcPr>
          <w:p w:rsidR="00ED0BC8" w:rsidRPr="009404D0" w:rsidRDefault="00457A62" w:rsidP="00457A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</w:pP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Fibre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sticlă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(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inclusiv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vată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sticlă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)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şi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articole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din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aceste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materiale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(de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exemplu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, fire,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ţesături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)</w:t>
            </w:r>
          </w:p>
        </w:tc>
        <w:tc>
          <w:tcPr>
            <w:tcW w:w="1114" w:type="dxa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0,51</w:t>
            </w:r>
          </w:p>
        </w:tc>
        <w:tc>
          <w:tcPr>
            <w:tcW w:w="1340" w:type="dxa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-</w:t>
            </w:r>
          </w:p>
        </w:tc>
        <w:tc>
          <w:tcPr>
            <w:tcW w:w="1311" w:type="dxa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9,24%</w:t>
            </w:r>
          </w:p>
        </w:tc>
      </w:tr>
      <w:tr w:rsidR="00ED0BC8" w:rsidRPr="00ED0BC8" w:rsidTr="00A116BD">
        <w:trPr>
          <w:trHeight w:val="354"/>
          <w:jc w:val="center"/>
        </w:trPr>
        <w:tc>
          <w:tcPr>
            <w:tcW w:w="918" w:type="dxa"/>
            <w:shd w:val="clear" w:color="auto" w:fill="D9D9D9" w:themeFill="background1" w:themeFillShade="D9"/>
          </w:tcPr>
          <w:p w:rsidR="00ED0BC8" w:rsidRPr="00ED0BC8" w:rsidRDefault="00ED0BC8" w:rsidP="00ED0B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1005</w:t>
            </w:r>
          </w:p>
        </w:tc>
        <w:tc>
          <w:tcPr>
            <w:tcW w:w="3780" w:type="dxa"/>
          </w:tcPr>
          <w:p w:rsidR="00ED0BC8" w:rsidRPr="009404D0" w:rsidRDefault="00ED0BC8" w:rsidP="00ED0BC8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</w:pPr>
            <w:proofErr w:type="spellStart"/>
            <w:r w:rsidRPr="009404D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 w:eastAsia="ro-RO"/>
              </w:rPr>
              <w:t>Porumb</w:t>
            </w:r>
            <w:proofErr w:type="spellEnd"/>
          </w:p>
        </w:tc>
        <w:tc>
          <w:tcPr>
            <w:tcW w:w="1114" w:type="dxa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-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0,50</w:t>
            </w:r>
          </w:p>
        </w:tc>
        <w:tc>
          <w:tcPr>
            <w:tcW w:w="1340" w:type="dxa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-</w:t>
            </w:r>
          </w:p>
        </w:tc>
        <w:tc>
          <w:tcPr>
            <w:tcW w:w="1311" w:type="dxa"/>
          </w:tcPr>
          <w:p w:rsidR="00ED0BC8" w:rsidRPr="00ED0BC8" w:rsidRDefault="00ED0BC8" w:rsidP="00ED0B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ED0BC8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9,06%</w:t>
            </w:r>
          </w:p>
        </w:tc>
      </w:tr>
    </w:tbl>
    <w:p w:rsidR="00526EED" w:rsidRPr="00ED0BC8" w:rsidRDefault="00526EED" w:rsidP="00ED0BC8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val="en-US" w:eastAsia="ro-RO"/>
        </w:rPr>
      </w:pPr>
    </w:p>
    <w:p w:rsidR="00E72EA1" w:rsidRPr="002178B8" w:rsidRDefault="00E72EA1" w:rsidP="008B583F">
      <w:pPr>
        <w:spacing w:after="0" w:line="240" w:lineRule="auto"/>
        <w:ind w:right="11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78B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Importul </w:t>
      </w:r>
      <w:r w:rsidRPr="002178B8">
        <w:rPr>
          <w:rFonts w:ascii="Times New Roman" w:hAnsi="Times New Roman" w:cs="Times New Roman"/>
          <w:sz w:val="24"/>
          <w:szCs w:val="24"/>
          <w:lang w:val="ro-RO"/>
        </w:rPr>
        <w:t xml:space="preserve">de mărfuri efectuat în perioada menţionată în Republica Moldova din </w:t>
      </w:r>
      <w:r w:rsidR="004F776C">
        <w:rPr>
          <w:rFonts w:ascii="Times New Roman" w:hAnsi="Times New Roman" w:cs="Times New Roman"/>
          <w:sz w:val="24"/>
          <w:szCs w:val="24"/>
          <w:lang w:val="ro-RO"/>
        </w:rPr>
        <w:t>Ungaria</w:t>
      </w:r>
      <w:r w:rsidRPr="002178B8">
        <w:rPr>
          <w:rFonts w:ascii="Times New Roman" w:hAnsi="Times New Roman" w:cs="Times New Roman"/>
          <w:sz w:val="24"/>
          <w:szCs w:val="24"/>
          <w:lang w:val="ro-RO"/>
        </w:rPr>
        <w:t xml:space="preserve"> a însumat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F77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85,58 </w:t>
      </w:r>
      <w:proofErr w:type="spellStart"/>
      <w:r w:rsidR="004F776C">
        <w:rPr>
          <w:rFonts w:ascii="Times New Roman" w:hAnsi="Times New Roman" w:cs="Times New Roman"/>
          <w:b/>
          <w:sz w:val="24"/>
          <w:szCs w:val="24"/>
          <w:lang w:val="ro-RO"/>
        </w:rPr>
        <w:t>mln</w:t>
      </w:r>
      <w:proofErr w:type="spellEnd"/>
      <w:r w:rsidR="004F776C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2178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USD </w:t>
      </w:r>
      <w:r w:rsidRPr="002178B8">
        <w:rPr>
          <w:rFonts w:ascii="Times New Roman" w:hAnsi="Times New Roman" w:cs="Times New Roman"/>
          <w:sz w:val="24"/>
          <w:szCs w:val="24"/>
          <w:lang w:val="ro-RO"/>
        </w:rPr>
        <w:t>şi a înregistrat o</w:t>
      </w:r>
      <w:r w:rsidRPr="002178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F776C">
        <w:rPr>
          <w:rFonts w:ascii="Times New Roman" w:hAnsi="Times New Roman" w:cs="Times New Roman"/>
          <w:b/>
          <w:sz w:val="24"/>
          <w:szCs w:val="24"/>
          <w:lang w:val="ro-RO"/>
        </w:rPr>
        <w:t>des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creştere</w:t>
      </w:r>
      <w:r w:rsidRPr="002178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cu </w:t>
      </w:r>
      <w:r w:rsidR="004F776C">
        <w:rPr>
          <w:rFonts w:ascii="Times New Roman" w:hAnsi="Times New Roman" w:cs="Times New Roman"/>
          <w:b/>
          <w:sz w:val="24"/>
          <w:szCs w:val="24"/>
          <w:lang w:val="ro-RO"/>
        </w:rPr>
        <w:t>14,42</w:t>
      </w:r>
      <w:r w:rsidRPr="002178B8">
        <w:rPr>
          <w:rFonts w:ascii="Times New Roman" w:hAnsi="Times New Roman" w:cs="Times New Roman"/>
          <w:b/>
          <w:sz w:val="24"/>
          <w:szCs w:val="24"/>
          <w:lang w:val="ro-RO"/>
        </w:rPr>
        <w:t xml:space="preserve">% </w:t>
      </w:r>
      <w:r w:rsidRPr="002178B8">
        <w:rPr>
          <w:rFonts w:ascii="Times New Roman" w:hAnsi="Times New Roman" w:cs="Times New Roman"/>
          <w:sz w:val="24"/>
          <w:szCs w:val="24"/>
          <w:lang w:val="ro-RO"/>
        </w:rPr>
        <w:t>în 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aport cu anul 2013. </w:t>
      </w:r>
      <w:r w:rsidR="004F776C">
        <w:rPr>
          <w:rFonts w:ascii="Times New Roman" w:hAnsi="Times New Roman" w:cs="Times New Roman"/>
          <w:sz w:val="24"/>
          <w:szCs w:val="24"/>
          <w:lang w:val="ro-RO"/>
        </w:rPr>
        <w:t>Ungaria</w:t>
      </w:r>
      <w:r w:rsidRPr="002178B8">
        <w:rPr>
          <w:rFonts w:ascii="Times New Roman" w:hAnsi="Times New Roman" w:cs="Times New Roman"/>
          <w:sz w:val="24"/>
          <w:szCs w:val="24"/>
          <w:lang w:val="ro-RO"/>
        </w:rPr>
        <w:t xml:space="preserve"> se situează pe locul </w:t>
      </w:r>
      <w:r w:rsidRPr="002178B8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4F776C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2178B8">
        <w:rPr>
          <w:rFonts w:ascii="Times New Roman" w:hAnsi="Times New Roman" w:cs="Times New Roman"/>
          <w:sz w:val="24"/>
          <w:szCs w:val="24"/>
          <w:lang w:val="ro-RO"/>
        </w:rPr>
        <w:t xml:space="preserve"> în topul ţărilor în care Republica Moldova efectuează importuri.</w:t>
      </w:r>
    </w:p>
    <w:p w:rsidR="00E72EA1" w:rsidRPr="002178B8" w:rsidRDefault="00E72EA1" w:rsidP="00E72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72EA1" w:rsidRPr="002178B8" w:rsidRDefault="00E72EA1" w:rsidP="00E72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78B8">
        <w:rPr>
          <w:rFonts w:ascii="Times New Roman" w:hAnsi="Times New Roman" w:cs="Times New Roman"/>
          <w:b/>
          <w:sz w:val="24"/>
          <w:szCs w:val="24"/>
          <w:lang w:val="ro-RO"/>
        </w:rPr>
        <w:t>Principalele categorii de mărfuri importate în anul 201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</w:p>
    <w:p w:rsidR="00E72EA1" w:rsidRDefault="00E72EA1" w:rsidP="008B583F">
      <w:pPr>
        <w:spacing w:after="0" w:line="240" w:lineRule="auto"/>
        <w:ind w:right="112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mln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.</w:t>
      </w:r>
      <w:r w:rsidRPr="002178B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USD</w:t>
      </w:r>
    </w:p>
    <w:tbl>
      <w:tblPr>
        <w:tblW w:w="9686" w:type="dxa"/>
        <w:jc w:val="center"/>
        <w:tblInd w:w="10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"/>
        <w:gridCol w:w="3761"/>
        <w:gridCol w:w="1089"/>
        <w:gridCol w:w="1134"/>
        <w:gridCol w:w="1340"/>
        <w:gridCol w:w="1400"/>
      </w:tblGrid>
      <w:tr w:rsidR="00E72EA1" w:rsidRPr="009404D0" w:rsidTr="0047641C">
        <w:trPr>
          <w:jc w:val="center"/>
        </w:trPr>
        <w:tc>
          <w:tcPr>
            <w:tcW w:w="962" w:type="dxa"/>
            <w:tcBorders>
              <w:bottom w:val="single" w:sz="6" w:space="0" w:color="auto"/>
            </w:tcBorders>
          </w:tcPr>
          <w:p w:rsidR="00E72EA1" w:rsidRPr="009404D0" w:rsidRDefault="00E72EA1" w:rsidP="008C72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proofErr w:type="spellStart"/>
            <w:r w:rsidRPr="009404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Poziția</w:t>
            </w:r>
            <w:proofErr w:type="spellEnd"/>
            <w:r w:rsidRPr="009404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tarifară</w:t>
            </w:r>
            <w:proofErr w:type="spellEnd"/>
          </w:p>
        </w:tc>
        <w:tc>
          <w:tcPr>
            <w:tcW w:w="376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72EA1" w:rsidRPr="009404D0" w:rsidRDefault="00E72EA1" w:rsidP="008C7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proofErr w:type="spellStart"/>
            <w:r w:rsidRPr="009404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Descrierea</w:t>
            </w:r>
            <w:proofErr w:type="spellEnd"/>
            <w:r w:rsidRPr="009404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mărfurilor</w:t>
            </w:r>
            <w:proofErr w:type="spellEnd"/>
          </w:p>
        </w:tc>
        <w:tc>
          <w:tcPr>
            <w:tcW w:w="1089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72EA1" w:rsidRPr="009404D0" w:rsidRDefault="00E72EA1" w:rsidP="008C7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9404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2013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pct15" w:color="auto" w:fill="auto"/>
          </w:tcPr>
          <w:p w:rsidR="00E72EA1" w:rsidRPr="009404D0" w:rsidRDefault="00E72EA1" w:rsidP="008C72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</w:pPr>
            <w:r w:rsidRPr="009404D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 w:eastAsia="ro-RO"/>
              </w:rPr>
              <w:t>2014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2EA1" w:rsidRPr="009404D0" w:rsidRDefault="00E72EA1" w:rsidP="008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0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Dinamica</w:t>
            </w:r>
          </w:p>
          <w:p w:rsidR="00E72EA1" w:rsidRPr="009404D0" w:rsidRDefault="00E72EA1" w:rsidP="008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0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2014/2013 % </w:t>
            </w:r>
          </w:p>
        </w:tc>
        <w:tc>
          <w:tcPr>
            <w:tcW w:w="140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72EA1" w:rsidRPr="009404D0" w:rsidRDefault="00E72EA1" w:rsidP="008C7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404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Ponderea în total export </w:t>
            </w:r>
          </w:p>
        </w:tc>
      </w:tr>
      <w:tr w:rsidR="00E72EA1" w:rsidRPr="009404D0" w:rsidTr="0047641C">
        <w:trPr>
          <w:jc w:val="center"/>
        </w:trPr>
        <w:tc>
          <w:tcPr>
            <w:tcW w:w="962" w:type="dxa"/>
            <w:shd w:val="pct15" w:color="auto" w:fill="auto"/>
          </w:tcPr>
          <w:p w:rsidR="00E72EA1" w:rsidRPr="00A116BD" w:rsidRDefault="00E72EA1" w:rsidP="008C723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116B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3004</w:t>
            </w:r>
          </w:p>
        </w:tc>
        <w:tc>
          <w:tcPr>
            <w:tcW w:w="3761" w:type="dxa"/>
            <w:shd w:val="clear" w:color="auto" w:fill="FFFFFF" w:themeFill="background1"/>
          </w:tcPr>
          <w:p w:rsidR="00E72EA1" w:rsidRPr="009404D0" w:rsidRDefault="009404D0" w:rsidP="0047641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ro-RO"/>
              </w:rPr>
            </w:pP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Medicamente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constituite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din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produse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amestecate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sau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neamestecate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preparate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utilizări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profilactice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sau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terapeutice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,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condiţionate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vînzarea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cu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amănuntul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sau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prezentate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sub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formă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de doze (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inclusiv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cele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care se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administrează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cutanat</w:t>
            </w:r>
            <w:proofErr w:type="spellEnd"/>
            <w:r w:rsidRPr="009404D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)</w:t>
            </w:r>
          </w:p>
        </w:tc>
        <w:tc>
          <w:tcPr>
            <w:tcW w:w="1089" w:type="dxa"/>
            <w:shd w:val="clear" w:color="auto" w:fill="FFFFFF" w:themeFill="background1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16,92</w:t>
            </w:r>
          </w:p>
        </w:tc>
        <w:tc>
          <w:tcPr>
            <w:tcW w:w="1134" w:type="dxa"/>
            <w:shd w:val="pct15" w:color="auto" w:fill="auto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17,86</w:t>
            </w:r>
          </w:p>
        </w:tc>
        <w:tc>
          <w:tcPr>
            <w:tcW w:w="1340" w:type="dxa"/>
            <w:shd w:val="clear" w:color="auto" w:fill="FFFFFF" w:themeFill="background1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105,55</w:t>
            </w:r>
          </w:p>
        </w:tc>
        <w:tc>
          <w:tcPr>
            <w:tcW w:w="1400" w:type="dxa"/>
            <w:shd w:val="clear" w:color="auto" w:fill="FFFFFF" w:themeFill="background1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20,87%</w:t>
            </w:r>
          </w:p>
        </w:tc>
      </w:tr>
      <w:tr w:rsidR="00E72EA1" w:rsidRPr="009404D0" w:rsidTr="0047641C">
        <w:trPr>
          <w:jc w:val="center"/>
        </w:trPr>
        <w:tc>
          <w:tcPr>
            <w:tcW w:w="962" w:type="dxa"/>
            <w:shd w:val="pct15" w:color="auto" w:fill="auto"/>
          </w:tcPr>
          <w:p w:rsidR="00E72EA1" w:rsidRPr="00A116BD" w:rsidRDefault="00E72EA1" w:rsidP="008C723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116B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2309</w:t>
            </w:r>
          </w:p>
        </w:tc>
        <w:tc>
          <w:tcPr>
            <w:tcW w:w="3761" w:type="dxa"/>
            <w:shd w:val="clear" w:color="auto" w:fill="FFFFFF" w:themeFill="background1"/>
          </w:tcPr>
          <w:p w:rsidR="00E72EA1" w:rsidRPr="009404D0" w:rsidRDefault="00A116BD" w:rsidP="0047641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A116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Preparate</w:t>
            </w:r>
            <w:proofErr w:type="spellEnd"/>
            <w:r w:rsidRPr="00A116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de </w:t>
            </w:r>
            <w:proofErr w:type="spellStart"/>
            <w:r w:rsidRPr="00A116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tipurile</w:t>
            </w:r>
            <w:proofErr w:type="spellEnd"/>
            <w:r w:rsidRPr="00A116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116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celor</w:t>
            </w:r>
            <w:proofErr w:type="spellEnd"/>
            <w:r w:rsidRPr="00A116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116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folosite</w:t>
            </w:r>
            <w:proofErr w:type="spellEnd"/>
            <w:r w:rsidRPr="00A116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116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pentru</w:t>
            </w:r>
            <w:proofErr w:type="spellEnd"/>
            <w:r w:rsidRPr="00A116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116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hrana</w:t>
            </w:r>
            <w:proofErr w:type="spellEnd"/>
            <w:r w:rsidRPr="00A116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A116BD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animalelor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89" w:type="dxa"/>
            <w:shd w:val="clear" w:color="auto" w:fill="FFFFFF" w:themeFill="background1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4,76</w:t>
            </w:r>
          </w:p>
        </w:tc>
        <w:tc>
          <w:tcPr>
            <w:tcW w:w="1134" w:type="dxa"/>
            <w:shd w:val="pct15" w:color="auto" w:fill="auto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5,85</w:t>
            </w:r>
          </w:p>
        </w:tc>
        <w:tc>
          <w:tcPr>
            <w:tcW w:w="1340" w:type="dxa"/>
            <w:shd w:val="clear" w:color="auto" w:fill="FFFFFF" w:themeFill="background1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122,89%</w:t>
            </w:r>
          </w:p>
        </w:tc>
        <w:tc>
          <w:tcPr>
            <w:tcW w:w="1400" w:type="dxa"/>
            <w:shd w:val="clear" w:color="auto" w:fill="FFFFFF" w:themeFill="background1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6,83%</w:t>
            </w:r>
          </w:p>
        </w:tc>
      </w:tr>
      <w:tr w:rsidR="00E72EA1" w:rsidRPr="009404D0" w:rsidTr="0047641C">
        <w:trPr>
          <w:jc w:val="center"/>
        </w:trPr>
        <w:tc>
          <w:tcPr>
            <w:tcW w:w="962" w:type="dxa"/>
            <w:shd w:val="pct15" w:color="auto" w:fill="auto"/>
          </w:tcPr>
          <w:p w:rsidR="00E72EA1" w:rsidRPr="00A116BD" w:rsidRDefault="00E72EA1" w:rsidP="008C723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116B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4205</w:t>
            </w:r>
          </w:p>
        </w:tc>
        <w:tc>
          <w:tcPr>
            <w:tcW w:w="3761" w:type="dxa"/>
            <w:shd w:val="clear" w:color="auto" w:fill="FFFFFF" w:themeFill="background1"/>
          </w:tcPr>
          <w:p w:rsidR="00E72EA1" w:rsidRPr="009404D0" w:rsidRDefault="0047641C" w:rsidP="0047641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4764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Alte</w:t>
            </w:r>
            <w:proofErr w:type="spellEnd"/>
            <w:r w:rsidRPr="004764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4764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articole</w:t>
            </w:r>
            <w:proofErr w:type="spellEnd"/>
            <w:r w:rsidRPr="004764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din </w:t>
            </w:r>
            <w:proofErr w:type="spellStart"/>
            <w:r w:rsidRPr="004764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piele</w:t>
            </w:r>
            <w:proofErr w:type="spellEnd"/>
            <w:r w:rsidRPr="004764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4764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naturală</w:t>
            </w:r>
            <w:proofErr w:type="spellEnd"/>
            <w:r w:rsidRPr="004764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4764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sau</w:t>
            </w:r>
            <w:proofErr w:type="spellEnd"/>
            <w:r w:rsidRPr="004764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47641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en-US" w:eastAsia="ro-RO"/>
              </w:rPr>
              <w:t>reconstituită</w:t>
            </w:r>
            <w:proofErr w:type="spellEnd"/>
          </w:p>
        </w:tc>
        <w:tc>
          <w:tcPr>
            <w:tcW w:w="1089" w:type="dxa"/>
            <w:shd w:val="clear" w:color="auto" w:fill="FFFFFF" w:themeFill="background1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0,75</w:t>
            </w:r>
          </w:p>
        </w:tc>
        <w:tc>
          <w:tcPr>
            <w:tcW w:w="1134" w:type="dxa"/>
            <w:shd w:val="pct15" w:color="auto" w:fill="auto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4,99</w:t>
            </w:r>
          </w:p>
        </w:tc>
        <w:tc>
          <w:tcPr>
            <w:tcW w:w="1340" w:type="dxa"/>
            <w:shd w:val="clear" w:color="auto" w:fill="FFFFFF" w:themeFill="background1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665,33%</w:t>
            </w:r>
          </w:p>
        </w:tc>
        <w:tc>
          <w:tcPr>
            <w:tcW w:w="1400" w:type="dxa"/>
            <w:shd w:val="clear" w:color="auto" w:fill="FFFFFF" w:themeFill="background1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5,83%</w:t>
            </w:r>
          </w:p>
        </w:tc>
      </w:tr>
      <w:tr w:rsidR="00E72EA1" w:rsidRPr="009404D0" w:rsidTr="0047641C">
        <w:trPr>
          <w:jc w:val="center"/>
        </w:trPr>
        <w:tc>
          <w:tcPr>
            <w:tcW w:w="962" w:type="dxa"/>
            <w:tcBorders>
              <w:bottom w:val="single" w:sz="6" w:space="0" w:color="auto"/>
            </w:tcBorders>
            <w:shd w:val="pct15" w:color="auto" w:fill="auto"/>
          </w:tcPr>
          <w:p w:rsidR="00E72EA1" w:rsidRPr="00A116BD" w:rsidRDefault="00E72EA1" w:rsidP="008C723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116B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8544</w:t>
            </w:r>
          </w:p>
        </w:tc>
        <w:tc>
          <w:tcPr>
            <w:tcW w:w="3761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72EA1" w:rsidRPr="0047641C" w:rsidRDefault="0047641C" w:rsidP="004764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Fire,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cabluri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inclusiv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cabluri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coaxiale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şi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alte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conductoare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electrice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izolate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chiar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emailate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oxidate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anodic), cu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fără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conectori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cabluri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fibre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optice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constituite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fibre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izolate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individual,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chiar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echipate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conductoare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electrice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sau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prevăzute</w:t>
            </w:r>
            <w:proofErr w:type="spellEnd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47641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conectori</w:t>
            </w:r>
            <w:proofErr w:type="spellEnd"/>
          </w:p>
        </w:tc>
        <w:tc>
          <w:tcPr>
            <w:tcW w:w="1089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3,22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pct15" w:color="auto" w:fill="auto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4,56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141,61%</w:t>
            </w:r>
          </w:p>
        </w:tc>
        <w:tc>
          <w:tcPr>
            <w:tcW w:w="1400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5,32%</w:t>
            </w:r>
          </w:p>
        </w:tc>
      </w:tr>
      <w:tr w:rsidR="0047641C" w:rsidRPr="009404D0" w:rsidTr="0047641C">
        <w:trPr>
          <w:jc w:val="center"/>
        </w:trPr>
        <w:tc>
          <w:tcPr>
            <w:tcW w:w="962" w:type="dxa"/>
            <w:tcBorders>
              <w:bottom w:val="single" w:sz="6" w:space="0" w:color="auto"/>
            </w:tcBorders>
            <w:shd w:val="pct15" w:color="auto" w:fill="auto"/>
          </w:tcPr>
          <w:p w:rsidR="00E72EA1" w:rsidRPr="00A116BD" w:rsidRDefault="00E72EA1" w:rsidP="008C7237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A116B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6307</w:t>
            </w:r>
          </w:p>
        </w:tc>
        <w:tc>
          <w:tcPr>
            <w:tcW w:w="3761" w:type="dxa"/>
            <w:tcBorders>
              <w:bottom w:val="single" w:sz="6" w:space="0" w:color="auto"/>
            </w:tcBorders>
            <w:shd w:val="clear" w:color="auto" w:fill="auto"/>
          </w:tcPr>
          <w:p w:rsidR="00E72EA1" w:rsidRPr="009404D0" w:rsidRDefault="005414CF" w:rsidP="005414C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5414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Alte</w:t>
            </w:r>
            <w:proofErr w:type="spellEnd"/>
            <w:r w:rsidRPr="005414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4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articole</w:t>
            </w:r>
            <w:proofErr w:type="spellEnd"/>
            <w:r w:rsidRPr="005414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4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confecţionate</w:t>
            </w:r>
            <w:proofErr w:type="spellEnd"/>
            <w:r w:rsidRPr="005414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414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inclusiv</w:t>
            </w:r>
            <w:proofErr w:type="spellEnd"/>
            <w:r w:rsidRPr="005414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414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tipare</w:t>
            </w:r>
            <w:proofErr w:type="spellEnd"/>
            <w:r w:rsidRPr="005414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414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îmbrăcămi</w:t>
            </w:r>
            <w:bookmarkStart w:id="0" w:name="_GoBack"/>
            <w:bookmarkEnd w:id="0"/>
            <w:r w:rsidRPr="005414C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nte</w:t>
            </w:r>
            <w:proofErr w:type="spellEnd"/>
          </w:p>
        </w:tc>
        <w:tc>
          <w:tcPr>
            <w:tcW w:w="1089" w:type="dxa"/>
            <w:tcBorders>
              <w:bottom w:val="single" w:sz="6" w:space="0" w:color="auto"/>
            </w:tcBorders>
            <w:shd w:val="clear" w:color="auto" w:fill="auto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20,07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pct15" w:color="auto" w:fill="auto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3,38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auto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16,84%</w:t>
            </w:r>
          </w:p>
        </w:tc>
        <w:tc>
          <w:tcPr>
            <w:tcW w:w="1400" w:type="dxa"/>
            <w:tcBorders>
              <w:bottom w:val="single" w:sz="6" w:space="0" w:color="auto"/>
            </w:tcBorders>
            <w:shd w:val="clear" w:color="auto" w:fill="auto"/>
          </w:tcPr>
          <w:p w:rsidR="00E72EA1" w:rsidRPr="005414CF" w:rsidRDefault="00E72EA1" w:rsidP="008C723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</w:pPr>
            <w:r w:rsidRPr="005414CF">
              <w:rPr>
                <w:rFonts w:ascii="Times New Roman" w:hAnsi="Times New Roman"/>
                <w:b/>
                <w:color w:val="000000"/>
                <w:sz w:val="24"/>
                <w:szCs w:val="24"/>
                <w:lang w:val="ro-RO" w:eastAsia="ru-RU"/>
              </w:rPr>
              <w:t>3,95%</w:t>
            </w:r>
          </w:p>
        </w:tc>
      </w:tr>
    </w:tbl>
    <w:p w:rsidR="00E72EA1" w:rsidRPr="0002759C" w:rsidRDefault="00E72EA1" w:rsidP="0024373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775671" w:rsidRDefault="00775671" w:rsidP="0028295E">
      <w:pPr>
        <w:spacing w:line="240" w:lineRule="auto"/>
        <w:ind w:left="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2759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COMISIA MIXTĂ</w:t>
      </w:r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: Cea de a 2-a sesiune a Comisiei interguvernamentale moldo-ungare pentru colaborare comercial-economică a avut loc în perioada 25-26 Septembrie, 2014, la Chisinau. </w:t>
      </w:r>
    </w:p>
    <w:p w:rsidR="00775671" w:rsidRPr="0002759C" w:rsidRDefault="004F776C" w:rsidP="0028295E">
      <w:pPr>
        <w:spacing w:line="240" w:lineRule="auto"/>
        <w:ind w:left="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Următoarea ședință a Comisiei moldo-ungare se va desfășura la Budapesta. </w:t>
      </w:r>
      <w:r w:rsidRPr="004F776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Dată concretă urmează a fi convenită prin canale diplomatice.</w:t>
      </w:r>
    </w:p>
    <w:p w:rsidR="00A90A9E" w:rsidRPr="0002759C" w:rsidRDefault="00A90A9E" w:rsidP="00457A62">
      <w:pPr>
        <w:spacing w:after="0" w:line="240" w:lineRule="auto"/>
        <w:ind w:left="9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02759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ro-RO"/>
        </w:rPr>
        <w:t>ASISTENŢA TEHNICĂ</w:t>
      </w:r>
      <w:r w:rsidRPr="0002759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:</w:t>
      </w:r>
    </w:p>
    <w:p w:rsidR="00D90930" w:rsidRPr="0002759C" w:rsidRDefault="00D90930" w:rsidP="0024373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tbl>
      <w:tblPr>
        <w:tblW w:w="9735" w:type="dxa"/>
        <w:tblInd w:w="19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7"/>
        <w:gridCol w:w="7698"/>
      </w:tblGrid>
      <w:tr w:rsidR="00D90930" w:rsidRPr="0028295E" w:rsidTr="008B583F">
        <w:tc>
          <w:tcPr>
            <w:tcW w:w="203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0930" w:rsidRPr="004F776C" w:rsidRDefault="00D90930" w:rsidP="004F7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Agenția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de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dezvoltare</w:t>
            </w:r>
            <w:proofErr w:type="spellEnd"/>
          </w:p>
        </w:tc>
        <w:tc>
          <w:tcPr>
            <w:tcW w:w="7698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0930" w:rsidRPr="004F776C" w:rsidRDefault="00D90930" w:rsidP="004F7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Ministerul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Afacerilor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Externe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(MAE) al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Ungariei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responsabil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planificarea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coordonarea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activităților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cooperare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domeniul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dezvoltării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internaţionale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(CDI).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Comitetul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guvernamental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CDI,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prezidat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Ministrul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Afacerilor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Externe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coordonează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politica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dezvoltare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proofErr w:type="gram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Ungariei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determină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priorităţile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geografice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sectoriale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acesteia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Comitetul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lastRenderedPageBreak/>
              <w:t>asistat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un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Consiliu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Consultativ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Civil, din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componenţa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căruia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fac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parte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reprezentanţi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MAE,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partidelor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politice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sindicatelor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patronatelor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cercurilor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academice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 ONG-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urilor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experţi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individuali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  <w:p w:rsidR="00A90A9E" w:rsidRPr="004F776C" w:rsidRDefault="00D90930" w:rsidP="004F7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Organizaţia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non-profit HUN-IDA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agenţia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care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implementează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programele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CDI ale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Ungariei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</w:tc>
      </w:tr>
      <w:tr w:rsidR="00D90930" w:rsidRPr="0028295E" w:rsidTr="008B583F">
        <w:tc>
          <w:tcPr>
            <w:tcW w:w="203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0930" w:rsidRPr="004F776C" w:rsidRDefault="00D90930" w:rsidP="004F7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Cadrul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juridic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de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cooperare</w:t>
            </w:r>
            <w:proofErr w:type="spellEnd"/>
          </w:p>
        </w:tc>
        <w:tc>
          <w:tcPr>
            <w:tcW w:w="7698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0930" w:rsidRPr="004F776C" w:rsidRDefault="00D90930" w:rsidP="004F7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Primul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acord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bilateral de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cooperare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semnat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2007</w:t>
            </w:r>
          </w:p>
        </w:tc>
      </w:tr>
      <w:tr w:rsidR="00D90930" w:rsidRPr="0028295E" w:rsidTr="008B583F">
        <w:tc>
          <w:tcPr>
            <w:tcW w:w="203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0930" w:rsidRPr="004F776C" w:rsidRDefault="00D90930" w:rsidP="004F7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Documente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strategice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de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programare</w:t>
            </w:r>
            <w:proofErr w:type="spellEnd"/>
          </w:p>
        </w:tc>
        <w:tc>
          <w:tcPr>
            <w:tcW w:w="7698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0930" w:rsidRPr="004F776C" w:rsidRDefault="00D90930" w:rsidP="004F7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Obiectivul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strategic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a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susţine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apropierea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Republicii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Moldova la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standardele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UE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a-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acorda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asistenţă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dezvoltarea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economică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şi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domeniului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social.</w:t>
            </w:r>
          </w:p>
        </w:tc>
      </w:tr>
      <w:tr w:rsidR="00D90930" w:rsidRPr="0028295E" w:rsidTr="008B583F">
        <w:tc>
          <w:tcPr>
            <w:tcW w:w="203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0930" w:rsidRPr="004F776C" w:rsidRDefault="00D90930" w:rsidP="004F7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Domenii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cooperare</w:t>
            </w:r>
            <w:proofErr w:type="spellEnd"/>
          </w:p>
        </w:tc>
        <w:tc>
          <w:tcPr>
            <w:tcW w:w="7698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0930" w:rsidRPr="004F776C" w:rsidRDefault="00D90930" w:rsidP="004F7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Buna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guvernare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Integrare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europeană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armonizarea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legislaţiei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Justiţie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stat de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drept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Agricultură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Protecţia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datelor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cu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caracter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personal</w:t>
            </w:r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Democraţie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br/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Infrastructură</w:t>
            </w:r>
            <w:proofErr w:type="spellEnd"/>
          </w:p>
        </w:tc>
      </w:tr>
      <w:tr w:rsidR="00D90930" w:rsidRPr="004F776C" w:rsidTr="008B583F">
        <w:tc>
          <w:tcPr>
            <w:tcW w:w="203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0930" w:rsidRPr="004F776C" w:rsidRDefault="00D90930" w:rsidP="004F7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Tipul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fondurilor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698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0930" w:rsidRPr="004F776C" w:rsidRDefault="00D90930" w:rsidP="004F7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Asistența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ungară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Republica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Moldova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perioada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2003-2010 s-a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ridicat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suma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1.285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milioane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dolari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  <w:p w:rsidR="00A90A9E" w:rsidRPr="004F776C" w:rsidRDefault="00D90930" w:rsidP="004F7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Asistenţă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nerambursabilă</w:t>
            </w:r>
            <w:proofErr w:type="spellEnd"/>
          </w:p>
        </w:tc>
      </w:tr>
      <w:tr w:rsidR="00D90930" w:rsidRPr="0028295E" w:rsidTr="008B583F">
        <w:tc>
          <w:tcPr>
            <w:tcW w:w="2037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0930" w:rsidRPr="004F776C" w:rsidRDefault="00D90930" w:rsidP="004F7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Alte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informaţii</w:t>
            </w:r>
            <w:proofErr w:type="spellEnd"/>
          </w:p>
        </w:tc>
        <w:tc>
          <w:tcPr>
            <w:tcW w:w="7698" w:type="dxa"/>
            <w:shd w:val="clear" w:color="auto" w:fill="FFFFFF" w:themeFill="background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90930" w:rsidRPr="004F776C" w:rsidRDefault="00D90930" w:rsidP="004F7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Programele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asistenţă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ale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Ungariei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domeniul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dezvoltării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sînt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finanţate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special din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bugetul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stat. MAE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administrează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aproximativ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20% din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contribuţia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totală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Ungariei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dezvoltarea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internațională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iar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cealaltă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parte a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asistenţei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oficiale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dezvoltare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Ungariei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este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acordată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alte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departamente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guvernamentale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  <w:p w:rsidR="00A90A9E" w:rsidRPr="004F776C" w:rsidRDefault="00D90930" w:rsidP="004F77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2007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Ungaria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s-</w:t>
            </w:r>
            <w:proofErr w:type="gram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</w:t>
            </w:r>
            <w:proofErr w:type="gram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angajat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iniţieze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28 de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proiecte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în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Republica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Moldova cu un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buget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total de 73,000,926 HUF. 4.5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milioane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HUF au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fost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alocaţi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programul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armonizare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legislativă</w:t>
            </w:r>
            <w:proofErr w:type="spellEnd"/>
            <w:r w:rsidRPr="004F7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D90930" w:rsidRPr="0002759C" w:rsidRDefault="00D90930" w:rsidP="0024373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90930" w:rsidRPr="0002759C" w:rsidRDefault="00D90930" w:rsidP="0024373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24373A" w:rsidRPr="0002759C" w:rsidRDefault="0024373A">
      <w:pPr>
        <w:rPr>
          <w:color w:val="000000" w:themeColor="text1"/>
          <w:lang w:val="ro-RO"/>
        </w:rPr>
      </w:pPr>
    </w:p>
    <w:sectPr w:rsidR="0024373A" w:rsidRPr="0002759C" w:rsidSect="0009514C">
      <w:pgSz w:w="11907" w:h="16834" w:code="9"/>
      <w:pgMar w:top="567" w:right="567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774E"/>
    <w:multiLevelType w:val="hybridMultilevel"/>
    <w:tmpl w:val="55E0E774"/>
    <w:lvl w:ilvl="0" w:tplc="DC14809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32B72"/>
    <w:multiLevelType w:val="hybridMultilevel"/>
    <w:tmpl w:val="C87CD8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14C"/>
    <w:rsid w:val="00012673"/>
    <w:rsid w:val="00012D7C"/>
    <w:rsid w:val="0002759C"/>
    <w:rsid w:val="0003379A"/>
    <w:rsid w:val="00035BCF"/>
    <w:rsid w:val="000540A4"/>
    <w:rsid w:val="000670EE"/>
    <w:rsid w:val="00075355"/>
    <w:rsid w:val="0009514C"/>
    <w:rsid w:val="000A12CB"/>
    <w:rsid w:val="000B1651"/>
    <w:rsid w:val="000D262D"/>
    <w:rsid w:val="000D3647"/>
    <w:rsid w:val="000E450A"/>
    <w:rsid w:val="00101240"/>
    <w:rsid w:val="00107335"/>
    <w:rsid w:val="00117E0F"/>
    <w:rsid w:val="00124945"/>
    <w:rsid w:val="001341A8"/>
    <w:rsid w:val="00140C43"/>
    <w:rsid w:val="0014208E"/>
    <w:rsid w:val="001564CB"/>
    <w:rsid w:val="00157F8E"/>
    <w:rsid w:val="00161AD5"/>
    <w:rsid w:val="00167456"/>
    <w:rsid w:val="001950B1"/>
    <w:rsid w:val="001B4FB1"/>
    <w:rsid w:val="001C37A9"/>
    <w:rsid w:val="001C6092"/>
    <w:rsid w:val="001F239B"/>
    <w:rsid w:val="00215BFB"/>
    <w:rsid w:val="00227301"/>
    <w:rsid w:val="002320C0"/>
    <w:rsid w:val="002429CD"/>
    <w:rsid w:val="0024373A"/>
    <w:rsid w:val="00252753"/>
    <w:rsid w:val="00260591"/>
    <w:rsid w:val="00270ACF"/>
    <w:rsid w:val="00272FD2"/>
    <w:rsid w:val="0028295E"/>
    <w:rsid w:val="00285B15"/>
    <w:rsid w:val="002A10B8"/>
    <w:rsid w:val="002A3C12"/>
    <w:rsid w:val="002A60B1"/>
    <w:rsid w:val="002B4FA2"/>
    <w:rsid w:val="002B6EF4"/>
    <w:rsid w:val="002C654E"/>
    <w:rsid w:val="002F0421"/>
    <w:rsid w:val="00307D94"/>
    <w:rsid w:val="003102F8"/>
    <w:rsid w:val="00311F49"/>
    <w:rsid w:val="0031268C"/>
    <w:rsid w:val="0031415C"/>
    <w:rsid w:val="003149AF"/>
    <w:rsid w:val="00316F40"/>
    <w:rsid w:val="003265C9"/>
    <w:rsid w:val="0032673D"/>
    <w:rsid w:val="00332192"/>
    <w:rsid w:val="00332927"/>
    <w:rsid w:val="003352F3"/>
    <w:rsid w:val="003359DA"/>
    <w:rsid w:val="00341C28"/>
    <w:rsid w:val="00345A06"/>
    <w:rsid w:val="00357A0A"/>
    <w:rsid w:val="003657EA"/>
    <w:rsid w:val="003760BF"/>
    <w:rsid w:val="003B0F48"/>
    <w:rsid w:val="003B3D6E"/>
    <w:rsid w:val="003B61A7"/>
    <w:rsid w:val="003C6A37"/>
    <w:rsid w:val="003D0B71"/>
    <w:rsid w:val="003E2CFF"/>
    <w:rsid w:val="003E2D02"/>
    <w:rsid w:val="00400B2D"/>
    <w:rsid w:val="00407DAD"/>
    <w:rsid w:val="004127BB"/>
    <w:rsid w:val="0041401B"/>
    <w:rsid w:val="00420D83"/>
    <w:rsid w:val="00424ADD"/>
    <w:rsid w:val="00451C19"/>
    <w:rsid w:val="004550A4"/>
    <w:rsid w:val="00457A62"/>
    <w:rsid w:val="0046499C"/>
    <w:rsid w:val="004749A6"/>
    <w:rsid w:val="0047641C"/>
    <w:rsid w:val="00481E5D"/>
    <w:rsid w:val="0048353C"/>
    <w:rsid w:val="00497887"/>
    <w:rsid w:val="004A1011"/>
    <w:rsid w:val="004A1BF5"/>
    <w:rsid w:val="004A2227"/>
    <w:rsid w:val="004B2058"/>
    <w:rsid w:val="004B6093"/>
    <w:rsid w:val="004B6B2F"/>
    <w:rsid w:val="004C0673"/>
    <w:rsid w:val="004C22DC"/>
    <w:rsid w:val="004E7708"/>
    <w:rsid w:val="004F776C"/>
    <w:rsid w:val="00501BFA"/>
    <w:rsid w:val="00511693"/>
    <w:rsid w:val="00526EED"/>
    <w:rsid w:val="00527B23"/>
    <w:rsid w:val="00533535"/>
    <w:rsid w:val="005414CF"/>
    <w:rsid w:val="005438AB"/>
    <w:rsid w:val="00555044"/>
    <w:rsid w:val="005562BA"/>
    <w:rsid w:val="00577313"/>
    <w:rsid w:val="00581D08"/>
    <w:rsid w:val="005A29DF"/>
    <w:rsid w:val="005C0A35"/>
    <w:rsid w:val="005D00E3"/>
    <w:rsid w:val="005D6A41"/>
    <w:rsid w:val="005D6A7C"/>
    <w:rsid w:val="005E02E9"/>
    <w:rsid w:val="005F20A8"/>
    <w:rsid w:val="00610524"/>
    <w:rsid w:val="006224A7"/>
    <w:rsid w:val="00632D59"/>
    <w:rsid w:val="006333BC"/>
    <w:rsid w:val="006661EA"/>
    <w:rsid w:val="0068154F"/>
    <w:rsid w:val="00681BF3"/>
    <w:rsid w:val="00683679"/>
    <w:rsid w:val="00692F9B"/>
    <w:rsid w:val="006A57ED"/>
    <w:rsid w:val="006B4AA2"/>
    <w:rsid w:val="006C7681"/>
    <w:rsid w:val="006D0280"/>
    <w:rsid w:val="006D0AA8"/>
    <w:rsid w:val="006D6EF4"/>
    <w:rsid w:val="0070269D"/>
    <w:rsid w:val="00703D8A"/>
    <w:rsid w:val="00706A07"/>
    <w:rsid w:val="00710264"/>
    <w:rsid w:val="00713783"/>
    <w:rsid w:val="00723DBC"/>
    <w:rsid w:val="007553A6"/>
    <w:rsid w:val="00756A1F"/>
    <w:rsid w:val="00764934"/>
    <w:rsid w:val="00766936"/>
    <w:rsid w:val="00775671"/>
    <w:rsid w:val="007A39A7"/>
    <w:rsid w:val="007B3469"/>
    <w:rsid w:val="007C3DF9"/>
    <w:rsid w:val="007D589A"/>
    <w:rsid w:val="007E52F9"/>
    <w:rsid w:val="00823143"/>
    <w:rsid w:val="0083306B"/>
    <w:rsid w:val="00845253"/>
    <w:rsid w:val="00866F43"/>
    <w:rsid w:val="00871493"/>
    <w:rsid w:val="008B583F"/>
    <w:rsid w:val="008C67B8"/>
    <w:rsid w:val="008D44DC"/>
    <w:rsid w:val="008E7327"/>
    <w:rsid w:val="00922C01"/>
    <w:rsid w:val="00923EBF"/>
    <w:rsid w:val="00931A5E"/>
    <w:rsid w:val="009358D5"/>
    <w:rsid w:val="009404D0"/>
    <w:rsid w:val="0094559F"/>
    <w:rsid w:val="00965119"/>
    <w:rsid w:val="00970DE9"/>
    <w:rsid w:val="00971A31"/>
    <w:rsid w:val="00976622"/>
    <w:rsid w:val="009D0001"/>
    <w:rsid w:val="009D7A46"/>
    <w:rsid w:val="009E0424"/>
    <w:rsid w:val="009F487C"/>
    <w:rsid w:val="009F5C30"/>
    <w:rsid w:val="00A003C9"/>
    <w:rsid w:val="00A065F4"/>
    <w:rsid w:val="00A116BD"/>
    <w:rsid w:val="00A17F68"/>
    <w:rsid w:val="00A23FFF"/>
    <w:rsid w:val="00A257A0"/>
    <w:rsid w:val="00A262F1"/>
    <w:rsid w:val="00A36172"/>
    <w:rsid w:val="00A64D86"/>
    <w:rsid w:val="00A66D7E"/>
    <w:rsid w:val="00A739C7"/>
    <w:rsid w:val="00A83497"/>
    <w:rsid w:val="00A86A65"/>
    <w:rsid w:val="00A90A9E"/>
    <w:rsid w:val="00AA12AD"/>
    <w:rsid w:val="00AA28C3"/>
    <w:rsid w:val="00AC46D4"/>
    <w:rsid w:val="00AD0D82"/>
    <w:rsid w:val="00AD4C50"/>
    <w:rsid w:val="00AD5DD2"/>
    <w:rsid w:val="00AF6A9F"/>
    <w:rsid w:val="00B107E2"/>
    <w:rsid w:val="00B13A0B"/>
    <w:rsid w:val="00B175A7"/>
    <w:rsid w:val="00B26220"/>
    <w:rsid w:val="00B674E6"/>
    <w:rsid w:val="00B84EBB"/>
    <w:rsid w:val="00B95369"/>
    <w:rsid w:val="00BA7F3C"/>
    <w:rsid w:val="00BB2769"/>
    <w:rsid w:val="00BB3D5B"/>
    <w:rsid w:val="00BC24B0"/>
    <w:rsid w:val="00BC455C"/>
    <w:rsid w:val="00BD0C3D"/>
    <w:rsid w:val="00BF53AF"/>
    <w:rsid w:val="00C06A57"/>
    <w:rsid w:val="00C24FFA"/>
    <w:rsid w:val="00C35037"/>
    <w:rsid w:val="00C522FB"/>
    <w:rsid w:val="00C5452C"/>
    <w:rsid w:val="00C7483D"/>
    <w:rsid w:val="00C83FCF"/>
    <w:rsid w:val="00C84B92"/>
    <w:rsid w:val="00CA059A"/>
    <w:rsid w:val="00CD0194"/>
    <w:rsid w:val="00CD4BF7"/>
    <w:rsid w:val="00CD6DD8"/>
    <w:rsid w:val="00CE5DF4"/>
    <w:rsid w:val="00CE7D78"/>
    <w:rsid w:val="00CF6212"/>
    <w:rsid w:val="00CF63D7"/>
    <w:rsid w:val="00D06D43"/>
    <w:rsid w:val="00D11AF1"/>
    <w:rsid w:val="00D1234D"/>
    <w:rsid w:val="00D12921"/>
    <w:rsid w:val="00D31FC1"/>
    <w:rsid w:val="00D45BE2"/>
    <w:rsid w:val="00D45C74"/>
    <w:rsid w:val="00D6269F"/>
    <w:rsid w:val="00D8414C"/>
    <w:rsid w:val="00D90930"/>
    <w:rsid w:val="00DA459B"/>
    <w:rsid w:val="00DA5886"/>
    <w:rsid w:val="00DC07DB"/>
    <w:rsid w:val="00DC0819"/>
    <w:rsid w:val="00DC5C7A"/>
    <w:rsid w:val="00DC7080"/>
    <w:rsid w:val="00DD415A"/>
    <w:rsid w:val="00DE2CA8"/>
    <w:rsid w:val="00DF0ABF"/>
    <w:rsid w:val="00DF28C7"/>
    <w:rsid w:val="00E22282"/>
    <w:rsid w:val="00E46E85"/>
    <w:rsid w:val="00E72EA1"/>
    <w:rsid w:val="00E74B4F"/>
    <w:rsid w:val="00E751E8"/>
    <w:rsid w:val="00EB20C7"/>
    <w:rsid w:val="00EB2BCD"/>
    <w:rsid w:val="00EB3200"/>
    <w:rsid w:val="00EB69DA"/>
    <w:rsid w:val="00ED050A"/>
    <w:rsid w:val="00ED0BC8"/>
    <w:rsid w:val="00ED6B1F"/>
    <w:rsid w:val="00F060DF"/>
    <w:rsid w:val="00F11AF9"/>
    <w:rsid w:val="00F12298"/>
    <w:rsid w:val="00F147BF"/>
    <w:rsid w:val="00F15747"/>
    <w:rsid w:val="00F211A5"/>
    <w:rsid w:val="00F250FC"/>
    <w:rsid w:val="00F26A85"/>
    <w:rsid w:val="00F26D7A"/>
    <w:rsid w:val="00F30C2E"/>
    <w:rsid w:val="00F32743"/>
    <w:rsid w:val="00F37E75"/>
    <w:rsid w:val="00F419C1"/>
    <w:rsid w:val="00F43534"/>
    <w:rsid w:val="00F4639B"/>
    <w:rsid w:val="00F51371"/>
    <w:rsid w:val="00F63B41"/>
    <w:rsid w:val="00F65095"/>
    <w:rsid w:val="00F73164"/>
    <w:rsid w:val="00F743C2"/>
    <w:rsid w:val="00F839A0"/>
    <w:rsid w:val="00F8642C"/>
    <w:rsid w:val="00F9553B"/>
    <w:rsid w:val="00F95DB0"/>
    <w:rsid w:val="00FA135E"/>
    <w:rsid w:val="00FA44E1"/>
    <w:rsid w:val="00FB2368"/>
    <w:rsid w:val="00FC0ED6"/>
    <w:rsid w:val="00FC2E6C"/>
    <w:rsid w:val="00FC57CD"/>
    <w:rsid w:val="00FD3F45"/>
    <w:rsid w:val="00FE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9514C"/>
  </w:style>
  <w:style w:type="paragraph" w:styleId="a4">
    <w:name w:val="List Paragraph"/>
    <w:basedOn w:val="a"/>
    <w:uiPriority w:val="34"/>
    <w:qFormat/>
    <w:rsid w:val="002437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9514C"/>
  </w:style>
  <w:style w:type="paragraph" w:styleId="a4">
    <w:name w:val="List Paragraph"/>
    <w:basedOn w:val="a"/>
    <w:uiPriority w:val="34"/>
    <w:qFormat/>
    <w:rsid w:val="002437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ME-214-Liudmila</dc:creator>
  <cp:lastModifiedBy>Alexandra</cp:lastModifiedBy>
  <cp:revision>15</cp:revision>
  <dcterms:created xsi:type="dcterms:W3CDTF">2015-04-24T07:28:00Z</dcterms:created>
  <dcterms:modified xsi:type="dcterms:W3CDTF">2015-05-06T13:22:00Z</dcterms:modified>
</cp:coreProperties>
</file>