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2708" w:rsidRDefault="00E32708" w:rsidP="00E32708">
      <w:pPr>
        <w:spacing w:after="0" w:line="240" w:lineRule="auto"/>
        <w:jc w:val="center"/>
        <w:rPr>
          <w:b/>
          <w:sz w:val="20"/>
          <w:szCs w:val="20"/>
        </w:rPr>
      </w:pPr>
      <w:r w:rsidRPr="00507C56">
        <w:rPr>
          <w:b/>
          <w:sz w:val="20"/>
          <w:szCs w:val="20"/>
        </w:rPr>
        <w:t xml:space="preserve">Perioada </w:t>
      </w:r>
      <w:r>
        <w:rPr>
          <w:b/>
          <w:sz w:val="20"/>
          <w:szCs w:val="20"/>
        </w:rPr>
        <w:t>01.01.2016</w:t>
      </w:r>
      <w:r w:rsidR="00273A05">
        <w:rPr>
          <w:b/>
          <w:sz w:val="20"/>
          <w:szCs w:val="20"/>
        </w:rPr>
        <w:t xml:space="preserve"> – 14.12</w:t>
      </w:r>
      <w:r w:rsidR="007E0704">
        <w:rPr>
          <w:b/>
          <w:sz w:val="20"/>
          <w:szCs w:val="20"/>
        </w:rPr>
        <w:t>.2016</w:t>
      </w:r>
    </w:p>
    <w:p w:rsidR="00E32708" w:rsidRPr="006C39BB" w:rsidRDefault="00E32708" w:rsidP="00E32708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6C39BB">
        <w:rPr>
          <w:b/>
          <w:color w:val="FF0000"/>
          <w:sz w:val="20"/>
          <w:szCs w:val="20"/>
        </w:rPr>
        <w:t>Valorificarea contingentelor tarifare</w:t>
      </w:r>
      <w:r w:rsidR="00650038">
        <w:rPr>
          <w:b/>
          <w:color w:val="FF0000"/>
          <w:sz w:val="20"/>
          <w:szCs w:val="20"/>
        </w:rPr>
        <w:t xml:space="preserve"> la export</w:t>
      </w:r>
    </w:p>
    <w:tbl>
      <w:tblPr>
        <w:tblW w:w="12328" w:type="dxa"/>
        <w:jc w:val="center"/>
        <w:tblBorders>
          <w:top w:val="single" w:sz="4" w:space="0" w:color="F4B083"/>
          <w:left w:val="single" w:sz="4" w:space="0" w:color="F4B083"/>
          <w:bottom w:val="single" w:sz="4" w:space="0" w:color="F4B083"/>
          <w:right w:val="single" w:sz="4" w:space="0" w:color="F4B083"/>
          <w:insideH w:val="single" w:sz="4" w:space="0" w:color="F4B083"/>
          <w:insideV w:val="single" w:sz="4" w:space="0" w:color="F4B083"/>
        </w:tblBorders>
        <w:tblLook w:val="04A0" w:firstRow="1" w:lastRow="0" w:firstColumn="1" w:lastColumn="0" w:noHBand="0" w:noVBand="1"/>
      </w:tblPr>
      <w:tblGrid>
        <w:gridCol w:w="476"/>
        <w:gridCol w:w="3347"/>
        <w:gridCol w:w="1526"/>
        <w:gridCol w:w="2017"/>
        <w:gridCol w:w="1985"/>
        <w:gridCol w:w="2977"/>
      </w:tblGrid>
      <w:tr w:rsidR="0091460F" w:rsidRPr="006C39BB" w:rsidTr="0091460F">
        <w:trPr>
          <w:trHeight w:val="581"/>
          <w:jc w:val="center"/>
        </w:trPr>
        <w:tc>
          <w:tcPr>
            <w:tcW w:w="476" w:type="dxa"/>
            <w:tcBorders>
              <w:bottom w:val="single" w:sz="12" w:space="0" w:color="F4B083"/>
            </w:tcBorders>
            <w:shd w:val="clear" w:color="auto" w:fill="auto"/>
            <w:noWrap/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3347" w:type="dxa"/>
            <w:tcBorders>
              <w:bottom w:val="single" w:sz="12" w:space="0" w:color="F4B083"/>
            </w:tcBorders>
            <w:shd w:val="clear" w:color="auto" w:fill="auto"/>
            <w:noWrap/>
            <w:hideMark/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produsului</w:t>
            </w:r>
          </w:p>
        </w:tc>
        <w:tc>
          <w:tcPr>
            <w:tcW w:w="1526" w:type="dxa"/>
            <w:tcBorders>
              <w:bottom w:val="single" w:sz="12" w:space="0" w:color="F4B083"/>
            </w:tcBorders>
            <w:shd w:val="clear" w:color="auto" w:fill="auto"/>
            <w:noWrap/>
            <w:hideMark/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Contingent, tone</w:t>
            </w:r>
          </w:p>
        </w:tc>
        <w:tc>
          <w:tcPr>
            <w:tcW w:w="2017" w:type="dxa"/>
            <w:tcBorders>
              <w:bottom w:val="single" w:sz="12" w:space="0" w:color="F4B083"/>
            </w:tcBorders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A2577F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Q valorificata,</w:t>
            </w:r>
            <w:r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 conform date ASYCUDA</w:t>
            </w:r>
          </w:p>
        </w:tc>
        <w:tc>
          <w:tcPr>
            <w:tcW w:w="1985" w:type="dxa"/>
            <w:tcBorders>
              <w:bottom w:val="single" w:sz="12" w:space="0" w:color="F4B083"/>
            </w:tcBorders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% de valorificare</w:t>
            </w:r>
          </w:p>
        </w:tc>
        <w:tc>
          <w:tcPr>
            <w:tcW w:w="2977" w:type="dxa"/>
            <w:tcBorders>
              <w:bottom w:val="single" w:sz="12" w:space="0" w:color="F4B083"/>
            </w:tcBorders>
          </w:tcPr>
          <w:p w:rsidR="0091460F" w:rsidRPr="006C39BB" w:rsidRDefault="0091460F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Țara în care s-a exportat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FBE4D5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3347" w:type="dxa"/>
            <w:shd w:val="clear" w:color="auto" w:fill="FBE4D5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Tomate </w:t>
            </w:r>
          </w:p>
        </w:tc>
        <w:tc>
          <w:tcPr>
            <w:tcW w:w="1526" w:type="dxa"/>
            <w:shd w:val="clear" w:color="auto" w:fill="FBE4D5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2.000</w:t>
            </w:r>
          </w:p>
        </w:tc>
        <w:tc>
          <w:tcPr>
            <w:tcW w:w="201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0 tone </w:t>
            </w:r>
          </w:p>
        </w:tc>
        <w:tc>
          <w:tcPr>
            <w:tcW w:w="1985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297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auto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3347" w:type="dxa"/>
            <w:shd w:val="clear" w:color="auto" w:fill="auto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Usturoi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220</w:t>
            </w:r>
          </w:p>
        </w:tc>
        <w:tc>
          <w:tcPr>
            <w:tcW w:w="2017" w:type="dxa"/>
            <w:shd w:val="clear" w:color="auto" w:fill="auto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 tone</w:t>
            </w:r>
          </w:p>
        </w:tc>
        <w:tc>
          <w:tcPr>
            <w:tcW w:w="1985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2977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FBE4D5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3347" w:type="dxa"/>
            <w:shd w:val="clear" w:color="auto" w:fill="FBE4D5"/>
            <w:noWrap/>
            <w:hideMark/>
          </w:tcPr>
          <w:p w:rsidR="0091460F" w:rsidRPr="00A2577F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A2577F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Struguri</w:t>
            </w:r>
          </w:p>
        </w:tc>
        <w:tc>
          <w:tcPr>
            <w:tcW w:w="1526" w:type="dxa"/>
            <w:shd w:val="clear" w:color="auto" w:fill="FBE4D5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10.000</w:t>
            </w:r>
          </w:p>
        </w:tc>
        <w:tc>
          <w:tcPr>
            <w:tcW w:w="201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9295</w:t>
            </w: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tone</w:t>
            </w:r>
          </w:p>
        </w:tc>
        <w:tc>
          <w:tcPr>
            <w:tcW w:w="1985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93</w:t>
            </w:r>
            <w:r w:rsidRPr="006C39BB"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297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RO,  EST,  LET, 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auto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3347" w:type="dxa"/>
            <w:shd w:val="clear" w:color="auto" w:fill="auto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Mere</w:t>
            </w:r>
          </w:p>
        </w:tc>
        <w:tc>
          <w:tcPr>
            <w:tcW w:w="1526" w:type="dxa"/>
            <w:shd w:val="clear" w:color="auto" w:fill="auto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40.000</w:t>
            </w:r>
          </w:p>
        </w:tc>
        <w:tc>
          <w:tcPr>
            <w:tcW w:w="2017" w:type="dxa"/>
            <w:shd w:val="clear" w:color="auto" w:fill="auto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74 </w:t>
            </w: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tone</w:t>
            </w:r>
          </w:p>
        </w:tc>
        <w:tc>
          <w:tcPr>
            <w:tcW w:w="1985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0,1</w:t>
            </w:r>
            <w:r w:rsidR="00D06AE9" w:rsidRPr="006C39BB"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2977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PL, RO, MT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FBE4D5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3347" w:type="dxa"/>
            <w:shd w:val="clear" w:color="auto" w:fill="FBE4D5"/>
            <w:noWrap/>
            <w:hideMark/>
          </w:tcPr>
          <w:p w:rsidR="0091460F" w:rsidRPr="00EB656A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EB656A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Prune</w:t>
            </w:r>
          </w:p>
        </w:tc>
        <w:tc>
          <w:tcPr>
            <w:tcW w:w="1526" w:type="dxa"/>
            <w:shd w:val="clear" w:color="auto" w:fill="FBE4D5"/>
            <w:noWrap/>
            <w:hideMark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10.000</w:t>
            </w:r>
          </w:p>
        </w:tc>
        <w:tc>
          <w:tcPr>
            <w:tcW w:w="201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7482</w:t>
            </w: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tone</w:t>
            </w:r>
          </w:p>
        </w:tc>
        <w:tc>
          <w:tcPr>
            <w:tcW w:w="1985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>74%</w:t>
            </w:r>
          </w:p>
        </w:tc>
        <w:tc>
          <w:tcPr>
            <w:tcW w:w="2977" w:type="dxa"/>
            <w:shd w:val="clear" w:color="auto" w:fill="FBE4D5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CZ, EEST, SL, PL</w:t>
            </w:r>
          </w:p>
        </w:tc>
      </w:tr>
      <w:tr w:rsidR="0091460F" w:rsidRPr="006C39BB" w:rsidTr="0091460F">
        <w:trPr>
          <w:trHeight w:val="247"/>
          <w:jc w:val="center"/>
        </w:trPr>
        <w:tc>
          <w:tcPr>
            <w:tcW w:w="476" w:type="dxa"/>
            <w:shd w:val="clear" w:color="auto" w:fill="auto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3347" w:type="dxa"/>
            <w:shd w:val="clear" w:color="auto" w:fill="auto"/>
            <w:noWrap/>
          </w:tcPr>
          <w:p w:rsidR="0091460F" w:rsidRPr="006C39BB" w:rsidRDefault="0091460F" w:rsidP="00A2577F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Suc de struguri</w:t>
            </w:r>
          </w:p>
        </w:tc>
        <w:tc>
          <w:tcPr>
            <w:tcW w:w="1526" w:type="dxa"/>
            <w:shd w:val="clear" w:color="auto" w:fill="auto"/>
            <w:noWrap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5.000</w:t>
            </w:r>
          </w:p>
        </w:tc>
        <w:tc>
          <w:tcPr>
            <w:tcW w:w="2017" w:type="dxa"/>
            <w:shd w:val="clear" w:color="auto" w:fill="auto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 tone</w:t>
            </w:r>
          </w:p>
        </w:tc>
        <w:tc>
          <w:tcPr>
            <w:tcW w:w="1985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2977" w:type="dxa"/>
          </w:tcPr>
          <w:p w:rsidR="0091460F" w:rsidRPr="006C39BB" w:rsidRDefault="0091460F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</w:tr>
    </w:tbl>
    <w:p w:rsidR="00E32708" w:rsidRPr="006C39BB" w:rsidRDefault="00E32708" w:rsidP="00E32708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6C39BB">
        <w:rPr>
          <w:b/>
          <w:color w:val="FF0000"/>
          <w:sz w:val="20"/>
          <w:szCs w:val="20"/>
        </w:rPr>
        <w:t>Mecanism anti-</w:t>
      </w:r>
      <w:proofErr w:type="spellStart"/>
      <w:r w:rsidRPr="006C39BB">
        <w:rPr>
          <w:b/>
          <w:color w:val="FF0000"/>
          <w:sz w:val="20"/>
          <w:szCs w:val="20"/>
        </w:rPr>
        <w:t>circumvention</w:t>
      </w:r>
      <w:proofErr w:type="spellEnd"/>
      <w:r w:rsidRPr="006C39BB">
        <w:rPr>
          <w:b/>
          <w:color w:val="FF0000"/>
          <w:sz w:val="20"/>
          <w:szCs w:val="20"/>
        </w:rPr>
        <w:t xml:space="preserve"> </w:t>
      </w:r>
    </w:p>
    <w:tbl>
      <w:tblPr>
        <w:tblW w:w="12330" w:type="dxa"/>
        <w:jc w:val="center"/>
        <w:tblBorders>
          <w:top w:val="single" w:sz="4" w:space="0" w:color="9CC2E5"/>
          <w:left w:val="single" w:sz="4" w:space="0" w:color="9CC2E5"/>
          <w:bottom w:val="single" w:sz="4" w:space="0" w:color="9CC2E5"/>
          <w:right w:val="single" w:sz="4" w:space="0" w:color="9CC2E5"/>
          <w:insideH w:val="single" w:sz="4" w:space="0" w:color="9CC2E5"/>
          <w:insideV w:val="single" w:sz="4" w:space="0" w:color="9CC2E5"/>
        </w:tblBorders>
        <w:tblLook w:val="04A0" w:firstRow="1" w:lastRow="0" w:firstColumn="1" w:lastColumn="0" w:noHBand="0" w:noVBand="1"/>
      </w:tblPr>
      <w:tblGrid>
        <w:gridCol w:w="456"/>
        <w:gridCol w:w="2964"/>
        <w:gridCol w:w="2520"/>
        <w:gridCol w:w="2520"/>
        <w:gridCol w:w="1677"/>
        <w:gridCol w:w="2193"/>
      </w:tblGrid>
      <w:tr w:rsidR="00E32708" w:rsidRPr="006C39BB" w:rsidTr="001F75A4">
        <w:trPr>
          <w:trHeight w:val="761"/>
          <w:jc w:val="center"/>
        </w:trPr>
        <w:tc>
          <w:tcPr>
            <w:tcW w:w="456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nil"/>
            </w:tcBorders>
            <w:shd w:val="clear" w:color="auto" w:fill="5B9BD5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2964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produsului</w:t>
            </w:r>
          </w:p>
        </w:tc>
        <w:tc>
          <w:tcPr>
            <w:tcW w:w="252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Plafonul stabilit în cadrul mecanismului, tone</w:t>
            </w:r>
          </w:p>
        </w:tc>
        <w:tc>
          <w:tcPr>
            <w:tcW w:w="2520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Cantitatea exportată</w:t>
            </w:r>
          </w:p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în UE, tone</w:t>
            </w:r>
          </w:p>
        </w:tc>
        <w:tc>
          <w:tcPr>
            <w:tcW w:w="1677" w:type="dxa"/>
            <w:tcBorders>
              <w:top w:val="single" w:sz="4" w:space="0" w:color="5B9BD5"/>
              <w:left w:val="nil"/>
              <w:bottom w:val="single" w:sz="4" w:space="0" w:color="5B9BD5"/>
              <w:right w:val="nil"/>
            </w:tcBorders>
            <w:shd w:val="clear" w:color="auto" w:fill="5B9BD5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% de valorificare</w:t>
            </w:r>
          </w:p>
        </w:tc>
        <w:tc>
          <w:tcPr>
            <w:tcW w:w="2193" w:type="dxa"/>
            <w:tcBorders>
              <w:top w:val="single" w:sz="4" w:space="0" w:color="5B9BD5"/>
              <w:left w:val="nil"/>
              <w:bottom w:val="single" w:sz="4" w:space="0" w:color="5B9BD5"/>
              <w:right w:val="single" w:sz="4" w:space="0" w:color="5B9BD5"/>
            </w:tcBorders>
            <w:shd w:val="clear" w:color="auto" w:fill="5B9BD5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Țara în care s-a exportat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Carne de porc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4.500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Carne de pasare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600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Produse lactate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1.700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Oua in coaja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7.000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Oua si albumine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400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964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Produse lactate prelucrate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 </w:t>
            </w:r>
          </w:p>
        </w:tc>
      </w:tr>
      <w:tr w:rsidR="00E32708" w:rsidRPr="006C39BB" w:rsidTr="00E90AA4">
        <w:trPr>
          <w:trHeight w:val="30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7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Grâu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75.000</w:t>
            </w:r>
          </w:p>
        </w:tc>
        <w:tc>
          <w:tcPr>
            <w:tcW w:w="2520" w:type="dxa"/>
            <w:shd w:val="clear" w:color="auto" w:fill="DEEAF6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527 945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700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RO, GB, IT, GR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Orz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70.000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76 962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109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CY, RO, BG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9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Porumb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130.000</w:t>
            </w:r>
          </w:p>
        </w:tc>
        <w:tc>
          <w:tcPr>
            <w:tcW w:w="2520" w:type="dxa"/>
            <w:shd w:val="clear" w:color="auto" w:fill="DEEAF6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169 459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130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CY, FR, GB, GR,IT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10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Zahar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37.400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624068" w:rsidP="00624068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ab/>
              <w:t xml:space="preserve"> 58 600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156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PL,RO</w:t>
            </w:r>
          </w:p>
        </w:tc>
      </w:tr>
      <w:tr w:rsidR="00E32708" w:rsidRPr="006C39BB" w:rsidTr="00A2577F">
        <w:trPr>
          <w:trHeight w:val="347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11</w:t>
            </w:r>
          </w:p>
        </w:tc>
        <w:tc>
          <w:tcPr>
            <w:tcW w:w="2964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Cereale prelucrate</w:t>
            </w:r>
          </w:p>
        </w:tc>
        <w:tc>
          <w:tcPr>
            <w:tcW w:w="2520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2.500</w:t>
            </w:r>
          </w:p>
        </w:tc>
        <w:tc>
          <w:tcPr>
            <w:tcW w:w="2520" w:type="dxa"/>
            <w:shd w:val="clear" w:color="auto" w:fill="DEEAF6"/>
            <w:noWrap/>
          </w:tcPr>
          <w:p w:rsidR="007943AC" w:rsidRPr="006C39BB" w:rsidRDefault="00624068" w:rsidP="00A2577F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16 379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7E0704" w:rsidRDefault="00624068" w:rsidP="001F75A4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65</w:t>
            </w:r>
            <w:r w:rsidR="00667CFA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</w:t>
            </w:r>
            <w:r w:rsidR="00E32708" w:rsidRPr="007E0704">
              <w:rPr>
                <w:rFonts w:eastAsia="Times New Roman"/>
                <w:b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GR, RO</w:t>
            </w:r>
          </w:p>
        </w:tc>
      </w:tr>
      <w:tr w:rsidR="00E32708" w:rsidRPr="006C39BB" w:rsidTr="00E90AA4">
        <w:trPr>
          <w:trHeight w:val="165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12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Țigarete</w:t>
            </w:r>
          </w:p>
        </w:tc>
        <w:tc>
          <w:tcPr>
            <w:tcW w:w="2520" w:type="dxa"/>
            <w:shd w:val="clear" w:color="auto" w:fill="auto"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1000 t. sau 1 </w:t>
            </w:r>
            <w:proofErr w:type="spellStart"/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mlrd</w:t>
            </w:r>
            <w:proofErr w:type="spellEnd"/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. bucăți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D06AE9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D06AE9" w:rsidP="007E070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D06AE9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-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DEEAF6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13</w:t>
            </w:r>
          </w:p>
        </w:tc>
        <w:tc>
          <w:tcPr>
            <w:tcW w:w="2964" w:type="dxa"/>
            <w:shd w:val="clear" w:color="auto" w:fill="DEEAF6"/>
            <w:noWrap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Zahar prelucrat</w:t>
            </w:r>
          </w:p>
        </w:tc>
        <w:tc>
          <w:tcPr>
            <w:tcW w:w="2520" w:type="dxa"/>
            <w:shd w:val="clear" w:color="auto" w:fill="DEEAF6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4.200</w:t>
            </w:r>
          </w:p>
        </w:tc>
        <w:tc>
          <w:tcPr>
            <w:tcW w:w="2520" w:type="dxa"/>
            <w:shd w:val="clear" w:color="auto" w:fill="DEEAF6"/>
            <w:noWrap/>
          </w:tcPr>
          <w:p w:rsidR="00E32708" w:rsidRPr="006C39BB" w:rsidRDefault="00624068" w:rsidP="00624068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1 405</w:t>
            </w:r>
          </w:p>
        </w:tc>
        <w:tc>
          <w:tcPr>
            <w:tcW w:w="1677" w:type="dxa"/>
            <w:shd w:val="clear" w:color="auto" w:fill="DEEAF6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33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DEEAF6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RO, HU,PL,BG,CR DE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14</w:t>
            </w:r>
          </w:p>
        </w:tc>
        <w:tc>
          <w:tcPr>
            <w:tcW w:w="2964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Porumb zaharat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1.500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24068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923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61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BG, RO, LT</w:t>
            </w:r>
          </w:p>
        </w:tc>
      </w:tr>
    </w:tbl>
    <w:p w:rsidR="00E32708" w:rsidRDefault="00E32708" w:rsidP="00E32708">
      <w:pPr>
        <w:spacing w:after="0" w:line="240" w:lineRule="auto"/>
        <w:jc w:val="center"/>
        <w:rPr>
          <w:b/>
          <w:color w:val="FF0000"/>
          <w:sz w:val="20"/>
          <w:szCs w:val="20"/>
        </w:rPr>
      </w:pPr>
      <w:r w:rsidRPr="006C39BB">
        <w:rPr>
          <w:b/>
          <w:color w:val="FF0000"/>
          <w:sz w:val="20"/>
          <w:szCs w:val="20"/>
        </w:rPr>
        <w:t xml:space="preserve">Concesii tarifare la importul de mărfuri </w:t>
      </w:r>
      <w:r w:rsidR="006E2F75">
        <w:rPr>
          <w:b/>
          <w:color w:val="FF0000"/>
          <w:sz w:val="20"/>
          <w:szCs w:val="20"/>
        </w:rPr>
        <w:t xml:space="preserve"> </w:t>
      </w:r>
    </w:p>
    <w:p w:rsidR="006E2F75" w:rsidRPr="006C39BB" w:rsidRDefault="006E2F75" w:rsidP="00E32708">
      <w:pPr>
        <w:spacing w:after="0" w:line="240" w:lineRule="auto"/>
        <w:jc w:val="center"/>
        <w:rPr>
          <w:b/>
          <w:color w:val="FF0000"/>
          <w:sz w:val="20"/>
          <w:szCs w:val="20"/>
        </w:rPr>
      </w:pPr>
    </w:p>
    <w:tbl>
      <w:tblPr>
        <w:tblW w:w="12330" w:type="dxa"/>
        <w:jc w:val="center"/>
        <w:tblBorders>
          <w:top w:val="single" w:sz="4" w:space="0" w:color="666666"/>
          <w:left w:val="single" w:sz="4" w:space="0" w:color="666666"/>
          <w:bottom w:val="single" w:sz="4" w:space="0" w:color="666666"/>
          <w:right w:val="single" w:sz="4" w:space="0" w:color="666666"/>
          <w:insideH w:val="single" w:sz="4" w:space="0" w:color="666666"/>
          <w:insideV w:val="single" w:sz="4" w:space="0" w:color="666666"/>
        </w:tblBorders>
        <w:tblLook w:val="04A0" w:firstRow="1" w:lastRow="0" w:firstColumn="1" w:lastColumn="0" w:noHBand="0" w:noVBand="1"/>
      </w:tblPr>
      <w:tblGrid>
        <w:gridCol w:w="456"/>
        <w:gridCol w:w="2964"/>
        <w:gridCol w:w="2520"/>
        <w:gridCol w:w="2520"/>
        <w:gridCol w:w="1677"/>
        <w:gridCol w:w="2193"/>
      </w:tblGrid>
      <w:tr w:rsidR="00E32708" w:rsidRPr="006C39BB" w:rsidTr="001F75A4">
        <w:trPr>
          <w:trHeight w:val="421"/>
          <w:jc w:val="center"/>
        </w:trPr>
        <w:tc>
          <w:tcPr>
            <w:tcW w:w="456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 </w:t>
            </w:r>
          </w:p>
        </w:tc>
        <w:tc>
          <w:tcPr>
            <w:tcW w:w="2964" w:type="dxa"/>
            <w:tcBorders>
              <w:bottom w:val="single" w:sz="12" w:space="0" w:color="666666"/>
            </w:tcBorders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Denumirea produsului</w:t>
            </w:r>
          </w:p>
        </w:tc>
        <w:tc>
          <w:tcPr>
            <w:tcW w:w="2520" w:type="dxa"/>
            <w:tcBorders>
              <w:bottom w:val="single" w:sz="12" w:space="0" w:color="666666"/>
            </w:tcBorders>
            <w:shd w:val="clear" w:color="auto" w:fill="auto"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Contingent, tone</w:t>
            </w:r>
          </w:p>
        </w:tc>
        <w:tc>
          <w:tcPr>
            <w:tcW w:w="2520" w:type="dxa"/>
            <w:tcBorders>
              <w:bottom w:val="single" w:sz="12" w:space="0" w:color="666666"/>
            </w:tcBorders>
            <w:shd w:val="clear" w:color="auto" w:fill="auto"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 xml:space="preserve">Cantitatea importată </w:t>
            </w:r>
          </w:p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din UE, tone</w:t>
            </w:r>
          </w:p>
        </w:tc>
        <w:tc>
          <w:tcPr>
            <w:tcW w:w="1677" w:type="dxa"/>
            <w:tcBorders>
              <w:bottom w:val="single" w:sz="12" w:space="0" w:color="666666"/>
            </w:tcBorders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% de valorificare</w:t>
            </w:r>
          </w:p>
        </w:tc>
        <w:tc>
          <w:tcPr>
            <w:tcW w:w="2193" w:type="dxa"/>
            <w:tcBorders>
              <w:bottom w:val="single" w:sz="12" w:space="0" w:color="666666"/>
            </w:tcBorders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Țara din care s-a importat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1</w:t>
            </w:r>
          </w:p>
        </w:tc>
        <w:tc>
          <w:tcPr>
            <w:tcW w:w="2964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Carne de porc</w:t>
            </w:r>
          </w:p>
        </w:tc>
        <w:tc>
          <w:tcPr>
            <w:tcW w:w="2520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4.000</w:t>
            </w:r>
          </w:p>
        </w:tc>
        <w:tc>
          <w:tcPr>
            <w:tcW w:w="2520" w:type="dxa"/>
            <w:shd w:val="clear" w:color="auto" w:fill="CCCCCC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3001</w:t>
            </w:r>
          </w:p>
        </w:tc>
        <w:tc>
          <w:tcPr>
            <w:tcW w:w="1677" w:type="dxa"/>
            <w:shd w:val="clear" w:color="auto" w:fill="CCCCCC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75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CCCCCC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IT, RO, BG 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2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Carne de pasare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4000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E90AA4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3999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E90AA4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99 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RO, BG 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3</w:t>
            </w:r>
          </w:p>
        </w:tc>
        <w:tc>
          <w:tcPr>
            <w:tcW w:w="2964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Produse lactate</w:t>
            </w:r>
          </w:p>
        </w:tc>
        <w:tc>
          <w:tcPr>
            <w:tcW w:w="2520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2520" w:type="dxa"/>
            <w:shd w:val="clear" w:color="auto" w:fill="CCCCCC"/>
            <w:noWrap/>
          </w:tcPr>
          <w:p w:rsidR="00E32708" w:rsidRPr="006C39BB" w:rsidRDefault="00667CFA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1000</w:t>
            </w:r>
          </w:p>
        </w:tc>
        <w:tc>
          <w:tcPr>
            <w:tcW w:w="1677" w:type="dxa"/>
            <w:shd w:val="clear" w:color="auto" w:fill="CCCCCC"/>
            <w:noWrap/>
          </w:tcPr>
          <w:p w:rsidR="00E32708" w:rsidRPr="006C39BB" w:rsidRDefault="0041074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100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CCCCCC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RO, FR, NL, BG 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4</w:t>
            </w:r>
          </w:p>
        </w:tc>
        <w:tc>
          <w:tcPr>
            <w:tcW w:w="2964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Produse procesate din carne</w:t>
            </w:r>
          </w:p>
        </w:tc>
        <w:tc>
          <w:tcPr>
            <w:tcW w:w="2520" w:type="dxa"/>
            <w:shd w:val="clear" w:color="auto" w:fill="auto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1700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37</w:t>
            </w:r>
            <w:r w:rsidR="00667CFA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8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22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PL, HU, RO, </w:t>
            </w:r>
          </w:p>
        </w:tc>
      </w:tr>
      <w:tr w:rsidR="00E32708" w:rsidRPr="006C39BB" w:rsidTr="00E90AA4">
        <w:trPr>
          <w:trHeight w:val="241"/>
          <w:jc w:val="center"/>
        </w:trPr>
        <w:tc>
          <w:tcPr>
            <w:tcW w:w="456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5</w:t>
            </w:r>
          </w:p>
        </w:tc>
        <w:tc>
          <w:tcPr>
            <w:tcW w:w="2964" w:type="dxa"/>
            <w:shd w:val="clear" w:color="auto" w:fill="CCCCCC"/>
            <w:noWrap/>
            <w:hideMark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Zahar </w:t>
            </w:r>
          </w:p>
        </w:tc>
        <w:tc>
          <w:tcPr>
            <w:tcW w:w="2520" w:type="dxa"/>
            <w:shd w:val="clear" w:color="auto" w:fill="CCCCCC"/>
            <w:noWrap/>
            <w:hideMark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54</w:t>
            </w:r>
            <w:r w:rsidR="00667CFA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00</w:t>
            </w:r>
          </w:p>
        </w:tc>
        <w:tc>
          <w:tcPr>
            <w:tcW w:w="2520" w:type="dxa"/>
            <w:shd w:val="clear" w:color="auto" w:fill="CCCCCC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5400</w:t>
            </w:r>
          </w:p>
        </w:tc>
        <w:tc>
          <w:tcPr>
            <w:tcW w:w="1677" w:type="dxa"/>
            <w:shd w:val="clear" w:color="auto" w:fill="CCCCCC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100 </w:t>
            </w:r>
            <w:r w:rsidR="00E90AA4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%</w:t>
            </w:r>
          </w:p>
        </w:tc>
        <w:tc>
          <w:tcPr>
            <w:tcW w:w="2193" w:type="dxa"/>
            <w:shd w:val="clear" w:color="auto" w:fill="CCCCCC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RO, NL </w:t>
            </w:r>
          </w:p>
        </w:tc>
      </w:tr>
      <w:tr w:rsidR="00E32708" w:rsidRPr="006C39BB" w:rsidTr="001F75A4">
        <w:trPr>
          <w:trHeight w:val="241"/>
          <w:jc w:val="center"/>
        </w:trPr>
        <w:tc>
          <w:tcPr>
            <w:tcW w:w="456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o-RO"/>
              </w:rPr>
              <w:t>6</w:t>
            </w:r>
          </w:p>
        </w:tc>
        <w:tc>
          <w:tcPr>
            <w:tcW w:w="2964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Produse din zahar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640</w:t>
            </w:r>
          </w:p>
        </w:tc>
        <w:tc>
          <w:tcPr>
            <w:tcW w:w="2520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640</w:t>
            </w:r>
            <w:r w:rsidR="00540372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</w:t>
            </w:r>
          </w:p>
        </w:tc>
        <w:tc>
          <w:tcPr>
            <w:tcW w:w="1677" w:type="dxa"/>
            <w:shd w:val="clear" w:color="auto" w:fill="auto"/>
            <w:noWrap/>
          </w:tcPr>
          <w:p w:rsidR="00E32708" w:rsidRPr="006C39BB" w:rsidRDefault="0062406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100</w:t>
            </w:r>
            <w:r w:rsidR="00E32708"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 xml:space="preserve"> %</w:t>
            </w:r>
          </w:p>
        </w:tc>
        <w:tc>
          <w:tcPr>
            <w:tcW w:w="2193" w:type="dxa"/>
            <w:shd w:val="clear" w:color="auto" w:fill="auto"/>
          </w:tcPr>
          <w:p w:rsidR="00E32708" w:rsidRPr="006C39BB" w:rsidRDefault="00E32708" w:rsidP="001F75A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o-RO"/>
              </w:rPr>
            </w:pPr>
            <w:r w:rsidRPr="006C39BB">
              <w:rPr>
                <w:rFonts w:eastAsia="Times New Roman"/>
                <w:color w:val="000000"/>
                <w:sz w:val="20"/>
                <w:szCs w:val="20"/>
                <w:lang w:eastAsia="ro-RO"/>
              </w:rPr>
              <w:t>GR, RO, PL </w:t>
            </w:r>
          </w:p>
        </w:tc>
      </w:tr>
    </w:tbl>
    <w:p w:rsidR="00E32708" w:rsidRPr="006C39BB" w:rsidRDefault="00E32708" w:rsidP="00E32708">
      <w:pPr>
        <w:spacing w:line="240" w:lineRule="auto"/>
        <w:rPr>
          <w:sz w:val="20"/>
          <w:szCs w:val="20"/>
        </w:rPr>
      </w:pPr>
    </w:p>
    <w:p w:rsidR="00016647" w:rsidRDefault="00016647"/>
    <w:sectPr w:rsidR="00016647" w:rsidSect="00507C56">
      <w:headerReference w:type="default" r:id="rId7"/>
      <w:pgSz w:w="16838" w:h="11906" w:orient="landscape"/>
      <w:pgMar w:top="284" w:right="1134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4761" w:rsidRDefault="00CC4761" w:rsidP="007E0704">
      <w:pPr>
        <w:spacing w:after="0" w:line="240" w:lineRule="auto"/>
      </w:pPr>
      <w:r>
        <w:separator/>
      </w:r>
    </w:p>
  </w:endnote>
  <w:endnote w:type="continuationSeparator" w:id="0">
    <w:p w:rsidR="00CC4761" w:rsidRDefault="00CC4761" w:rsidP="007E07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4761" w:rsidRDefault="00CC4761" w:rsidP="007E0704">
      <w:pPr>
        <w:spacing w:after="0" w:line="240" w:lineRule="auto"/>
      </w:pPr>
      <w:r>
        <w:separator/>
      </w:r>
    </w:p>
  </w:footnote>
  <w:footnote w:type="continuationSeparator" w:id="0">
    <w:p w:rsidR="00CC4761" w:rsidRDefault="00CC4761" w:rsidP="007E07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7C56" w:rsidRPr="00650038" w:rsidRDefault="00EB656A" w:rsidP="00507C56">
    <w:pPr>
      <w:pStyle w:val="Header"/>
      <w:jc w:val="right"/>
      <w:rPr>
        <w:b/>
        <w:sz w:val="28"/>
        <w:szCs w:val="28"/>
      </w:rPr>
    </w:pPr>
    <w:r w:rsidRPr="00650038">
      <w:rPr>
        <w:b/>
        <w:sz w:val="28"/>
        <w:szCs w:val="28"/>
        <w:lang w:val="en-US"/>
      </w:rPr>
      <w:t xml:space="preserve">Accesul </w:t>
    </w:r>
    <w:r w:rsidRPr="00650038">
      <w:rPr>
        <w:b/>
        <w:sz w:val="28"/>
        <w:szCs w:val="28"/>
      </w:rPr>
      <w:t>mărfurilor pe piața UE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522C0C"/>
    <w:multiLevelType w:val="hybridMultilevel"/>
    <w:tmpl w:val="074AF74A"/>
    <w:lvl w:ilvl="0" w:tplc="8DDEF9C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AFB8D0AE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2EBE816E">
      <w:numFmt w:val="bullet"/>
      <w:lvlText w:val=""/>
      <w:lvlJc w:val="left"/>
      <w:pPr>
        <w:ind w:left="2160" w:hanging="1800"/>
      </w:pPr>
    </w:lvl>
    <w:lvl w:ilvl="3" w:tplc="F6082816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3EB2C5BE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84C4DF7C">
      <w:numFmt w:val="bullet"/>
      <w:lvlText w:val=""/>
      <w:lvlJc w:val="left"/>
      <w:pPr>
        <w:ind w:left="4320" w:hanging="3960"/>
      </w:pPr>
    </w:lvl>
    <w:lvl w:ilvl="6" w:tplc="34201E7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C4D4816E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B6D6A976">
      <w:numFmt w:val="bullet"/>
      <w:lvlText w:val=""/>
      <w:lvlJc w:val="left"/>
      <w:pPr>
        <w:ind w:left="6480" w:hanging="6120"/>
      </w:pPr>
    </w:lvl>
  </w:abstractNum>
  <w:abstractNum w:abstractNumId="1" w15:restartNumberingAfterBreak="0">
    <w:nsid w:val="48721312"/>
    <w:multiLevelType w:val="hybridMultilevel"/>
    <w:tmpl w:val="B716705C"/>
    <w:lvl w:ilvl="0" w:tplc="EA8EEEEA">
      <w:start w:val="1"/>
      <w:numFmt w:val="decimal"/>
      <w:lvlText w:val="%1."/>
      <w:lvlJc w:val="left"/>
      <w:pPr>
        <w:ind w:left="720" w:hanging="360"/>
      </w:pPr>
    </w:lvl>
    <w:lvl w:ilvl="1" w:tplc="39028ABA">
      <w:start w:val="1"/>
      <w:numFmt w:val="decimal"/>
      <w:lvlText w:val="%2."/>
      <w:lvlJc w:val="left"/>
      <w:pPr>
        <w:ind w:left="1440" w:hanging="1080"/>
      </w:pPr>
    </w:lvl>
    <w:lvl w:ilvl="2" w:tplc="7FAC55D0">
      <w:start w:val="1"/>
      <w:numFmt w:val="decimal"/>
      <w:lvlText w:val="%3."/>
      <w:lvlJc w:val="left"/>
      <w:pPr>
        <w:ind w:left="2160" w:hanging="1980"/>
      </w:pPr>
    </w:lvl>
    <w:lvl w:ilvl="3" w:tplc="68A60E58">
      <w:start w:val="1"/>
      <w:numFmt w:val="decimal"/>
      <w:lvlText w:val="%4."/>
      <w:lvlJc w:val="left"/>
      <w:pPr>
        <w:ind w:left="2880" w:hanging="2520"/>
      </w:pPr>
    </w:lvl>
    <w:lvl w:ilvl="4" w:tplc="9878B7B0">
      <w:start w:val="1"/>
      <w:numFmt w:val="decimal"/>
      <w:lvlText w:val="%5."/>
      <w:lvlJc w:val="left"/>
      <w:pPr>
        <w:ind w:left="3600" w:hanging="3240"/>
      </w:pPr>
    </w:lvl>
    <w:lvl w:ilvl="5" w:tplc="70307FF4">
      <w:start w:val="1"/>
      <w:numFmt w:val="decimal"/>
      <w:lvlText w:val="%6."/>
      <w:lvlJc w:val="left"/>
      <w:pPr>
        <w:ind w:left="4320" w:hanging="4140"/>
      </w:pPr>
    </w:lvl>
    <w:lvl w:ilvl="6" w:tplc="5C3488A6">
      <w:start w:val="1"/>
      <w:numFmt w:val="decimal"/>
      <w:lvlText w:val="%7."/>
      <w:lvlJc w:val="left"/>
      <w:pPr>
        <w:ind w:left="5040" w:hanging="4680"/>
      </w:pPr>
    </w:lvl>
    <w:lvl w:ilvl="7" w:tplc="E2C41578">
      <w:start w:val="1"/>
      <w:numFmt w:val="decimal"/>
      <w:lvlText w:val="%8."/>
      <w:lvlJc w:val="left"/>
      <w:pPr>
        <w:ind w:left="5760" w:hanging="5400"/>
      </w:pPr>
    </w:lvl>
    <w:lvl w:ilvl="8" w:tplc="105CD9E4">
      <w:start w:val="1"/>
      <w:numFmt w:val="decimal"/>
      <w:lvlText w:val="%9."/>
      <w:lvlJc w:val="left"/>
      <w:pPr>
        <w:ind w:left="6480" w:hanging="630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FDD"/>
    <w:rsid w:val="00016647"/>
    <w:rsid w:val="000B4C0A"/>
    <w:rsid w:val="00122474"/>
    <w:rsid w:val="00195E02"/>
    <w:rsid w:val="001C1C9F"/>
    <w:rsid w:val="00273A05"/>
    <w:rsid w:val="002F4C52"/>
    <w:rsid w:val="003F2E95"/>
    <w:rsid w:val="00410748"/>
    <w:rsid w:val="0044791D"/>
    <w:rsid w:val="00490E1B"/>
    <w:rsid w:val="004C1B11"/>
    <w:rsid w:val="00540372"/>
    <w:rsid w:val="00565FDD"/>
    <w:rsid w:val="006136FA"/>
    <w:rsid w:val="00617DE1"/>
    <w:rsid w:val="00624068"/>
    <w:rsid w:val="00650038"/>
    <w:rsid w:val="00667CFA"/>
    <w:rsid w:val="006932A0"/>
    <w:rsid w:val="006E2F75"/>
    <w:rsid w:val="007178AB"/>
    <w:rsid w:val="007943AC"/>
    <w:rsid w:val="007E0704"/>
    <w:rsid w:val="00904E5B"/>
    <w:rsid w:val="0091460F"/>
    <w:rsid w:val="00A01C6A"/>
    <w:rsid w:val="00A14F9C"/>
    <w:rsid w:val="00A2577F"/>
    <w:rsid w:val="00B34424"/>
    <w:rsid w:val="00B73DF3"/>
    <w:rsid w:val="00B82FCA"/>
    <w:rsid w:val="00C0330F"/>
    <w:rsid w:val="00CC4761"/>
    <w:rsid w:val="00D01EDE"/>
    <w:rsid w:val="00D06AE9"/>
    <w:rsid w:val="00D5663D"/>
    <w:rsid w:val="00D7267A"/>
    <w:rsid w:val="00E32708"/>
    <w:rsid w:val="00E52FF2"/>
    <w:rsid w:val="00E6122C"/>
    <w:rsid w:val="00E90AA4"/>
    <w:rsid w:val="00EB656A"/>
    <w:rsid w:val="00EC7B9B"/>
    <w:rsid w:val="00F4287F"/>
    <w:rsid w:val="00F83D33"/>
    <w:rsid w:val="00F930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FD0618B-E185-47B4-B5F1-4A07B7F9C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708"/>
    <w:pPr>
      <w:spacing w:after="200" w:line="276" w:lineRule="auto"/>
    </w:pPr>
    <w:rPr>
      <w:rFonts w:ascii="Calibri" w:eastAsia="Calibri" w:hAnsi="Calibri" w:cs="Times New Roman"/>
      <w:lang w:val="ro-RO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2708"/>
    <w:pPr>
      <w:tabs>
        <w:tab w:val="center" w:pos="4844"/>
        <w:tab w:val="right" w:pos="9689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32708"/>
    <w:rPr>
      <w:rFonts w:ascii="Calibri" w:eastAsia="Calibri" w:hAnsi="Calibri" w:cs="Times New Roman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7E070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0704"/>
    <w:rPr>
      <w:rFonts w:ascii="Calibri" w:eastAsia="Calibri" w:hAnsi="Calibri" w:cs="Times New Roman"/>
      <w:lang w:val="ro-RO"/>
    </w:rPr>
  </w:style>
  <w:style w:type="paragraph" w:styleId="Title">
    <w:name w:val="Title"/>
    <w:basedOn w:val="Normal"/>
    <w:qFormat/>
    <w:pPr>
      <w:spacing w:after="300"/>
    </w:pPr>
    <w:rPr>
      <w:color w:val="17365D"/>
      <w:sz w:val="52"/>
    </w:rPr>
  </w:style>
  <w:style w:type="paragraph" w:styleId="Subtitle">
    <w:name w:val="Subtitle"/>
    <w:basedOn w:val="Normal"/>
    <w:qFormat/>
    <w:rPr>
      <w:i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238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gribinet.ana@gmail.com</dc:creator>
  <cp:keywords/>
  <dc:description/>
  <cp:lastModifiedBy>gribinet.ana@gmail.com</cp:lastModifiedBy>
  <cp:revision>6</cp:revision>
  <dcterms:created xsi:type="dcterms:W3CDTF">2016-11-23T08:18:00Z</dcterms:created>
  <dcterms:modified xsi:type="dcterms:W3CDTF">2016-12-14T14:50:00Z</dcterms:modified>
</cp:coreProperties>
</file>